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8B5A" w14:textId="77777777" w:rsidR="00000000" w:rsidRDefault="00000000">
      <w:pPr>
        <w:pStyle w:val="Heading1"/>
        <w:rPr>
          <w:rFonts w:cs="Arial"/>
        </w:rPr>
      </w:pPr>
      <w:bookmarkStart w:id="0" w:name="PRMS_RIName"/>
      <w:r>
        <w:rPr>
          <w:rFonts w:cs="Arial"/>
        </w:rPr>
        <w:t>Heritage Lifecare Limited - Rosewood Rest Home &amp; Hospital</w:t>
      </w:r>
      <w:bookmarkEnd w:id="0"/>
    </w:p>
    <w:p w14:paraId="7AB3AF2B" w14:textId="77777777" w:rsidR="00000000" w:rsidRDefault="00000000">
      <w:pPr>
        <w:pStyle w:val="Heading2"/>
        <w:spacing w:after="0"/>
        <w:rPr>
          <w:rFonts w:cs="Arial"/>
        </w:rPr>
      </w:pPr>
      <w:r>
        <w:rPr>
          <w:rFonts w:cs="Arial"/>
        </w:rPr>
        <w:t>Introduction</w:t>
      </w:r>
    </w:p>
    <w:p w14:paraId="5A53FCA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3109292"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DD3C73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08DD96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CDA1125" w14:textId="77777777" w:rsidR="00000000" w:rsidRDefault="00000000">
      <w:pPr>
        <w:spacing w:before="240" w:after="240"/>
        <w:rPr>
          <w:rFonts w:cs="Arial"/>
          <w:lang w:eastAsia="en-NZ"/>
        </w:rPr>
      </w:pPr>
      <w:r>
        <w:rPr>
          <w:rFonts w:cs="Arial"/>
          <w:lang w:eastAsia="en-NZ"/>
        </w:rPr>
        <w:t>The specifics of this audit included:</w:t>
      </w:r>
    </w:p>
    <w:p w14:paraId="44D0924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088A5D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654E8F6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Rosewood Rest Home &amp; Hospital</w:t>
      </w:r>
      <w:bookmarkEnd w:id="5"/>
    </w:p>
    <w:p w14:paraId="11E0570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Dementia care; Hospital services - Psychogeriatric services</w:t>
      </w:r>
      <w:bookmarkEnd w:id="6"/>
    </w:p>
    <w:p w14:paraId="6676B37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May 2026</w:t>
      </w:r>
      <w:bookmarkEnd w:id="7"/>
      <w:r w:rsidRPr="009418D4">
        <w:rPr>
          <w:rFonts w:cs="Arial"/>
        </w:rPr>
        <w:tab/>
        <w:t xml:space="preserve">End date: </w:t>
      </w:r>
      <w:bookmarkStart w:id="8" w:name="AuditEndDate"/>
      <w:r>
        <w:rPr>
          <w:rFonts w:cs="Arial"/>
        </w:rPr>
        <w:t>20 May 2026</w:t>
      </w:r>
      <w:bookmarkEnd w:id="8"/>
    </w:p>
    <w:p w14:paraId="72D041A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A73D147" w14:textId="77777777" w:rsidR="00EB11A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0830656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3AE6394" w14:textId="77777777" w:rsidR="00000000" w:rsidRDefault="00000000">
      <w:pPr>
        <w:pStyle w:val="Heading1"/>
        <w:rPr>
          <w:rFonts w:cs="Arial"/>
        </w:rPr>
      </w:pPr>
      <w:r>
        <w:rPr>
          <w:rFonts w:cs="Arial"/>
        </w:rPr>
        <w:lastRenderedPageBreak/>
        <w:t>Executive summary of the audit</w:t>
      </w:r>
    </w:p>
    <w:p w14:paraId="142EEBBA" w14:textId="77777777" w:rsidR="00000000" w:rsidRDefault="00000000">
      <w:pPr>
        <w:pStyle w:val="Heading2"/>
        <w:rPr>
          <w:rFonts w:cs="Arial"/>
        </w:rPr>
      </w:pPr>
      <w:r>
        <w:rPr>
          <w:rFonts w:cs="Arial"/>
        </w:rPr>
        <w:t>Introduction</w:t>
      </w:r>
    </w:p>
    <w:p w14:paraId="6715F29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007A72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0A3598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5AE874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387A21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561AE7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F6EAC8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3DC76D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BC8668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EB11A0" w14:paraId="53ED5263" w14:textId="77777777">
        <w:trPr>
          <w:cantSplit/>
          <w:tblHeader/>
        </w:trPr>
        <w:tc>
          <w:tcPr>
            <w:tcW w:w="1260" w:type="dxa"/>
            <w:tcBorders>
              <w:bottom w:val="single" w:sz="4" w:space="0" w:color="000000"/>
            </w:tcBorders>
            <w:vAlign w:val="center"/>
          </w:tcPr>
          <w:p w14:paraId="22133BD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6EC64C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5E3EC4E" w14:textId="77777777" w:rsidR="00000000" w:rsidRDefault="00000000">
            <w:pPr>
              <w:spacing w:before="60" w:after="60"/>
              <w:rPr>
                <w:rFonts w:eastAsia="Calibri"/>
                <w:b/>
                <w:szCs w:val="24"/>
              </w:rPr>
            </w:pPr>
            <w:r>
              <w:rPr>
                <w:rFonts w:eastAsia="Calibri"/>
                <w:b/>
                <w:szCs w:val="24"/>
              </w:rPr>
              <w:t>Definition</w:t>
            </w:r>
          </w:p>
        </w:tc>
      </w:tr>
      <w:tr w:rsidR="00EB11A0" w14:paraId="68CFD595" w14:textId="77777777">
        <w:trPr>
          <w:cantSplit/>
          <w:trHeight w:val="964"/>
        </w:trPr>
        <w:tc>
          <w:tcPr>
            <w:tcW w:w="1260" w:type="dxa"/>
            <w:tcBorders>
              <w:bottom w:val="single" w:sz="4" w:space="0" w:color="000000"/>
            </w:tcBorders>
            <w:shd w:val="clear" w:color="0066FF" w:fill="0000FF"/>
            <w:vAlign w:val="center"/>
          </w:tcPr>
          <w:p w14:paraId="527E88F0"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5B584B6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550D38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B11A0" w14:paraId="45452FC5" w14:textId="77777777">
        <w:trPr>
          <w:cantSplit/>
          <w:trHeight w:val="964"/>
        </w:trPr>
        <w:tc>
          <w:tcPr>
            <w:tcW w:w="1260" w:type="dxa"/>
            <w:shd w:val="clear" w:color="33CC33" w:fill="00FF00"/>
            <w:vAlign w:val="center"/>
          </w:tcPr>
          <w:p w14:paraId="0841926B" w14:textId="77777777" w:rsidR="00000000" w:rsidRDefault="00000000">
            <w:pPr>
              <w:spacing w:before="60" w:after="60"/>
              <w:rPr>
                <w:rFonts w:eastAsia="Calibri"/>
                <w:szCs w:val="24"/>
              </w:rPr>
            </w:pPr>
          </w:p>
        </w:tc>
        <w:tc>
          <w:tcPr>
            <w:tcW w:w="7095" w:type="dxa"/>
            <w:vAlign w:val="center"/>
          </w:tcPr>
          <w:p w14:paraId="569ACBD1"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0B89EC9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B11A0" w14:paraId="73408236" w14:textId="77777777">
        <w:trPr>
          <w:cantSplit/>
          <w:trHeight w:val="964"/>
        </w:trPr>
        <w:tc>
          <w:tcPr>
            <w:tcW w:w="1260" w:type="dxa"/>
            <w:tcBorders>
              <w:bottom w:val="single" w:sz="4" w:space="0" w:color="000000"/>
            </w:tcBorders>
            <w:shd w:val="clear" w:color="auto" w:fill="FFFF00"/>
            <w:vAlign w:val="center"/>
          </w:tcPr>
          <w:p w14:paraId="0A468225" w14:textId="77777777" w:rsidR="00000000" w:rsidRDefault="00000000">
            <w:pPr>
              <w:spacing w:before="60" w:after="60"/>
              <w:rPr>
                <w:rFonts w:eastAsia="Calibri"/>
                <w:szCs w:val="24"/>
              </w:rPr>
            </w:pPr>
          </w:p>
        </w:tc>
        <w:tc>
          <w:tcPr>
            <w:tcW w:w="7095" w:type="dxa"/>
            <w:vAlign w:val="center"/>
          </w:tcPr>
          <w:p w14:paraId="4DFB764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2F6059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B11A0" w14:paraId="4C27EBAE" w14:textId="77777777">
        <w:trPr>
          <w:cantSplit/>
          <w:trHeight w:val="964"/>
        </w:trPr>
        <w:tc>
          <w:tcPr>
            <w:tcW w:w="1260" w:type="dxa"/>
            <w:tcBorders>
              <w:bottom w:val="single" w:sz="4" w:space="0" w:color="000000"/>
            </w:tcBorders>
            <w:shd w:val="clear" w:color="auto" w:fill="FFC800"/>
            <w:vAlign w:val="center"/>
          </w:tcPr>
          <w:p w14:paraId="0CD03919"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B2B21B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0B934B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B11A0" w14:paraId="74268929" w14:textId="77777777">
        <w:trPr>
          <w:cantSplit/>
          <w:trHeight w:val="964"/>
        </w:trPr>
        <w:tc>
          <w:tcPr>
            <w:tcW w:w="1260" w:type="dxa"/>
            <w:shd w:val="clear" w:color="auto" w:fill="FF0000"/>
            <w:vAlign w:val="center"/>
          </w:tcPr>
          <w:p w14:paraId="32894994" w14:textId="77777777" w:rsidR="00000000" w:rsidRDefault="00000000">
            <w:pPr>
              <w:spacing w:before="60" w:after="60"/>
              <w:rPr>
                <w:rFonts w:eastAsia="Calibri"/>
                <w:szCs w:val="24"/>
              </w:rPr>
            </w:pPr>
          </w:p>
        </w:tc>
        <w:tc>
          <w:tcPr>
            <w:tcW w:w="7095" w:type="dxa"/>
            <w:vAlign w:val="center"/>
          </w:tcPr>
          <w:p w14:paraId="57D884A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286635B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568DD23" w14:textId="77777777" w:rsidR="00000000" w:rsidRDefault="00000000">
      <w:pPr>
        <w:pStyle w:val="Heading2"/>
        <w:spacing w:after="0"/>
        <w:rPr>
          <w:rFonts w:cs="Arial"/>
        </w:rPr>
      </w:pPr>
      <w:r>
        <w:rPr>
          <w:rFonts w:cs="Arial"/>
        </w:rPr>
        <w:t>General overview of the audit</w:t>
      </w:r>
    </w:p>
    <w:p w14:paraId="22F84947" w14:textId="77777777" w:rsidR="00000000" w:rsidRDefault="00000000">
      <w:pPr>
        <w:spacing w:before="240" w:line="276" w:lineRule="auto"/>
        <w:rPr>
          <w:rFonts w:eastAsia="Calibri"/>
        </w:rPr>
      </w:pPr>
      <w:bookmarkStart w:id="13" w:name="GeneralOverview"/>
      <w:r w:rsidRPr="00A4268A">
        <w:rPr>
          <w:rFonts w:eastAsia="Calibri"/>
        </w:rPr>
        <w:t>Rosewood Rest Home and Hospital, known as Rosewood Lifecare (Rosewood), is owned and operated by Heritage Lifecare Limited (Heritage). Rosewood provides rest home dementia care, hospital level care and specialised psychogeriatric services for up to 66 residents. At the time of audit, the service was being managed by an acting care home manager and acting clinical services manager, both appointed in early 2026 and being supported by Heritage regional business and clinical managers.  There had been no changes to the services offered. Residents and families spoke positively about the care provided.</w:t>
      </w:r>
    </w:p>
    <w:p w14:paraId="2A200029" w14:textId="77777777" w:rsidR="00EB11A0"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NZS 8134:2021 and the contracts held with Health New Zealand – Te Whatu Ora (Te Whatu Ora). The audit process included review of policies and procedures, review of residents’ and staff files, observations, and interviews with residents, whānau members, members of the governance group, managers, staff, a visiting specialist wound care nurse, and a general practitioner.</w:t>
      </w:r>
    </w:p>
    <w:p w14:paraId="28B2F6CB" w14:textId="77777777" w:rsidR="00EB11A0" w:rsidRPr="00A4268A" w:rsidRDefault="00000000">
      <w:pPr>
        <w:spacing w:before="240" w:line="276" w:lineRule="auto"/>
        <w:rPr>
          <w:rFonts w:eastAsia="Calibri"/>
        </w:rPr>
      </w:pPr>
      <w:r w:rsidRPr="00A4268A">
        <w:rPr>
          <w:rFonts w:eastAsia="Calibri"/>
        </w:rPr>
        <w:t>One area for improvement was identified relating to the activities programme.</w:t>
      </w:r>
    </w:p>
    <w:bookmarkEnd w:id="13"/>
    <w:p w14:paraId="74B291AD" w14:textId="77777777" w:rsidR="00EB11A0" w:rsidRPr="00A4268A" w:rsidRDefault="00EB11A0">
      <w:pPr>
        <w:spacing w:before="240" w:line="276" w:lineRule="auto"/>
        <w:rPr>
          <w:rFonts w:eastAsia="Calibri"/>
        </w:rPr>
      </w:pPr>
    </w:p>
    <w:p w14:paraId="018B821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1A0" w14:paraId="41795D5C" w14:textId="77777777" w:rsidTr="00A4268A">
        <w:trPr>
          <w:cantSplit/>
        </w:trPr>
        <w:tc>
          <w:tcPr>
            <w:tcW w:w="10206" w:type="dxa"/>
            <w:vAlign w:val="center"/>
          </w:tcPr>
          <w:p w14:paraId="6009DFD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5DD9CF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1DA9A5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A5F34C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7FF77CC" w14:textId="77777777" w:rsidR="00000000" w:rsidRDefault="00000000">
      <w:pPr>
        <w:spacing w:before="240" w:line="276" w:lineRule="auto"/>
        <w:rPr>
          <w:rFonts w:eastAsia="Calibri"/>
        </w:rPr>
      </w:pPr>
      <w:bookmarkStart w:id="16" w:name="ConsumerRights"/>
      <w:r w:rsidRPr="00A4268A">
        <w:rPr>
          <w:rFonts w:eastAsia="Calibri"/>
        </w:rPr>
        <w:t xml:space="preserve">Rosewood provided an environment that supported residents’ rights and culturally safe care. There was a health plan that encapsulated care specifically directed at Māori, Pacific peoples, and other ethnicities. Rosewood worked collaboratively with internal and external Māori supports to encourage a Māori worldview of health in service delivery. Māori were provided with equitable and effective services based on Te Tiriti o Waitangi and the principles of mana motuhake (self-determination). </w:t>
      </w:r>
    </w:p>
    <w:p w14:paraId="4EA3C418" w14:textId="77777777" w:rsidR="00EB11A0" w:rsidRPr="00A4268A" w:rsidRDefault="00000000">
      <w:pPr>
        <w:spacing w:before="240" w:line="276" w:lineRule="auto"/>
        <w:rPr>
          <w:rFonts w:eastAsia="Calibri"/>
        </w:rPr>
      </w:pPr>
      <w:r w:rsidRPr="00A4268A">
        <w:rPr>
          <w:rFonts w:eastAsia="Calibri"/>
        </w:rPr>
        <w:t xml:space="preserve">Systems and processes were in place to enable Pacific peoples to be provided with services that recognised their worldviews and were culturally safe. </w:t>
      </w:r>
    </w:p>
    <w:p w14:paraId="7BA6B7A3" w14:textId="77777777" w:rsidR="00EB11A0" w:rsidRPr="00A4268A" w:rsidRDefault="00000000">
      <w:pPr>
        <w:spacing w:before="240" w:line="276" w:lineRule="auto"/>
        <w:rPr>
          <w:rFonts w:eastAsia="Calibri"/>
        </w:rPr>
      </w:pPr>
      <w:r w:rsidRPr="00A4268A">
        <w:rPr>
          <w:rFonts w:eastAsia="Calibri"/>
        </w:rPr>
        <w:t xml:space="preserve">Residents and their whānau had been informed of their rights according to the Code of Health and Disability Services Consumers’ Rights (the Code), and these were upheld. Personal identity, independence, privacy, and dignity were respected and supported. Staff reported they had participated in Te Tiriti o Waitangi training, and this was reflected in day-to-day service delivery.  Residents were safe from abuse. </w:t>
      </w:r>
    </w:p>
    <w:p w14:paraId="45DFF022" w14:textId="77777777" w:rsidR="00EB11A0" w:rsidRPr="00A4268A" w:rsidRDefault="00000000">
      <w:pPr>
        <w:spacing w:before="240" w:line="276" w:lineRule="auto"/>
        <w:rPr>
          <w:rFonts w:eastAsia="Calibri"/>
        </w:rPr>
      </w:pPr>
      <w:r w:rsidRPr="00A4268A">
        <w:rPr>
          <w:rFonts w:eastAsia="Calibri"/>
        </w:rPr>
        <w:t>Residents and whānau received information in an easy-to-understand format and felt listened to and included when making decisions about care and treatment.  Open communication was practised, and interpreter services were provided as needed.  Whānau and legal representatives were involved in decision-making that complied with the law. Advance directives are followed wherever possible.</w:t>
      </w:r>
    </w:p>
    <w:p w14:paraId="3B0C355F" w14:textId="77777777" w:rsidR="00EB11A0" w:rsidRPr="00A4268A" w:rsidRDefault="00000000">
      <w:pPr>
        <w:spacing w:before="240" w:line="276" w:lineRule="auto"/>
        <w:rPr>
          <w:rFonts w:eastAsia="Calibri"/>
        </w:rPr>
      </w:pPr>
      <w:r w:rsidRPr="00A4268A">
        <w:rPr>
          <w:rFonts w:eastAsia="Calibri"/>
        </w:rPr>
        <w:t>Complaints are resolved promptly and effectively in collaboration with all parties involved. There are processes in place to ensure that the complaints process works equitably for Māori.</w:t>
      </w:r>
    </w:p>
    <w:bookmarkEnd w:id="16"/>
    <w:p w14:paraId="5E68625D" w14:textId="77777777" w:rsidR="00EB11A0" w:rsidRPr="00A4268A" w:rsidRDefault="00EB11A0">
      <w:pPr>
        <w:spacing w:before="240" w:line="276" w:lineRule="auto"/>
        <w:rPr>
          <w:rFonts w:eastAsia="Calibri"/>
        </w:rPr>
      </w:pPr>
    </w:p>
    <w:p w14:paraId="6592765B"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1A0" w14:paraId="2FFF5693" w14:textId="77777777" w:rsidTr="00A4268A">
        <w:trPr>
          <w:cantSplit/>
        </w:trPr>
        <w:tc>
          <w:tcPr>
            <w:tcW w:w="10206" w:type="dxa"/>
            <w:vAlign w:val="center"/>
          </w:tcPr>
          <w:p w14:paraId="3ED3627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E754E2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44806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1A906BD" w14:textId="77777777" w:rsidR="00000000" w:rsidRDefault="00000000">
      <w:pPr>
        <w:spacing w:before="240" w:line="276" w:lineRule="auto"/>
        <w:rPr>
          <w:rFonts w:eastAsia="Calibri"/>
        </w:rPr>
      </w:pPr>
      <w:bookmarkStart w:id="19" w:name="OrganisationalManagement"/>
      <w:r w:rsidRPr="00A4268A">
        <w:rPr>
          <w:rFonts w:eastAsia="Calibri"/>
        </w:rPr>
        <w:t xml:space="preserve">The organisation is governed by Heritage Lifecare Limited. The board of directors work with the manager at Rosewood to monitor organisational performance and ensure ongoing compliance. 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 </w:t>
      </w:r>
    </w:p>
    <w:p w14:paraId="7C74697B" w14:textId="77777777" w:rsidR="00EB11A0"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Service performance is monitored and reviewed at planned intervals.</w:t>
      </w:r>
    </w:p>
    <w:p w14:paraId="18FF9862" w14:textId="77777777" w:rsidR="00EB11A0"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Residents and whānau provide regular feedback and staff are involved in quality activities. An integrated approach includes the collection and analysis of quality improvement data, identifying trends that leads to improvements. </w:t>
      </w:r>
    </w:p>
    <w:p w14:paraId="2085B574" w14:textId="77777777" w:rsidR="00EB11A0" w:rsidRPr="00A4268A" w:rsidRDefault="00000000">
      <w:pPr>
        <w:spacing w:before="240" w:line="276" w:lineRule="auto"/>
        <w:rPr>
          <w:rFonts w:eastAsia="Calibri"/>
        </w:rPr>
      </w:pPr>
      <w:r w:rsidRPr="00A4268A">
        <w:rPr>
          <w:rFonts w:eastAsia="Calibri"/>
        </w:rPr>
        <w:t xml:space="preserve">Actual and potential risks are identified and mitigated. Adverse events are documented, with corrective actions implemented. The service complies with statutory and regulatory reporting obligations. </w:t>
      </w:r>
    </w:p>
    <w:p w14:paraId="448EF26A" w14:textId="77777777" w:rsidR="00EB11A0" w:rsidRPr="00A4268A" w:rsidRDefault="00000000">
      <w:pPr>
        <w:spacing w:before="240" w:line="276" w:lineRule="auto"/>
        <w:rPr>
          <w:rFonts w:eastAsia="Calibri"/>
        </w:rPr>
      </w:pPr>
      <w:r w:rsidRPr="00A4268A">
        <w:rPr>
          <w:rFonts w:eastAsia="Calibri"/>
        </w:rPr>
        <w:t xml:space="preserve">Staff are appointed, orientated, and managed using current good practice. Staff are suitably skilled and experienced. Staffing levels are sufficient to provide clinically and culturally appropriate care. A systematic approach to identify and deliver ongoing learning supports safe and equitable service delivery. Staff performance is monitored. </w:t>
      </w:r>
    </w:p>
    <w:p w14:paraId="3AF6AD17" w14:textId="77777777" w:rsidR="00EB11A0" w:rsidRPr="00A4268A" w:rsidRDefault="00000000">
      <w:pPr>
        <w:spacing w:before="240" w:line="276" w:lineRule="auto"/>
        <w:rPr>
          <w:rFonts w:eastAsia="Calibri"/>
        </w:rPr>
      </w:pPr>
      <w:r w:rsidRPr="00A4268A">
        <w:rPr>
          <w:rFonts w:eastAsia="Calibri"/>
        </w:rPr>
        <w:t xml:space="preserve">Residents’ information is accurately recorded, securely stored, and was not on public display or accessible to unauthorised people.   </w:t>
      </w:r>
    </w:p>
    <w:bookmarkEnd w:id="19"/>
    <w:p w14:paraId="245B2A5E" w14:textId="77777777" w:rsidR="00EB11A0" w:rsidRPr="00A4268A" w:rsidRDefault="00EB11A0">
      <w:pPr>
        <w:spacing w:before="240" w:line="276" w:lineRule="auto"/>
        <w:rPr>
          <w:rFonts w:eastAsia="Calibri"/>
        </w:rPr>
      </w:pPr>
    </w:p>
    <w:p w14:paraId="587517E9"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1A0" w14:paraId="729A24D6" w14:textId="77777777" w:rsidTr="00A4268A">
        <w:trPr>
          <w:cantSplit/>
        </w:trPr>
        <w:tc>
          <w:tcPr>
            <w:tcW w:w="10206" w:type="dxa"/>
            <w:vAlign w:val="center"/>
          </w:tcPr>
          <w:p w14:paraId="1F23359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24CBA39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34ED6FB"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1E8414C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are admitted to Rosewood, a person-centred and whānau-centred approach is consistently adopted. Relevant, accurate and appropriate information is provided to prospective residents, their legal representatives and whānau at the point of admission to support informed decision-making and facilitate a smooth transition into the service.</w:t>
      </w:r>
    </w:p>
    <w:p w14:paraId="4C1E445A" w14:textId="77777777" w:rsidR="00EB11A0" w:rsidRPr="00A4268A" w:rsidRDefault="00000000" w:rsidP="00621629">
      <w:pPr>
        <w:spacing w:before="240" w:line="276" w:lineRule="auto"/>
        <w:rPr>
          <w:rFonts w:eastAsia="Calibri"/>
        </w:rPr>
      </w:pPr>
      <w:r w:rsidRPr="00A4268A">
        <w:rPr>
          <w:rFonts w:eastAsia="Calibri"/>
        </w:rPr>
        <w:t xml:space="preserve">Rosewood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403108A9" w14:textId="77777777" w:rsidR="00EB11A0"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34261EAD" w14:textId="77777777" w:rsidR="00EB11A0"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3573A02D" w14:textId="77777777" w:rsidR="00EB11A0"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2FD4A335" w14:textId="77777777" w:rsidR="00EB11A0" w:rsidRPr="00A4268A" w:rsidRDefault="00EB11A0" w:rsidP="00621629">
      <w:pPr>
        <w:spacing w:before="240" w:line="276" w:lineRule="auto"/>
        <w:rPr>
          <w:rFonts w:eastAsia="Calibri"/>
        </w:rPr>
      </w:pPr>
    </w:p>
    <w:p w14:paraId="0B85FF5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1A0" w14:paraId="0D548BA4" w14:textId="77777777" w:rsidTr="00A4268A">
        <w:trPr>
          <w:cantSplit/>
        </w:trPr>
        <w:tc>
          <w:tcPr>
            <w:tcW w:w="10206" w:type="dxa"/>
            <w:vAlign w:val="center"/>
          </w:tcPr>
          <w:p w14:paraId="2EA0C9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9529BC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2E6E9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F7DD9AE"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1A14F6E1" w14:textId="77777777" w:rsidR="00EB11A0"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and whānau reported a timely staff response to call bells.  Security is maintained.</w:t>
      </w:r>
    </w:p>
    <w:bookmarkEnd w:id="25"/>
    <w:p w14:paraId="314FC339" w14:textId="77777777" w:rsidR="00EB11A0" w:rsidRPr="00A4268A" w:rsidRDefault="00EB11A0">
      <w:pPr>
        <w:spacing w:before="240" w:line="276" w:lineRule="auto"/>
        <w:rPr>
          <w:rFonts w:eastAsia="Calibri"/>
        </w:rPr>
      </w:pPr>
    </w:p>
    <w:p w14:paraId="5C011EF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1A0" w14:paraId="366AB869" w14:textId="77777777" w:rsidTr="00A4268A">
        <w:trPr>
          <w:cantSplit/>
        </w:trPr>
        <w:tc>
          <w:tcPr>
            <w:tcW w:w="10206" w:type="dxa"/>
            <w:vAlign w:val="center"/>
          </w:tcPr>
          <w:p w14:paraId="320F0CC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66B117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489681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7315243"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Heritage Lifecare governing body ensures the safety of residents and staff through planned infection prevention (IP) and antimicrobial stewardship (AMS) programmes that are appropriate to the size and complexity of the service. The governing body oversees the implementation of the IP programme, which is linked to the quality management system. Annual reviews of the programme were reported to the board, as were any significant infection events. An experienced and trained infection prevention coordinator leads the programme at Rosewood. </w:t>
      </w:r>
    </w:p>
    <w:p w14:paraId="7A2D9E11" w14:textId="77777777" w:rsidR="00EB11A0" w:rsidRPr="00A4268A" w:rsidRDefault="00000000">
      <w:pPr>
        <w:spacing w:before="240" w:line="276" w:lineRule="auto"/>
        <w:rPr>
          <w:rFonts w:eastAsia="Calibri"/>
        </w:rPr>
      </w:pPr>
      <w:r w:rsidRPr="00A4268A">
        <w:rPr>
          <w:rFonts w:eastAsia="Calibri"/>
        </w:rPr>
        <w:t>The environment supports both prevention of infections and mitigation of their transmission.  Waste and hazardous substances were well managed.  There were safe and effective laundry services.</w:t>
      </w:r>
    </w:p>
    <w:bookmarkEnd w:id="28"/>
    <w:p w14:paraId="4315E830" w14:textId="77777777" w:rsidR="00EB11A0" w:rsidRPr="00A4268A" w:rsidRDefault="00EB11A0">
      <w:pPr>
        <w:spacing w:before="240" w:line="276" w:lineRule="auto"/>
        <w:rPr>
          <w:rFonts w:eastAsia="Calibri"/>
        </w:rPr>
      </w:pPr>
    </w:p>
    <w:p w14:paraId="3A79569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1A0" w14:paraId="05E7E0E7" w14:textId="77777777" w:rsidTr="00A4268A">
        <w:trPr>
          <w:cantSplit/>
        </w:trPr>
        <w:tc>
          <w:tcPr>
            <w:tcW w:w="10206" w:type="dxa"/>
            <w:vAlign w:val="center"/>
          </w:tcPr>
          <w:p w14:paraId="5BFB16C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AA58DC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C3E1CE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BABB19F" w14:textId="77777777" w:rsidR="00000000" w:rsidRDefault="00000000">
      <w:pPr>
        <w:spacing w:before="240" w:line="276" w:lineRule="auto"/>
        <w:rPr>
          <w:rFonts w:eastAsia="Calibri"/>
        </w:rPr>
      </w:pPr>
      <w:bookmarkStart w:id="31" w:name="InfectionPreventionAndControl"/>
      <w:r w:rsidRPr="00A4268A">
        <w:rPr>
          <w:rFonts w:eastAsia="Calibri"/>
        </w:rPr>
        <w:t xml:space="preserve">Rosewood is a restraint-free environment. This is supported by the governing body and policies and procedures. There were no residents using restraint at the time of audit. A comprehensive assessment, approval, and monitoring process, with regular reviews is in place should restraint use be required in the future. </w:t>
      </w:r>
    </w:p>
    <w:p w14:paraId="74C9E0F9" w14:textId="77777777" w:rsidR="00EB11A0" w:rsidRPr="00A4268A" w:rsidRDefault="00000000">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the least restrictive practice, de-escalation techniques, and alternative interventions.</w:t>
      </w:r>
    </w:p>
    <w:bookmarkEnd w:id="31"/>
    <w:p w14:paraId="7FC8A3D8" w14:textId="77777777" w:rsidR="00EB11A0" w:rsidRPr="00A4268A" w:rsidRDefault="00EB11A0">
      <w:pPr>
        <w:spacing w:before="240" w:line="276" w:lineRule="auto"/>
        <w:rPr>
          <w:rFonts w:eastAsia="Calibri"/>
        </w:rPr>
      </w:pPr>
    </w:p>
    <w:p w14:paraId="4F428B2E" w14:textId="77777777" w:rsidR="00000000" w:rsidRDefault="00000000" w:rsidP="000E6E02">
      <w:pPr>
        <w:pStyle w:val="Heading2"/>
        <w:spacing w:before="0"/>
        <w:rPr>
          <w:rFonts w:cs="Arial"/>
        </w:rPr>
      </w:pPr>
      <w:r>
        <w:rPr>
          <w:rFonts w:cs="Arial"/>
        </w:rPr>
        <w:lastRenderedPageBreak/>
        <w:t>Summary of attainment</w:t>
      </w:r>
    </w:p>
    <w:p w14:paraId="46E24B5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B11A0" w14:paraId="0652A058" w14:textId="77777777">
        <w:tc>
          <w:tcPr>
            <w:tcW w:w="1384" w:type="dxa"/>
            <w:vAlign w:val="center"/>
          </w:tcPr>
          <w:p w14:paraId="7271041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B71576" w14:textId="77777777" w:rsidR="00000000" w:rsidRDefault="00000000">
            <w:pPr>
              <w:keepNext/>
              <w:spacing w:before="60" w:after="60"/>
              <w:jc w:val="center"/>
              <w:rPr>
                <w:rFonts w:cs="Arial"/>
                <w:b/>
                <w:sz w:val="20"/>
                <w:szCs w:val="20"/>
              </w:rPr>
            </w:pPr>
            <w:r>
              <w:rPr>
                <w:rFonts w:cs="Arial"/>
                <w:b/>
                <w:sz w:val="20"/>
                <w:szCs w:val="20"/>
              </w:rPr>
              <w:t>Continuous Improvement</w:t>
            </w:r>
          </w:p>
          <w:p w14:paraId="2EBF3CB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989F5A6" w14:textId="77777777" w:rsidR="00000000" w:rsidRDefault="00000000">
            <w:pPr>
              <w:keepNext/>
              <w:spacing w:before="60" w:after="60"/>
              <w:jc w:val="center"/>
              <w:rPr>
                <w:rFonts w:cs="Arial"/>
                <w:b/>
                <w:sz w:val="20"/>
                <w:szCs w:val="20"/>
              </w:rPr>
            </w:pPr>
            <w:r>
              <w:rPr>
                <w:rFonts w:cs="Arial"/>
                <w:b/>
                <w:sz w:val="20"/>
                <w:szCs w:val="20"/>
              </w:rPr>
              <w:t>Fully Attained</w:t>
            </w:r>
          </w:p>
          <w:p w14:paraId="3CA1DD1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8AB718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42F2E6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113B72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C67150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99FC6D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19D64D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E31F0C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CEE10D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409606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6C38859" w14:textId="77777777" w:rsidR="00000000" w:rsidRDefault="00000000">
            <w:pPr>
              <w:keepNext/>
              <w:spacing w:before="60" w:after="60"/>
              <w:jc w:val="center"/>
              <w:rPr>
                <w:rFonts w:cs="Arial"/>
                <w:b/>
                <w:sz w:val="20"/>
                <w:szCs w:val="20"/>
              </w:rPr>
            </w:pPr>
            <w:r>
              <w:rPr>
                <w:rFonts w:cs="Arial"/>
                <w:b/>
                <w:sz w:val="20"/>
                <w:szCs w:val="20"/>
              </w:rPr>
              <w:t>(PA Critical)</w:t>
            </w:r>
          </w:p>
        </w:tc>
      </w:tr>
      <w:tr w:rsidR="00EB11A0" w14:paraId="0A49B1EE" w14:textId="77777777">
        <w:tc>
          <w:tcPr>
            <w:tcW w:w="1384" w:type="dxa"/>
            <w:vAlign w:val="center"/>
          </w:tcPr>
          <w:p w14:paraId="2ADDF39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FD5998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6EBA8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12F7F1D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05A28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C39756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358DDA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33B702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B11A0" w14:paraId="5C885A83" w14:textId="77777777">
        <w:tc>
          <w:tcPr>
            <w:tcW w:w="1384" w:type="dxa"/>
            <w:vAlign w:val="center"/>
          </w:tcPr>
          <w:p w14:paraId="483BA85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3B4EF6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F50792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D441B3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8D3FAB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7464F7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F63744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5709EC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605371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B11A0" w14:paraId="20EF24F8" w14:textId="77777777">
        <w:tc>
          <w:tcPr>
            <w:tcW w:w="1384" w:type="dxa"/>
            <w:vAlign w:val="center"/>
          </w:tcPr>
          <w:p w14:paraId="411F75F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EFCCA3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2E658C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9E89826" w14:textId="77777777" w:rsidR="00000000" w:rsidRDefault="00000000">
            <w:pPr>
              <w:keepNext/>
              <w:spacing w:before="60" w:after="60"/>
              <w:jc w:val="center"/>
              <w:rPr>
                <w:rFonts w:cs="Arial"/>
                <w:b/>
                <w:sz w:val="20"/>
                <w:szCs w:val="20"/>
              </w:rPr>
            </w:pPr>
            <w:r>
              <w:rPr>
                <w:rFonts w:cs="Arial"/>
                <w:b/>
                <w:sz w:val="20"/>
                <w:szCs w:val="20"/>
              </w:rPr>
              <w:t>Unattained Low Risk</w:t>
            </w:r>
          </w:p>
          <w:p w14:paraId="3B2192C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20936F0" w14:textId="77777777" w:rsidR="00000000" w:rsidRDefault="00000000">
            <w:pPr>
              <w:keepNext/>
              <w:spacing w:before="60" w:after="60"/>
              <w:jc w:val="center"/>
              <w:rPr>
                <w:rFonts w:cs="Arial"/>
                <w:b/>
                <w:sz w:val="20"/>
                <w:szCs w:val="20"/>
              </w:rPr>
            </w:pPr>
            <w:r>
              <w:rPr>
                <w:rFonts w:cs="Arial"/>
                <w:b/>
                <w:sz w:val="20"/>
                <w:szCs w:val="20"/>
              </w:rPr>
              <w:t>Unattained Moderate Risk</w:t>
            </w:r>
          </w:p>
          <w:p w14:paraId="068D49B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551B19E" w14:textId="77777777" w:rsidR="00000000" w:rsidRDefault="00000000">
            <w:pPr>
              <w:keepNext/>
              <w:spacing w:before="60" w:after="60"/>
              <w:jc w:val="center"/>
              <w:rPr>
                <w:rFonts w:cs="Arial"/>
                <w:b/>
                <w:sz w:val="20"/>
                <w:szCs w:val="20"/>
              </w:rPr>
            </w:pPr>
            <w:r>
              <w:rPr>
                <w:rFonts w:cs="Arial"/>
                <w:b/>
                <w:sz w:val="20"/>
                <w:szCs w:val="20"/>
              </w:rPr>
              <w:t>Unattained High Risk</w:t>
            </w:r>
          </w:p>
          <w:p w14:paraId="5A17E6D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1FED9D5" w14:textId="77777777" w:rsidR="00000000" w:rsidRDefault="00000000">
            <w:pPr>
              <w:keepNext/>
              <w:spacing w:before="60" w:after="60"/>
              <w:jc w:val="center"/>
              <w:rPr>
                <w:rFonts w:cs="Arial"/>
                <w:b/>
                <w:sz w:val="20"/>
                <w:szCs w:val="20"/>
              </w:rPr>
            </w:pPr>
            <w:r>
              <w:rPr>
                <w:rFonts w:cs="Arial"/>
                <w:b/>
                <w:sz w:val="20"/>
                <w:szCs w:val="20"/>
              </w:rPr>
              <w:t>Unattained Critical Risk</w:t>
            </w:r>
          </w:p>
          <w:p w14:paraId="08F7AE87" w14:textId="77777777" w:rsidR="00000000" w:rsidRDefault="00000000">
            <w:pPr>
              <w:keepNext/>
              <w:spacing w:before="60" w:after="60"/>
              <w:jc w:val="center"/>
              <w:rPr>
                <w:rFonts w:cs="Arial"/>
                <w:b/>
                <w:sz w:val="20"/>
                <w:szCs w:val="20"/>
              </w:rPr>
            </w:pPr>
            <w:r>
              <w:rPr>
                <w:rFonts w:cs="Arial"/>
                <w:b/>
                <w:sz w:val="20"/>
                <w:szCs w:val="20"/>
              </w:rPr>
              <w:t>(UA Critical)</w:t>
            </w:r>
          </w:p>
        </w:tc>
      </w:tr>
      <w:tr w:rsidR="00EB11A0" w14:paraId="2BB144DB" w14:textId="77777777">
        <w:tc>
          <w:tcPr>
            <w:tcW w:w="1384" w:type="dxa"/>
            <w:vAlign w:val="center"/>
          </w:tcPr>
          <w:p w14:paraId="116A133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D6FE5A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8C9BB6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E27AE7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35E019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86F2A2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B11A0" w14:paraId="3CD2A799" w14:textId="77777777">
        <w:tc>
          <w:tcPr>
            <w:tcW w:w="1384" w:type="dxa"/>
            <w:vAlign w:val="center"/>
          </w:tcPr>
          <w:p w14:paraId="4AAB56D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A2FEC7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B8F9A6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F24117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BF52E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7DC631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74798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7677E9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8716B5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2307AD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1"/>
        <w:gridCol w:w="1354"/>
        <w:gridCol w:w="6659"/>
      </w:tblGrid>
      <w:tr w:rsidR="00EB11A0" w14:paraId="500452F1" w14:textId="77777777">
        <w:tc>
          <w:tcPr>
            <w:tcW w:w="0" w:type="auto"/>
          </w:tcPr>
          <w:p w14:paraId="58E582D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D8574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9A1A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B11A0" w14:paraId="3AC18511" w14:textId="77777777">
        <w:tc>
          <w:tcPr>
            <w:tcW w:w="0" w:type="auto"/>
          </w:tcPr>
          <w:p w14:paraId="50EEC1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2754B6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8D9FAB8" w14:textId="77777777" w:rsidR="00000000" w:rsidRPr="00BE00C7" w:rsidRDefault="00000000" w:rsidP="00BE00C7">
            <w:pPr>
              <w:pStyle w:val="OutcomeDescription"/>
              <w:spacing w:before="120" w:after="120"/>
              <w:rPr>
                <w:rFonts w:cs="Arial"/>
                <w:lang w:eastAsia="en-NZ"/>
              </w:rPr>
            </w:pPr>
          </w:p>
        </w:tc>
        <w:tc>
          <w:tcPr>
            <w:tcW w:w="0" w:type="auto"/>
          </w:tcPr>
          <w:p w14:paraId="7D7432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B2A6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has a Māori Health Plan which guides care delivery for Māori using Te Whare Tapa Whā model, and by ensuring that mana motuhake is respected. The plan has been developed with input from cultural advisers and can be used for residents who identify as Māori. </w:t>
            </w:r>
          </w:p>
          <w:p w14:paraId="79BC79CB"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engages with an internal Māori Network Komiti (MNK) to support Māori initiatives within the organisation. The MNK is a group of Māori employees. The Komiti has a mandate to further assist the organisation in relation to its Te Tiriti obligations. The MNK has a kaupapa Māori structure and involves people from the clinical leadership group (CLG), clinical service managers (CSMs), site managers, registered nurses (RNs), and other care workers. The group provides information through the clinical governance structure to the board. The MNK is also assisting site managers in the facilities to connect to their local Māori/Pacific/tāngata whaikaha communities. Rosewood can access support through Te Whatu Ora, and through local Māori health providers.</w:t>
            </w:r>
          </w:p>
          <w:p w14:paraId="4E994A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and staff who identified as Māori on the days of the audit. Whānau interviewed were satisfied with the care provided to their loved one.</w:t>
            </w:r>
          </w:p>
          <w:p w14:paraId="69D642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recruitment policy is clear that recruitment will be non-</w:t>
            </w:r>
            <w:r w:rsidRPr="00BE00C7">
              <w:rPr>
                <w:rFonts w:cs="Arial"/>
                <w:lang w:eastAsia="en-NZ"/>
              </w:rPr>
              <w:lastRenderedPageBreak/>
              <w:t xml:space="preserve">discriminatory, and that cultural fit is one aspect of appointing staff. There is a diversity and inclusion policy in place that commits the organisation to uphold the principles of Te Tiriti o Waitangi and to support Heritage’s drive for staff to have a beneficial experience when working in the service. </w:t>
            </w:r>
          </w:p>
          <w:p w14:paraId="5BBA82E6"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on Te Tiriti o Waitangi is part of the Heritage training programme. The training is geared to assist staff to understand the key elements of service provision for Māori, including supporting self-determination (mana motuhake) and the provision of equity in care services. Staff reported, and documentation confirmed, that staff have completed cultural safety training. The audit opened with a welcome and karakia from Rosewood staff.</w:t>
            </w:r>
          </w:p>
          <w:p w14:paraId="1D3CA638" w14:textId="77777777" w:rsidR="00000000" w:rsidRPr="00BE00C7" w:rsidRDefault="00000000" w:rsidP="00BE00C7">
            <w:pPr>
              <w:pStyle w:val="OutcomeDescription"/>
              <w:spacing w:before="120" w:after="120"/>
              <w:rPr>
                <w:rFonts w:cs="Arial"/>
                <w:lang w:eastAsia="en-NZ"/>
              </w:rPr>
            </w:pPr>
          </w:p>
        </w:tc>
      </w:tr>
      <w:tr w:rsidR="00EB11A0" w14:paraId="63F6115E" w14:textId="77777777">
        <w:tc>
          <w:tcPr>
            <w:tcW w:w="0" w:type="auto"/>
          </w:tcPr>
          <w:p w14:paraId="2D1AA5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23A05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6E4ED42" w14:textId="77777777" w:rsidR="00000000" w:rsidRPr="00BE00C7" w:rsidRDefault="00000000" w:rsidP="00BE00C7">
            <w:pPr>
              <w:pStyle w:val="OutcomeDescription"/>
              <w:spacing w:before="120" w:after="120"/>
              <w:rPr>
                <w:rFonts w:cs="Arial"/>
                <w:lang w:eastAsia="en-NZ"/>
              </w:rPr>
            </w:pPr>
          </w:p>
        </w:tc>
        <w:tc>
          <w:tcPr>
            <w:tcW w:w="0" w:type="auto"/>
          </w:tcPr>
          <w:p w14:paraId="076EBE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7F4C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Heritage response to Pacific peoples works on the same principles as Māori. A Pacific Peoples’ Health Plan has been developed with input from cultural advisers that documents care requirements for Pacific peoples to ensure culturally appropriate services. The plan includes the Fonofale model of care for use with Pacific peoples. Engagement with Pacific communities is being assisted by Heritage staff at site level.</w:t>
            </w:r>
          </w:p>
          <w:p w14:paraId="349E040E"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understands the equity issues faced by Pacific peoples and is able to access guidance from people within the organisation around appropriate care and service for Pacific peoples. The staff recruitment policy is clear that recruitment will be non-discriminatory, and that cultural fit is one aspect of appointing staff. There were staff who identified as Pacific peoples on the days of the audit.</w:t>
            </w:r>
          </w:p>
          <w:p w14:paraId="2D0E52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diversity and inclusion policy in place that supports Heritage’s drive for staff to have a beneficial experience when working in the service. Training on the care and support for Pacific peoples is part of the Heritage training programme. The training is geared to assist staff to understand the key elements of service provision for Pacific peoples. Staff reported, and documentation confirmed, that staff have completed cultural safety training.</w:t>
            </w:r>
          </w:p>
          <w:p w14:paraId="198A2690" w14:textId="77777777" w:rsidR="00000000" w:rsidRPr="00BE00C7" w:rsidRDefault="00000000" w:rsidP="00BE00C7">
            <w:pPr>
              <w:pStyle w:val="OutcomeDescription"/>
              <w:spacing w:before="120" w:after="120"/>
              <w:rPr>
                <w:rFonts w:cs="Arial"/>
                <w:lang w:eastAsia="en-NZ"/>
              </w:rPr>
            </w:pPr>
          </w:p>
        </w:tc>
      </w:tr>
      <w:tr w:rsidR="00EB11A0" w14:paraId="0DE648B9" w14:textId="77777777">
        <w:tc>
          <w:tcPr>
            <w:tcW w:w="0" w:type="auto"/>
          </w:tcPr>
          <w:p w14:paraId="72051F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99D62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5E8FCBC" w14:textId="77777777" w:rsidR="00000000" w:rsidRPr="00BE00C7" w:rsidRDefault="00000000" w:rsidP="00BE00C7">
            <w:pPr>
              <w:pStyle w:val="OutcomeDescription"/>
              <w:spacing w:before="120" w:after="120"/>
              <w:rPr>
                <w:rFonts w:cs="Arial"/>
                <w:lang w:eastAsia="en-NZ"/>
              </w:rPr>
            </w:pPr>
          </w:p>
        </w:tc>
        <w:tc>
          <w:tcPr>
            <w:tcW w:w="0" w:type="auto"/>
          </w:tcPr>
          <w:p w14:paraId="46347B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75E1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at Rosewood demonstrated a clear understanding of the requirements and principles of the Code and were observed supporting residents in a manner consistent with their and their whānau’s expressed wishes, preferences, and rights. Staff were able to describe how the Code is applied in everyday practice, including respect, informed choice, dignity, effective communication, and the recognition of Māori mana motuhake in care and decision-making. Education on the Code and its principles is provided to all staff during orientation. Residents and whānau are provided with opportunities for discussion and clarification to support consistent application in practice. </w:t>
            </w:r>
          </w:p>
          <w:p w14:paraId="5351A04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including those who hold an enduring power of attorney (EPOA) for their relative, confirmed during interview that they had been made aware of the Code and the Nationwide Health and Disability Advocacy Service (Advocacy Service) and reported being provided with appropriate opportunities to discuss and clarify their rights. Ongoing opportunities to discuss the Code and related matters are provided through EPOA/whānau meetings, where time is allocated for questions, feedback, and discussion. An independent advocate visits the facility three-monthly to meet with residents and whānau and reports concerns back to the Rosewood management.</w:t>
            </w:r>
          </w:p>
          <w:p w14:paraId="7D7E213F" w14:textId="77777777" w:rsidR="00000000" w:rsidRPr="00BE00C7" w:rsidRDefault="00000000" w:rsidP="00BE00C7">
            <w:pPr>
              <w:pStyle w:val="OutcomeDescription"/>
              <w:spacing w:before="120" w:after="120"/>
              <w:rPr>
                <w:rFonts w:cs="Arial"/>
                <w:lang w:eastAsia="en-NZ"/>
              </w:rPr>
            </w:pPr>
            <w:r w:rsidRPr="00BE00C7">
              <w:rPr>
                <w:rFonts w:cs="Arial"/>
                <w:lang w:eastAsia="en-NZ"/>
              </w:rPr>
              <w:t>Advocacy brochures were readily available in the reception area, alongside clear information about the Code in both te reo Māori and English, ensuring accessibility, cultural responsiveness, and respect for Māori rights and values.</w:t>
            </w:r>
          </w:p>
          <w:p w14:paraId="6ACE7834" w14:textId="77777777" w:rsidR="00000000" w:rsidRPr="00BE00C7" w:rsidRDefault="00000000" w:rsidP="00BE00C7">
            <w:pPr>
              <w:pStyle w:val="OutcomeDescription"/>
              <w:spacing w:before="120" w:after="120"/>
              <w:rPr>
                <w:rFonts w:cs="Arial"/>
                <w:lang w:eastAsia="en-NZ"/>
              </w:rPr>
            </w:pPr>
          </w:p>
        </w:tc>
      </w:tr>
      <w:tr w:rsidR="00EB11A0" w14:paraId="7BB321FE" w14:textId="77777777">
        <w:tc>
          <w:tcPr>
            <w:tcW w:w="0" w:type="auto"/>
          </w:tcPr>
          <w:p w14:paraId="56808EF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CFA59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B380D96" w14:textId="77777777" w:rsidR="00000000" w:rsidRPr="00BE00C7" w:rsidRDefault="00000000" w:rsidP="00BE00C7">
            <w:pPr>
              <w:pStyle w:val="OutcomeDescription"/>
              <w:spacing w:before="120" w:after="120"/>
              <w:rPr>
                <w:rFonts w:cs="Arial"/>
                <w:lang w:eastAsia="en-NZ"/>
              </w:rPr>
            </w:pPr>
          </w:p>
        </w:tc>
        <w:tc>
          <w:tcPr>
            <w:tcW w:w="0" w:type="auto"/>
          </w:tcPr>
          <w:p w14:paraId="406E0B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C02A86" w14:textId="77777777" w:rsidR="00000000" w:rsidRPr="00BE00C7" w:rsidRDefault="00000000" w:rsidP="00BE00C7">
            <w:pPr>
              <w:pStyle w:val="OutcomeDescription"/>
              <w:spacing w:before="120" w:after="120"/>
              <w:rPr>
                <w:rFonts w:cs="Arial"/>
                <w:lang w:eastAsia="en-NZ"/>
              </w:rPr>
            </w:pPr>
            <w:r w:rsidRPr="00BE00C7">
              <w:rPr>
                <w:rFonts w:cs="Arial"/>
                <w:lang w:eastAsia="en-NZ"/>
              </w:rPr>
              <w:t>Rosewood supports residents in a manner that is inclusive, culturally safe, and respectful of their identity, lived experiences, and personal preferences. Residents and EPOA/whānau, including tāngata whaikaha (people with disabilities), confirmed that services were delivered in a way that had regard for their dignity, gender, privacy, confidentiality, sexual orientation, spirituality, values, beliefs, culture, religion, relationship status, and preferred level of interdependence. Residents reported that they were consulted about what is important to them and were provided with opportunities to share this information, which was then reflected in their care and support.</w:t>
            </w:r>
          </w:p>
          <w:p w14:paraId="5F2C42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Throughout the audit, staff were consistently observed to uphold residents’ privacy and dignity in everyday practice. All residents had a private room, and staff were observed routinely knocking on doors, seeking permission before entry, and communicating respectfully to maintain personal dignity and autonomy.</w:t>
            </w:r>
          </w:p>
          <w:p w14:paraId="3FF1B1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through bilingual signage, use of te reo Māori in the activities programme, and education of staff. Staff described undertaking training in Te Tiriti o Waitangi and tikanga Māori during orientation and were able to discuss how this was reflected in their day-to-day interactions and service delivery. </w:t>
            </w:r>
          </w:p>
          <w:p w14:paraId="36370A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appropriately identified and responded to, including enabling and supporting their participation in te ao Māori. Staff were observed speaking to residents in a respectful, supportive, and mana-enhancing manner, and residents and EPOA/whānau interviewed reported feeling respected, listened to, and valued in their daily lives.</w:t>
            </w:r>
          </w:p>
          <w:p w14:paraId="789EB5D8" w14:textId="77777777" w:rsidR="00000000" w:rsidRPr="00BE00C7" w:rsidRDefault="00000000" w:rsidP="00BE00C7">
            <w:pPr>
              <w:pStyle w:val="OutcomeDescription"/>
              <w:spacing w:before="120" w:after="120"/>
              <w:rPr>
                <w:rFonts w:cs="Arial"/>
                <w:lang w:eastAsia="en-NZ"/>
              </w:rPr>
            </w:pPr>
          </w:p>
        </w:tc>
      </w:tr>
      <w:tr w:rsidR="00EB11A0" w14:paraId="04E9E245" w14:textId="77777777">
        <w:tc>
          <w:tcPr>
            <w:tcW w:w="0" w:type="auto"/>
          </w:tcPr>
          <w:p w14:paraId="222BF7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BBAF9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EFCA3E6" w14:textId="77777777" w:rsidR="00000000" w:rsidRPr="00BE00C7" w:rsidRDefault="00000000" w:rsidP="00BE00C7">
            <w:pPr>
              <w:pStyle w:val="OutcomeDescription"/>
              <w:spacing w:before="120" w:after="120"/>
              <w:rPr>
                <w:rFonts w:cs="Arial"/>
                <w:lang w:eastAsia="en-NZ"/>
              </w:rPr>
            </w:pPr>
          </w:p>
        </w:tc>
        <w:tc>
          <w:tcPr>
            <w:tcW w:w="0" w:type="auto"/>
          </w:tcPr>
          <w:p w14:paraId="5D287C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4AB0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at Rosewood demonstrated a clear understanding of the Heritage policies and procedures relating to abuse and neglect, including the identification of potential signs, required actions, and reporting pathways. Staff confirmed they had received education on abuse and neglect and reported feeling confident and supported to raise and report any concerns. There were no examples of discrimination, coercion, harassment, abuse, or neglect identified during the audit through staff interviews, resident and whānau interviews, or documentation reviewed. </w:t>
            </w:r>
          </w:p>
          <w:p w14:paraId="4D598203" w14:textId="77777777" w:rsidR="00000000" w:rsidRPr="00BE00C7" w:rsidRDefault="00000000" w:rsidP="00BE00C7">
            <w:pPr>
              <w:pStyle w:val="OutcomeDescription"/>
              <w:spacing w:before="120" w:after="120"/>
              <w:rPr>
                <w:rFonts w:cs="Arial"/>
                <w:lang w:eastAsia="en-NZ"/>
              </w:rPr>
            </w:pPr>
            <w:r w:rsidRPr="00BE00C7">
              <w:rPr>
                <w:rFonts w:cs="Arial"/>
                <w:lang w:eastAsia="en-NZ"/>
              </w:rPr>
              <w:t>EPOA and whānau interviewed reported that they felt their relatives were well cared for, supported, and safe within their environment at Rosewood. Residents’ personal property was clearly labelled on admission, and residents and EPOA/whānau confirmed that belongings were treated with respect and safeguarded. Residents’ finances are protected, with appropriate safeguarding systems in place.</w:t>
            </w:r>
          </w:p>
          <w:p w14:paraId="7DDD8E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who demonstrated an understanding of behaviours and practices that protect resident wellbeing and avoid any actions that could negatively impact </w:t>
            </w:r>
            <w:r w:rsidRPr="00BE00C7">
              <w:rPr>
                <w:rFonts w:cs="Arial"/>
                <w:lang w:eastAsia="en-NZ"/>
              </w:rPr>
              <w:lastRenderedPageBreak/>
              <w:t xml:space="preserve">residents. Staff interviewed felt safe and supported to raise concerns relating to institutional and systemic racism and were confident that any issues raised would be taken seriously and acted upon by management. </w:t>
            </w:r>
          </w:p>
          <w:p w14:paraId="37AD9D33"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of care was evident throughout the service, with the integration of Te Whare Tapa Whā to support wellbeing outcomes for Māori, recognising the physical, mental, spiritual, and whānau dimensions of health in everyday care and support.</w:t>
            </w:r>
          </w:p>
          <w:p w14:paraId="1A7490F6" w14:textId="77777777" w:rsidR="00000000" w:rsidRPr="00BE00C7" w:rsidRDefault="00000000" w:rsidP="00BE00C7">
            <w:pPr>
              <w:pStyle w:val="OutcomeDescription"/>
              <w:spacing w:before="120" w:after="120"/>
              <w:rPr>
                <w:rFonts w:cs="Arial"/>
                <w:lang w:eastAsia="en-NZ"/>
              </w:rPr>
            </w:pPr>
          </w:p>
        </w:tc>
      </w:tr>
      <w:tr w:rsidR="00EB11A0" w14:paraId="306EF844" w14:textId="77777777">
        <w:tc>
          <w:tcPr>
            <w:tcW w:w="0" w:type="auto"/>
          </w:tcPr>
          <w:p w14:paraId="1B9A2D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4D76A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71953AC" w14:textId="77777777" w:rsidR="00000000" w:rsidRPr="00BE00C7" w:rsidRDefault="00000000" w:rsidP="00BE00C7">
            <w:pPr>
              <w:pStyle w:val="OutcomeDescription"/>
              <w:spacing w:before="120" w:after="120"/>
              <w:rPr>
                <w:rFonts w:cs="Arial"/>
                <w:lang w:eastAsia="en-NZ"/>
              </w:rPr>
            </w:pPr>
          </w:p>
        </w:tc>
        <w:tc>
          <w:tcPr>
            <w:tcW w:w="0" w:type="auto"/>
          </w:tcPr>
          <w:p w14:paraId="01ABC3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66B43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EPOA/whānau reported that communication at Rosewood was open, respectful, and effective, and that they felt listened to. All residents interviewed stated that information was provided to them in an easy-to-understand format, that staff communicated clearly, and that they felt heard when raising questions or concerns. Residents confirmed they have regular opportunities to express their views and provide feedback through resident meetings, and reported that staff were approachable, kind, and responsive to their concerns.</w:t>
            </w:r>
          </w:p>
          <w:p w14:paraId="401BC04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with a disability confirmed that communication met their needs.</w:t>
            </w:r>
          </w:p>
          <w:p w14:paraId="03AC33AC"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whānau in a timely manner, and whānau confirmed they were kept appropriately informed. Whānau and EPOA also have opportunities to attend case conferences to discuss care and receive updates regarding care and service delivery. Where other agencies were involved in care, effective communication was evident, including with nurses or general practitioners, and relevant allied health professionals.</w:t>
            </w:r>
          </w:p>
          <w:p w14:paraId="0046F2BA"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and transparent communication were evident following adverse events and during the management of any complaints, demonstrating a commitment to partnership and accountability.</w:t>
            </w:r>
          </w:p>
          <w:p w14:paraId="3CDA879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knowledge of how to access interpreter services when required, to support effective communication and informed participation.</w:t>
            </w:r>
          </w:p>
          <w:p w14:paraId="269154CD" w14:textId="77777777" w:rsidR="00000000" w:rsidRPr="00BE00C7" w:rsidRDefault="00000000" w:rsidP="00BE00C7">
            <w:pPr>
              <w:pStyle w:val="OutcomeDescription"/>
              <w:spacing w:before="120" w:after="120"/>
              <w:rPr>
                <w:rFonts w:cs="Arial"/>
                <w:lang w:eastAsia="en-NZ"/>
              </w:rPr>
            </w:pPr>
          </w:p>
        </w:tc>
      </w:tr>
      <w:tr w:rsidR="00EB11A0" w14:paraId="3B16AD6D" w14:textId="77777777">
        <w:tc>
          <w:tcPr>
            <w:tcW w:w="0" w:type="auto"/>
          </w:tcPr>
          <w:p w14:paraId="2C3720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9EA43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B2D89DB" w14:textId="77777777" w:rsidR="00000000" w:rsidRPr="00BE00C7" w:rsidRDefault="00000000" w:rsidP="00BE00C7">
            <w:pPr>
              <w:pStyle w:val="OutcomeDescription"/>
              <w:spacing w:before="120" w:after="120"/>
              <w:rPr>
                <w:rFonts w:cs="Arial"/>
                <w:lang w:eastAsia="en-NZ"/>
              </w:rPr>
            </w:pPr>
          </w:p>
        </w:tc>
        <w:tc>
          <w:tcPr>
            <w:tcW w:w="0" w:type="auto"/>
          </w:tcPr>
          <w:p w14:paraId="6D0E5B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C78F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representatives were provided with the information necessary to make informed decisions about care and support, in a manner that was clear, accessible, and culturally appropriate. Those interviewed, including residents, EPOA and whānau, felt empowered to actively participate in decision-making about care, and that their views and preferences were respected. Whānau and EPOA were included in decision-making and were enabled to do so through access to quality information, advice, and relevant resources. </w:t>
            </w:r>
          </w:p>
          <w:p w14:paraId="34DC383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in the dementia and psychogeriatric units at Rosewood had an enduring power of attorney (EPOA), or a welfare guardian was appropriately appointed in accordance with the law, and all relevant legal documentation was available, current, and accessible within the resident’s record. Residents were still supported to be involved in decisions wherever possible, even when a legal representative was acting on their behalf.</w:t>
            </w:r>
          </w:p>
          <w:p w14:paraId="7F64B3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demonstrated a clear understanding of the principles and practice of informed consent, supported by organisational policies aligned with the Code and appropriate tikanga guidelines. Verbal consent was observed to be obtained for day-to-day cares. </w:t>
            </w:r>
          </w:p>
          <w:p w14:paraId="554DC1B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supported in their right to supported decision-making and to make informed choices in accordance with the Code. Advance care planning was appropriately recorded in residents’ files where relevant. Shared goals of care discussions were undertaken with residents and EPOA/whānau and documented in the resident record where applicable.</w:t>
            </w:r>
          </w:p>
          <w:p w14:paraId="230CBF61" w14:textId="77777777" w:rsidR="00000000" w:rsidRPr="00BE00C7" w:rsidRDefault="00000000" w:rsidP="00BE00C7">
            <w:pPr>
              <w:pStyle w:val="OutcomeDescription"/>
              <w:spacing w:before="120" w:after="120"/>
              <w:rPr>
                <w:rFonts w:cs="Arial"/>
                <w:lang w:eastAsia="en-NZ"/>
              </w:rPr>
            </w:pPr>
          </w:p>
        </w:tc>
      </w:tr>
      <w:tr w:rsidR="00EB11A0" w14:paraId="3B7E76AF" w14:textId="77777777">
        <w:tc>
          <w:tcPr>
            <w:tcW w:w="0" w:type="auto"/>
          </w:tcPr>
          <w:p w14:paraId="700809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F60C0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3DC7A748" w14:textId="77777777" w:rsidR="00000000" w:rsidRPr="00BE00C7" w:rsidRDefault="00000000" w:rsidP="00BE00C7">
            <w:pPr>
              <w:pStyle w:val="OutcomeDescription"/>
              <w:spacing w:before="120" w:after="120"/>
              <w:rPr>
                <w:rFonts w:cs="Arial"/>
                <w:lang w:eastAsia="en-NZ"/>
              </w:rPr>
            </w:pPr>
          </w:p>
        </w:tc>
        <w:tc>
          <w:tcPr>
            <w:tcW w:w="0" w:type="auto"/>
          </w:tcPr>
          <w:p w14:paraId="2F6948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16E9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w:t>
            </w:r>
          </w:p>
          <w:p w14:paraId="0AFC17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understood their right to make a complaint and knew how to do so. The complaint policy and associated forms, along with a collection box, were at reception. The information is provided to residents and whānau on admission. The Code is available in te reo </w:t>
            </w:r>
            <w:r w:rsidRPr="00BE00C7">
              <w:rPr>
                <w:rFonts w:cs="Arial"/>
                <w:lang w:eastAsia="en-NZ"/>
              </w:rPr>
              <w:lastRenderedPageBreak/>
              <w:t>Māori, English and New Zealand Sign Language.</w:t>
            </w:r>
          </w:p>
          <w:p w14:paraId="0415AD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acting care home manager (ACHM) is responsible for complaints management and follow-up. A review of the complaints register showed that actions taken, through to an agreed resolution, are documented and completed within the required timeframes. One recently received complaint was open and was in the process of being addressed. Complainants had been informed of findings following investigation where relevant. </w:t>
            </w:r>
          </w:p>
          <w:p w14:paraId="4EB29A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34E7D0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they knew what to do should they receive a complaint. </w:t>
            </w:r>
          </w:p>
          <w:p w14:paraId="3C4332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ACHM advised, and documentation evidenced, that there was a process in place to manage complaints from Māori using hui, appropriate tikanga, and/or te reo Māori as applicable. Staff who identify as Māori, and the local iwi would also be available if needed. There have been complaints received by Māori to date.</w:t>
            </w:r>
          </w:p>
          <w:p w14:paraId="78F07326" w14:textId="77777777" w:rsidR="00000000" w:rsidRPr="00BE00C7" w:rsidRDefault="00000000" w:rsidP="00BE00C7">
            <w:pPr>
              <w:pStyle w:val="OutcomeDescription"/>
              <w:spacing w:before="120" w:after="120"/>
              <w:rPr>
                <w:rFonts w:cs="Arial"/>
                <w:lang w:eastAsia="en-NZ"/>
              </w:rPr>
            </w:pPr>
          </w:p>
        </w:tc>
      </w:tr>
      <w:tr w:rsidR="00EB11A0" w14:paraId="736F21A6" w14:textId="77777777">
        <w:tc>
          <w:tcPr>
            <w:tcW w:w="0" w:type="auto"/>
          </w:tcPr>
          <w:p w14:paraId="7D9BF7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36F36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C977281" w14:textId="77777777" w:rsidR="00000000" w:rsidRPr="00BE00C7" w:rsidRDefault="00000000" w:rsidP="00BE00C7">
            <w:pPr>
              <w:pStyle w:val="OutcomeDescription"/>
              <w:spacing w:before="120" w:after="120"/>
              <w:rPr>
                <w:rFonts w:cs="Arial"/>
                <w:lang w:eastAsia="en-NZ"/>
              </w:rPr>
            </w:pPr>
          </w:p>
        </w:tc>
        <w:tc>
          <w:tcPr>
            <w:tcW w:w="0" w:type="auto"/>
          </w:tcPr>
          <w:p w14:paraId="191092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D62D8A"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operates under a structured governance and operational framework designed to ensure compliance, quality care, strategic alignment, and equitable outcomes across its aged care services.</w:t>
            </w:r>
          </w:p>
          <w:p w14:paraId="529DD50F"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is governed by a board comprising three directors (two based in New Zealand and one in Australia), with an additional adjunct Australian-based director. The board operates under a formal board charter that defines its responsibility for governance, compliance with legal and regulatory requirements, strategic direction, oversight of management, and ethical decision-making. It also sets expectations for board membership, director conduct, board processes, access to independent advice, and performance evaluation. Key roles such as the board chair and company secretary are defined, along with delegated authority to management, the CEO, and committees.</w:t>
            </w:r>
          </w:p>
          <w:p w14:paraId="0C0376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oversees financial and capital management, risk, compliance (including clinical compliance), disclosure, and communication. Legal support is provided through an internal legal team that monitors legislative change and accesses external legal advice when required. </w:t>
            </w:r>
            <w:r w:rsidRPr="00BE00C7">
              <w:rPr>
                <w:rFonts w:cs="Arial"/>
                <w:lang w:eastAsia="en-NZ"/>
              </w:rPr>
              <w:lastRenderedPageBreak/>
              <w:t>Heritage also maintains affiliations with relevant sector bodies, including the New Zealand Aged Care Association and the Retirement Villages Association.</w:t>
            </w:r>
          </w:p>
          <w:p w14:paraId="7BED40C2"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Heritage facility develops its own business plan aligned to organisational strategy, incorporating key performance indicators (KPIs) and subject to quarterly review. Core organisational goals include financial performance, staffing optimisation, village performance (if applicable), quality of care, health and safety, satisfaction ratings, and property and capital management.</w:t>
            </w:r>
          </w:p>
          <w:p w14:paraId="57DA58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Rosewood 2025 business plan, reviewed quarterly, describes annual and longer-term objectives and was sighted. The 2026 quality goals were also sighted. </w:t>
            </w:r>
          </w:p>
          <w:p w14:paraId="6E7765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ACHM, who has been in the role for 2 months, is a RN and has 15 years’ experience in aged care and health administration roles. The ACHM shares their role 50% between Rosewood and another local Heritage facility. An acting clinical services manager (ACSM) oversees the clinical care provided at Rosewood. This person, who has 32 years aged care experience, has been in the role for 6 weeks. Support is provided by the regional clinical quality manager (RCQM) and the regional business manager (RBM). The RBM and RCQM were on site during the audit. </w:t>
            </w:r>
          </w:p>
          <w:p w14:paraId="757969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ACHM reports to the regional business manager (RBM). The RBM reported that adequate information to monitor performance was provided, and that they were well informed on progress, quality and risk.</w:t>
            </w:r>
          </w:p>
          <w:p w14:paraId="4DC861E5"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applies a ‘top-down, bottom-up' information flow system linking board strategy through to operational data collection, including adverse events and complaints. This information is escalated as needed (including sentinel events), analysed, and used to inform corrective actions, governance reporting, and updates to policy and strategy. Responsibility for oversight is shared between Heritage senior leaders, with the head of quality and compliance (HQC) overseeing clinical quality and the head of clinical strategy delivery managing clinical delivery functions.</w:t>
            </w:r>
          </w:p>
          <w:p w14:paraId="1B6062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digital systems support real-time data access for clinical teams and decision-making in the form of dashboards. The organisation also maintains key performance indicators covering clinical outcomes, </w:t>
            </w:r>
            <w:r w:rsidRPr="00BE00C7">
              <w:rPr>
                <w:rFonts w:cs="Arial"/>
                <w:lang w:eastAsia="en-NZ"/>
              </w:rPr>
              <w:lastRenderedPageBreak/>
              <w:t>health and safety, antimicrobial stewardship, and restraint elimination.</w:t>
            </w:r>
          </w:p>
          <w:p w14:paraId="5BA956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operates through a structured pathway from facilities to executive clinical governance and then to the board. The board clinical governance committee meets monthly and reviews clinical indicators such as adverse events, infections, antibiotic use, restraint, complaints, and workforce development, identifying trends and implementing improvement strategies. These are then reported to the board. Board meetings include review of clinical information, sentinel event reporting and external complaint review, including regulatory matters. </w:t>
            </w:r>
          </w:p>
          <w:p w14:paraId="0A64B3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at Rosewood is appropriate to the size and complexity of the service provision The ACSM described the meetings. Meeting minutes were sighted.</w:t>
            </w:r>
          </w:p>
          <w:p w14:paraId="5445B458"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prioritises workforce recruitment and retention, aiming to place the right people in the right roles and maintain stability. Job descriptions define expectations and performance KPIs. Senior recruitment processes include multi-level interview panels, with final approval involving senior leadership. Workforce planning is informed by operational feedback and includes consideration of ethnicity data to support a diverse workforce. Equity considerations also influence staffing decisions and planning.</w:t>
            </w:r>
          </w:p>
          <w:p w14:paraId="11248530" w14:textId="77777777" w:rsidR="00000000" w:rsidRPr="00BE00C7" w:rsidRDefault="00000000" w:rsidP="00BE00C7">
            <w:pPr>
              <w:pStyle w:val="OutcomeDescription"/>
              <w:spacing w:before="120" w:after="120"/>
              <w:rPr>
                <w:rFonts w:cs="Arial"/>
                <w:lang w:eastAsia="en-NZ"/>
              </w:rPr>
            </w:pPr>
            <w:r w:rsidRPr="00BE00C7">
              <w:rPr>
                <w:rFonts w:cs="Arial"/>
                <w:lang w:eastAsia="en-NZ"/>
              </w:rPr>
              <w:t>Equity is embedded across governance, policy, and operational planning, with specific focus on Māori, Pacific peoples, and tāngata whaikaha. Heritage supports equitable access and outcomes through care planning, community engagement, communication with residents and whānau, and feedback mechanisms including surveys, compliments/complaints, and meetings.</w:t>
            </w:r>
          </w:p>
          <w:p w14:paraId="41164786" w14:textId="77777777" w:rsidR="00000000" w:rsidRPr="00BE00C7" w:rsidRDefault="00000000" w:rsidP="00BE00C7">
            <w:pPr>
              <w:pStyle w:val="OutcomeDescription"/>
              <w:spacing w:before="120" w:after="120"/>
              <w:rPr>
                <w:rFonts w:cs="Arial"/>
                <w:lang w:eastAsia="en-NZ"/>
              </w:rPr>
            </w:pPr>
            <w:r w:rsidRPr="00BE00C7">
              <w:rPr>
                <w:rFonts w:cs="Arial"/>
                <w:lang w:eastAsia="en-NZ"/>
              </w:rPr>
              <w:t>A MNK meets quarterly and reports through clinical governance to the board. The organisation also employs kaitiaki staff to support improved outcomes for Māori and Pacific peoples and shares learnings across facilities. Equity initiatives are well established and aligned with national standards.</w:t>
            </w:r>
          </w:p>
          <w:p w14:paraId="0EC2A54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directors have completed cultural safety, Te Tiriti o Waitangi, and health equity training. Governance actively supports community engagement and promotes culturally responsive care and accessibility.</w:t>
            </w:r>
          </w:p>
          <w:p w14:paraId="5C4BD7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Rosewood has 66 beds, and provides services from three units, each focused on providing a particular level of care. The service holds contracts with Te Whatu Ora to provide Age-Related Residential Care (ARRC) at rest home level dementia care, and hospital level care, including medical and psychogeriatric care, respite care and long-term support for residents with chronic health conditions (LTSCHC). </w:t>
            </w:r>
          </w:p>
          <w:p w14:paraId="64A6B8D2"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Rosewood was supporting 63 residents, with 24 residents receiving dementia level care in the Totara unit including one respite resident and one resident under the LTSCHC contract, 19 residents were receiving hospital level care in the Rata unit and 20 residents were receiving psychogeriatric support in the Rimu unit, including one resident under the LTSCHC contract.</w:t>
            </w:r>
          </w:p>
          <w:p w14:paraId="6B0D2C73" w14:textId="77777777" w:rsidR="00000000" w:rsidRPr="00BE00C7" w:rsidRDefault="00000000" w:rsidP="00BE00C7">
            <w:pPr>
              <w:pStyle w:val="OutcomeDescription"/>
              <w:spacing w:before="120" w:after="120"/>
              <w:rPr>
                <w:rFonts w:cs="Arial"/>
                <w:lang w:eastAsia="en-NZ"/>
              </w:rPr>
            </w:pPr>
          </w:p>
        </w:tc>
      </w:tr>
      <w:tr w:rsidR="00EB11A0" w14:paraId="1A681ABE" w14:textId="77777777">
        <w:tc>
          <w:tcPr>
            <w:tcW w:w="0" w:type="auto"/>
          </w:tcPr>
          <w:p w14:paraId="096AD0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1CC6C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A6A58D6" w14:textId="77777777" w:rsidR="00000000" w:rsidRPr="00BE00C7" w:rsidRDefault="00000000" w:rsidP="00BE00C7">
            <w:pPr>
              <w:pStyle w:val="OutcomeDescription"/>
              <w:spacing w:before="120" w:after="120"/>
              <w:rPr>
                <w:rFonts w:cs="Arial"/>
                <w:lang w:eastAsia="en-NZ"/>
              </w:rPr>
            </w:pPr>
          </w:p>
        </w:tc>
        <w:tc>
          <w:tcPr>
            <w:tcW w:w="0" w:type="auto"/>
          </w:tcPr>
          <w:p w14:paraId="5CDF05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EC61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w:t>
            </w:r>
          </w:p>
          <w:p w14:paraId="7174BBD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whānau and staff contribute to quality improvement through meetings, surveys, using suggestion boxes, or talking with the ACHM. The results of the September 2025 whānau survey, and the associated analysis, were reviewed. The RBM reported that people were very satisfied with the service, and this was confirmed in resident and whānau interviews. The 2026 survey was completed in March and is currently being analysed by Heritage. The RBM reported that the August 2025 staff survey returned a satisfactory level of satisfaction.</w:t>
            </w:r>
          </w:p>
          <w:p w14:paraId="26585C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ACHM is responsible for quality. Quality improvement initiatives reviewed included the ongoing improvement in the meal delivery and experience for residents.</w:t>
            </w:r>
          </w:p>
          <w:p w14:paraId="26CEBEA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contractual requirements and were current.</w:t>
            </w:r>
          </w:p>
          <w:p w14:paraId="6473CA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2026 internal audits schedule was sighted. Completed audits include cleaning, laundry, infection prevention, kitchen, care planning </w:t>
            </w:r>
            <w:r w:rsidRPr="00BE00C7">
              <w:rPr>
                <w:rFonts w:cs="Arial"/>
                <w:lang w:eastAsia="en-NZ"/>
              </w:rPr>
              <w:lastRenderedPageBreak/>
              <w:t xml:space="preserve">and the environment. Internal audit results were reported at the staff meetings, and health and safety meetings. These forums are used to review and evaluate progress against established quality outcomes. Where required, corrective action plans were developed, and evidence of these was sighted. Each corrective action plan included the area of focus, the improvement action required, the timeframe and the person responsible. Once the corrective action plan had been fully completed, it was signed off by the ACHM or ACSM to document that the issue has been resolved. </w:t>
            </w:r>
          </w:p>
          <w:p w14:paraId="4924E5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ensures staff can deliver high-quality health care for Māori through, for example, training including cultural safety training, cultural assessments and care plans.</w:t>
            </w:r>
          </w:p>
          <w:p w14:paraId="278297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ACHM described the processes for the identification, documentation, monitoring, review and reporting of risks, including health and safety risks, and development of mitigation strategies. The current risk register was sighted. Staff interviewed reported that they knew to report risks, and these were reviewed and discussed at staff meetings and at the health and safety meetings.</w:t>
            </w:r>
          </w:p>
          <w:p w14:paraId="5800FB0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actions followed up in a timely manner. Evidence was sighted that resident-related incidents are being disclosed with the designated next of kin.</w:t>
            </w:r>
          </w:p>
          <w:p w14:paraId="38ABCE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ACHM understood and has complied with essential notification reporting requirements. Section 31 notifications were sighted, including for a respiratory outbreak, a scabies outbreak, residents away without leave, challenging behaviours, and a stranger who entered the building. Mitigation strategies were developed where relevant. The ACHM reported that there have been no police investigations, coroner’s inquests, issues-based audits or employment disputes since the previous audit. Reporting to the Health Quality &amp; Safety Commission related to clinical incidents was sighted for two pressure injuries.</w:t>
            </w:r>
          </w:p>
          <w:p w14:paraId="321383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organisational practices to improve health equity is occurring, with appropriate follow-up and reporting. Heritage uses benchmarking to compare performance against peers and aims to be a </w:t>
            </w:r>
            <w:r w:rsidRPr="00BE00C7">
              <w:rPr>
                <w:rFonts w:cs="Arial"/>
                <w:lang w:eastAsia="en-NZ"/>
              </w:rPr>
              <w:lastRenderedPageBreak/>
              <w:t>sector leader in aged care quality. The RCQM reported, and evidence was sighted, of critical analysis of practices. They reported that medication errors, falls and pressure injuries were low compared to other Heritage facilities. The ACSM described actions to mitigate the risk further. Graphs and narrative analysis were sighted.</w:t>
            </w:r>
          </w:p>
          <w:p w14:paraId="319E2116" w14:textId="77777777" w:rsidR="00000000" w:rsidRPr="00BE00C7" w:rsidRDefault="00000000" w:rsidP="00BE00C7">
            <w:pPr>
              <w:pStyle w:val="OutcomeDescription"/>
              <w:spacing w:before="120" w:after="120"/>
              <w:rPr>
                <w:rFonts w:cs="Arial"/>
                <w:lang w:eastAsia="en-NZ"/>
              </w:rPr>
            </w:pPr>
          </w:p>
        </w:tc>
      </w:tr>
      <w:tr w:rsidR="00EB11A0" w14:paraId="2AFDE8E7" w14:textId="77777777">
        <w:tc>
          <w:tcPr>
            <w:tcW w:w="0" w:type="auto"/>
          </w:tcPr>
          <w:p w14:paraId="26D6A5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3857A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2C97BDE" w14:textId="77777777" w:rsidR="00000000" w:rsidRPr="00BE00C7" w:rsidRDefault="00000000" w:rsidP="00BE00C7">
            <w:pPr>
              <w:pStyle w:val="OutcomeDescription"/>
              <w:spacing w:before="120" w:after="120"/>
              <w:rPr>
                <w:rFonts w:cs="Arial"/>
                <w:lang w:eastAsia="en-NZ"/>
              </w:rPr>
            </w:pPr>
          </w:p>
        </w:tc>
        <w:tc>
          <w:tcPr>
            <w:tcW w:w="0" w:type="auto"/>
          </w:tcPr>
          <w:p w14:paraId="06A195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FA66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A Safe Rostering tool was used. The facility adjusts staffing levels to meet the changing needs of residents. A review of three weekly rosters confirmed adequate staff cover had been provided, with staff replaced in any unplanned absence. A multidisciplinary team (MDT) approach ensures all aspects of service delivery are met. Those providing care reported there were adequate staff to complete the work allocated to them. </w:t>
            </w:r>
          </w:p>
          <w:p w14:paraId="4433855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supported this. There is always at least one staff member on duty who has a current first aid certificate, and there is 24/7 RN coverage for the hospital and psychogeriatric unit. There are staff who have worked in this care home for between 10 weeks and 30 years. An after-hours on-call system is in place, with the ACSM and ACHM sharing the role to provide support 24/7. Staff reported that good access to advice is available when needed.</w:t>
            </w:r>
          </w:p>
          <w:p w14:paraId="078FEC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ACHM described the recruitment process, which ensures staff have the skills, attitudes, qualifications, experience, attributes and referee and police vetting checks to meet the needs of the people being supported. </w:t>
            </w:r>
          </w:p>
          <w:p w14:paraId="37754D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competency policy guides the service to ensure competencies are assessed and support equitable service delivery. Documentation and staff confirmed the training.</w:t>
            </w:r>
          </w:p>
          <w:p w14:paraId="2A1F9B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and includes mandatory training requirements. Staff reported at interview, and documentation confirmed, that staff have received training to care for hospital-level care residents, including manual handling and hoisting, palliative care, syringe driver, dementia, fire evacuation, restraint-free training, medication, cultural safety and the Code of Rights. </w:t>
            </w:r>
          </w:p>
          <w:p w14:paraId="19A264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ACHM reported, and staff confirmed, that staff hold Level 3 and 4 New Zealand Qualifications Authority (NZQA) education qualifications to meet the requirements of the provider’s agreements with Te Whatu Ora. Documentation was sighted.</w:t>
            </w:r>
          </w:p>
          <w:p w14:paraId="05EBDE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are held with the resident and their EPOA/whānau to discuss and sign care plans. Residents’ meetings are held bi-monthly and are an opportunity for people to discuss and express opinions on aspects of the service. A sample of resident and whānau meeting minutes was sighted. Minutes of meetings with an independent advocate evidenced that people were satisfied with the meals and the staff.  </w:t>
            </w:r>
          </w:p>
          <w:p w14:paraId="44CDA2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collection and sharing of high-quality Māori health information across the service is through policy and procedure, resources, appropriate care planning using relevant models of care, resident and whānau engagement, and through staff education. </w:t>
            </w:r>
          </w:p>
          <w:p w14:paraId="1FE2C3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ACHM reported that, where health equity expertise is not available, external agencies are contacted to support in the development of health equity expertise for health care and support workers. For example, Te Whatu Ora gerontology staff, palliative care, and specialist wound care. </w:t>
            </w:r>
          </w:p>
          <w:p w14:paraId="5960FD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There are policies and procedures in place around wellness, bullying and harassment. An employee assistance programme (EAP) is available to staff who may require extra support. Staff described being well supported by the provider.   </w:t>
            </w:r>
          </w:p>
          <w:p w14:paraId="78F35B2E" w14:textId="77777777" w:rsidR="00000000" w:rsidRPr="00BE00C7" w:rsidRDefault="00000000" w:rsidP="00BE00C7">
            <w:pPr>
              <w:pStyle w:val="OutcomeDescription"/>
              <w:spacing w:before="120" w:after="120"/>
              <w:rPr>
                <w:rFonts w:cs="Arial"/>
                <w:lang w:eastAsia="en-NZ"/>
              </w:rPr>
            </w:pPr>
          </w:p>
        </w:tc>
      </w:tr>
      <w:tr w:rsidR="00EB11A0" w14:paraId="398CE810" w14:textId="77777777">
        <w:tc>
          <w:tcPr>
            <w:tcW w:w="0" w:type="auto"/>
          </w:tcPr>
          <w:p w14:paraId="69DC9C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F7403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0BDC15D" w14:textId="77777777" w:rsidR="00000000" w:rsidRPr="00BE00C7" w:rsidRDefault="00000000" w:rsidP="00BE00C7">
            <w:pPr>
              <w:pStyle w:val="OutcomeDescription"/>
              <w:spacing w:before="120" w:after="120"/>
              <w:rPr>
                <w:rFonts w:cs="Arial"/>
                <w:lang w:eastAsia="en-NZ"/>
              </w:rPr>
            </w:pPr>
          </w:p>
        </w:tc>
        <w:tc>
          <w:tcPr>
            <w:tcW w:w="0" w:type="auto"/>
          </w:tcPr>
          <w:p w14:paraId="7AAFEB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EA31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10 staff records reviewed confirmed the organisation’s policies are being consistently implemented. </w:t>
            </w:r>
          </w:p>
          <w:p w14:paraId="3875A3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Position descriptions were documented and were sighted in the files reviewed. Qualifications were validated prior to employment and then checked and documented annually. Current annual practicing certificates were sighted for the 12 RNs, nine pharmacists, the dietitian, and the general practitioner. The diversional therapist’s Level 4 NZQA certificate was sighted. </w:t>
            </w:r>
          </w:p>
          <w:p w14:paraId="140CF9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ACHM and ACSM reported that twenty-six of the thirty-three staff working in the two dementia services have completed the required training. Seven staff are in the process of completing the New Zealand Qualifications Authority standard specific to dementia units.  Documentation was sighted. Staff confirmed their training at interview.</w:t>
            </w:r>
          </w:p>
          <w:p w14:paraId="50D7103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orientation programme prepared them well and includes all necessary components relevant to the role. Staff described their orientation and that they are buddied with an experienced staff member for as long as necessary to ensure competency. Evidence of this was seen in files reviewed. Staff confirmed that performance is reviewed and discussed during and after orientation, and annually thereafter. Completed reviews were sighted. Information held about staff is accurate, relevant, secure, stored, and archived confidentially.</w:t>
            </w:r>
          </w:p>
          <w:p w14:paraId="659544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data is username- and password-protected. Information is available only to those authorised to use it. Ethnicity data is recorded and used in accordance with Health Information Standards Organisation (HISO) requirements. </w:t>
            </w:r>
          </w:p>
          <w:p w14:paraId="2A682F48"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that the opportunity for debrief and support is available to them. Staff reported that incident reports are discussed at staff meetings. They can be involved in a debrief and discussion and receive support following incidents, to ensure wellbeing.</w:t>
            </w:r>
          </w:p>
          <w:p w14:paraId="79EAA370" w14:textId="77777777" w:rsidR="00000000" w:rsidRPr="00BE00C7" w:rsidRDefault="00000000" w:rsidP="00BE00C7">
            <w:pPr>
              <w:pStyle w:val="OutcomeDescription"/>
              <w:spacing w:before="120" w:after="120"/>
              <w:rPr>
                <w:rFonts w:cs="Arial"/>
                <w:lang w:eastAsia="en-NZ"/>
              </w:rPr>
            </w:pPr>
          </w:p>
        </w:tc>
      </w:tr>
      <w:tr w:rsidR="00EB11A0" w14:paraId="402E99A2" w14:textId="77777777">
        <w:tc>
          <w:tcPr>
            <w:tcW w:w="0" w:type="auto"/>
          </w:tcPr>
          <w:p w14:paraId="6DAF88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21C21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C3F2478" w14:textId="77777777" w:rsidR="00000000" w:rsidRPr="00BE00C7" w:rsidRDefault="00000000" w:rsidP="00BE00C7">
            <w:pPr>
              <w:pStyle w:val="OutcomeDescription"/>
              <w:spacing w:before="120" w:after="120"/>
              <w:rPr>
                <w:rFonts w:cs="Arial"/>
                <w:lang w:eastAsia="en-NZ"/>
              </w:rPr>
            </w:pPr>
          </w:p>
        </w:tc>
        <w:tc>
          <w:tcPr>
            <w:tcW w:w="0" w:type="auto"/>
          </w:tcPr>
          <w:p w14:paraId="6D66BC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621D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quality records that comply with relevant legislation, health information standards and professional guidelines. Most information is held electronically, and is password protected. Any paper-based records are held securely, available only to authorised users.</w:t>
            </w:r>
          </w:p>
          <w:p w14:paraId="6406F3B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are integrated electronic and hard copy files. Files for residents and staff are held securely for the required period before being destroyed. No personal or private resident information was on public display during the audit.</w:t>
            </w:r>
          </w:p>
          <w:p w14:paraId="79C154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t>
            </w:r>
            <w:r w:rsidRPr="00BE00C7">
              <w:rPr>
                <w:rFonts w:cs="Arial"/>
                <w:lang w:eastAsia="en-NZ"/>
              </w:rPr>
              <w:lastRenderedPageBreak/>
              <w:t>were current, integrated and legible, and met current documentation standards. Consents are sighted for data collection. Data collected includes ethnicity data.</w:t>
            </w:r>
          </w:p>
          <w:p w14:paraId="08DB5C54" w14:textId="77777777" w:rsidR="00000000" w:rsidRPr="00BE00C7" w:rsidRDefault="00000000" w:rsidP="00BE00C7">
            <w:pPr>
              <w:pStyle w:val="OutcomeDescription"/>
              <w:spacing w:before="120" w:after="120"/>
              <w:rPr>
                <w:rFonts w:cs="Arial"/>
                <w:lang w:eastAsia="en-NZ"/>
              </w:rPr>
            </w:pPr>
            <w:r w:rsidRPr="00BE00C7">
              <w:rPr>
                <w:rFonts w:cs="Arial"/>
                <w:lang w:eastAsia="en-NZ"/>
              </w:rPr>
              <w:t>Rosewood is not responsible for National Health Index registration of people receiving services.</w:t>
            </w:r>
          </w:p>
          <w:p w14:paraId="6271BB62" w14:textId="77777777" w:rsidR="00000000" w:rsidRPr="00BE00C7" w:rsidRDefault="00000000" w:rsidP="00BE00C7">
            <w:pPr>
              <w:pStyle w:val="OutcomeDescription"/>
              <w:spacing w:before="120" w:after="120"/>
              <w:rPr>
                <w:rFonts w:cs="Arial"/>
                <w:lang w:eastAsia="en-NZ"/>
              </w:rPr>
            </w:pPr>
          </w:p>
        </w:tc>
      </w:tr>
      <w:tr w:rsidR="00EB11A0" w14:paraId="670DBA0F" w14:textId="77777777">
        <w:tc>
          <w:tcPr>
            <w:tcW w:w="0" w:type="auto"/>
          </w:tcPr>
          <w:p w14:paraId="56C8BF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E64C8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B5FA7A2" w14:textId="77777777" w:rsidR="00000000" w:rsidRPr="00BE00C7" w:rsidRDefault="00000000" w:rsidP="00BE00C7">
            <w:pPr>
              <w:pStyle w:val="OutcomeDescription"/>
              <w:spacing w:before="120" w:after="120"/>
              <w:rPr>
                <w:rFonts w:cs="Arial"/>
                <w:lang w:eastAsia="en-NZ"/>
              </w:rPr>
            </w:pPr>
          </w:p>
        </w:tc>
        <w:tc>
          <w:tcPr>
            <w:tcW w:w="0" w:type="auto"/>
          </w:tcPr>
          <w:p w14:paraId="0FAECA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9B19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welcomed into Rosewood when their required level of care has been assessed and confirmed by the local Needs Assessment and Service Coordination (NASC) agency. All residents admitted to the secure dementia and psychogeriatric units had a specialist’s authorisation for placement and were admitted with the consent of their EPOA.  </w:t>
            </w:r>
          </w:p>
          <w:p w14:paraId="3C1C89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whānau/EPOA interviewed were satisfied with the admission process and the information that had been made available to them on admission.  </w:t>
            </w:r>
          </w:p>
          <w:p w14:paraId="2DD77A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Enquiries are documented and, where a prospective resident is declined entry, there are processes for communicating the decision, although this rarely occurs. Related data is documented and analysed, including data for Māori. </w:t>
            </w:r>
          </w:p>
          <w:p w14:paraId="3E8F5B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local Māori communities and organisations, including the local iwi, to support Māori and their whānau when entering the service. Staff who identify as Māori also provide support. There were currently no residents who had requested the services of a Māori health practitioner or traditional Māori healer. Māori interviewed confirmed they feel supported at Rosewood and that their needs are being met.</w:t>
            </w:r>
          </w:p>
          <w:p w14:paraId="1CAE555E" w14:textId="77777777" w:rsidR="00000000" w:rsidRPr="00BE00C7" w:rsidRDefault="00000000" w:rsidP="00BE00C7">
            <w:pPr>
              <w:pStyle w:val="OutcomeDescription"/>
              <w:spacing w:before="120" w:after="120"/>
              <w:rPr>
                <w:rFonts w:cs="Arial"/>
                <w:lang w:eastAsia="en-NZ"/>
              </w:rPr>
            </w:pPr>
          </w:p>
        </w:tc>
      </w:tr>
      <w:tr w:rsidR="00EB11A0" w14:paraId="31002EDE" w14:textId="77777777">
        <w:tc>
          <w:tcPr>
            <w:tcW w:w="0" w:type="auto"/>
          </w:tcPr>
          <w:p w14:paraId="14A7B3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090D9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50071A7F" w14:textId="77777777" w:rsidR="00000000" w:rsidRPr="00BE00C7" w:rsidRDefault="00000000" w:rsidP="00BE00C7">
            <w:pPr>
              <w:pStyle w:val="OutcomeDescription"/>
              <w:spacing w:before="120" w:after="120"/>
              <w:rPr>
                <w:rFonts w:cs="Arial"/>
                <w:lang w:eastAsia="en-NZ"/>
              </w:rPr>
            </w:pPr>
          </w:p>
        </w:tc>
        <w:tc>
          <w:tcPr>
            <w:tcW w:w="0" w:type="auto"/>
          </w:tcPr>
          <w:p w14:paraId="3B9049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5A4D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and optimise quality of life.  Eight resident files were reviewed: two receiving dementia rest home care and six hospital-level care, including three from the psychogeriatric unit. Files included residents receiving care under the ARRC contract, and residents being cared for under the long-term support contract for </w:t>
            </w:r>
            <w:r w:rsidRPr="00BE00C7">
              <w:rPr>
                <w:rFonts w:cs="Arial"/>
                <w:lang w:eastAsia="en-NZ"/>
              </w:rPr>
              <w:lastRenderedPageBreak/>
              <w:t xml:space="preserve">chronic health conditions. The files included residents who identified as Māori, residents with complex comorbidities, residents with behavioural needs, residents with diabetes, residents with compromised mobility, residents with wounds and input from the specialist wound care service, residents recently transferred to an acute facility, and residents whose level of care needs had recently changed. </w:t>
            </w:r>
          </w:p>
          <w:p w14:paraId="08551D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verified that a care plan, based on the provider’s model of care, was developed by a registered nurse following a comprehensive assessment, including consideration of the person’s lived experience, cultural needs, values, beliefs and preferences, and which considered wider service integration, where required.  Care planning for a Māori resident demonstrated culturally sensitive interventions, goals, and evaluation. Interview confirmed that residents and whānau were satisfied their cultural needs were being met. Early warning signs and risks, with a focus on prevention or escalation for appropriate interventions, are recorded. </w:t>
            </w:r>
          </w:p>
          <w:p w14:paraId="4468FBF6"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were based on a comprehensive range of clinical assessments and included resident and whānau input as applicable.  Timeframes for the initial assessment, medical practitioner assessment, initial care plan, interRAI assessments, long-term care planning, and scheduled review timeframes met contractual and policy requirements.  All care plans reviewed were comprehensive, contained goals and interventions, and evaluations were documented. Staff demonstrated understanding of how to support Māori and whānau to identify their own pae ora outcomes within the care planning process. This was verified through sampling of resident records and interviews with clinical staff, residents, and whānau.</w:t>
            </w:r>
          </w:p>
          <w:p w14:paraId="0A96EC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Progress notes from the registered nurse detailed when a resident’s needs changed and the actions taken, including referral to the general practitioner and acute services. Where progress is different to that expected, changes are made to the care plan in collaboration with the resident and EPOA. Where residents had input from outside specialist services such as a wound care specialist, dietitian, and physiotherapist, this input was included in care planning. Residents and </w:t>
            </w:r>
            <w:r w:rsidRPr="00BE00C7">
              <w:rPr>
                <w:rFonts w:cs="Arial"/>
                <w:lang w:eastAsia="en-NZ"/>
              </w:rPr>
              <w:lastRenderedPageBreak/>
              <w:t>EPOA confirmed active involvement in the process.</w:t>
            </w:r>
          </w:p>
          <w:p w14:paraId="5AF8E6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including ‘About Me’, ‘Pastoral Care’ and ‘Life History’.  Examples of choices and control over service delivery were discussed with staff, tāngata whaikaha, and EPOA/whānau.  Tāngata whaikaha and whānau can independently access information. </w:t>
            </w:r>
          </w:p>
          <w:p w14:paraId="19A3C26A"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was interviewed and stated that nurses had the required skills and knowledge, and that they were happy with the standard of care at Rosewood.</w:t>
            </w:r>
          </w:p>
          <w:p w14:paraId="36F35B3E" w14:textId="77777777" w:rsidR="00000000" w:rsidRPr="00BE00C7" w:rsidRDefault="00000000" w:rsidP="001909CA">
            <w:pPr>
              <w:pStyle w:val="OutcomeDescription"/>
              <w:spacing w:before="120" w:after="120"/>
              <w:rPr>
                <w:rFonts w:cs="Arial"/>
                <w:lang w:eastAsia="en-NZ"/>
              </w:rPr>
            </w:pPr>
          </w:p>
        </w:tc>
      </w:tr>
      <w:tr w:rsidR="00EB11A0" w14:paraId="4052C4FE" w14:textId="77777777">
        <w:tc>
          <w:tcPr>
            <w:tcW w:w="0" w:type="auto"/>
          </w:tcPr>
          <w:p w14:paraId="6F12D0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FCAB8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F131853" w14:textId="77777777" w:rsidR="00000000" w:rsidRPr="00BE00C7" w:rsidRDefault="00000000" w:rsidP="00BE00C7">
            <w:pPr>
              <w:pStyle w:val="OutcomeDescription"/>
              <w:spacing w:before="120" w:after="120"/>
              <w:rPr>
                <w:rFonts w:cs="Arial"/>
                <w:lang w:eastAsia="en-NZ"/>
              </w:rPr>
            </w:pPr>
          </w:p>
        </w:tc>
        <w:tc>
          <w:tcPr>
            <w:tcW w:w="0" w:type="auto"/>
          </w:tcPr>
          <w:p w14:paraId="7A990E5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CC889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Rosewood is provided by a diversional therapist employed 30 hours a week and supported by two activities assistants who work 37 hours and 15 hours per week. The programme is further supported by caregivers when the activities team are not present at the weekends and evenings, although caregivers reported they do not always have the time required to support activities.</w:t>
            </w:r>
          </w:p>
          <w:p w14:paraId="1453E357"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profiles identify individual interests and consider the person’s identity.  A diversional therapy plan is developed for all residents and included consideration of their usual pattern of life over a 24-hour period.  The activities programme is planned over seven days and activities documented in the plan were suitable to support residents to maintain and develop their interests and were suitable for their age and stage of life. However, few activities were planned in individual areas (hospital, psychogeriatric unit and dementia rest home), no activities are planned at the weekend, and few activities were observed to be occurring during the two days of audit; refer criterion 3.3.1.</w:t>
            </w:r>
          </w:p>
          <w:p w14:paraId="714546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included normal community activities and opportunities for Māori and whānau to participate in te ao Māori are facilitated. Community initiatives meet the needs of Māori.   </w:t>
            </w:r>
          </w:p>
          <w:p w14:paraId="09BD5AD8" w14:textId="77777777" w:rsidR="00000000" w:rsidRPr="00BE00C7" w:rsidRDefault="00000000" w:rsidP="00BE00C7">
            <w:pPr>
              <w:pStyle w:val="OutcomeDescription"/>
              <w:spacing w:before="120" w:after="120"/>
              <w:rPr>
                <w:rFonts w:cs="Arial"/>
                <w:lang w:eastAsia="en-NZ"/>
              </w:rPr>
            </w:pPr>
          </w:p>
        </w:tc>
      </w:tr>
      <w:tr w:rsidR="00EB11A0" w14:paraId="4DF30631" w14:textId="77777777">
        <w:tc>
          <w:tcPr>
            <w:tcW w:w="0" w:type="auto"/>
          </w:tcPr>
          <w:p w14:paraId="425C2A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4E1DA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782822A" w14:textId="77777777" w:rsidR="00000000" w:rsidRPr="00BE00C7" w:rsidRDefault="00000000" w:rsidP="00BE00C7">
            <w:pPr>
              <w:pStyle w:val="OutcomeDescription"/>
              <w:spacing w:before="120" w:after="120"/>
              <w:rPr>
                <w:rFonts w:cs="Arial"/>
                <w:lang w:eastAsia="en-NZ"/>
              </w:rPr>
            </w:pPr>
          </w:p>
        </w:tc>
        <w:tc>
          <w:tcPr>
            <w:tcW w:w="0" w:type="auto"/>
          </w:tcPr>
          <w:p w14:paraId="74C86C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F4BC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up to date and aligned with the Medicines Care Guide for Residential Aged Care and current best practice. A safe system for medicine management, utilising an electronic </w:t>
            </w:r>
            <w:r w:rsidRPr="00BE00C7">
              <w:rPr>
                <w:rFonts w:cs="Arial"/>
                <w:lang w:eastAsia="en-NZ"/>
              </w:rPr>
              <w:lastRenderedPageBreak/>
              <w:t>medication management system, was observed on the day of audit. All staff who administer medicines were appropriately trained, assessed as competent, and authorised to perform this function.</w:t>
            </w:r>
          </w:p>
          <w:p w14:paraId="12F94D0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processes were evident and consistently applied. All medicines sighted during the audit were within current use-by dates.</w:t>
            </w:r>
          </w:p>
          <w:p w14:paraId="010D632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including controlled drugs, were stored securely in accordance with regulatory and policy requirements. Required stock checks had been completed as scheduled, and medicines were stored within the recommended temperature range, with monitoring records available.</w:t>
            </w:r>
          </w:p>
          <w:p w14:paraId="79A2C0C9"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clearly documented, and any adverse events were responded to appropriately and in a timely manner. Over-the-counter medications and supplements were considered and documented by the prescriber as part of each resident’s overall medication regimen. The required three-monthly medical or nurse practitioner medication review was consistently recorded on the medicine chart. Standing orders are not used at Rosewood.</w:t>
            </w:r>
          </w:p>
          <w:p w14:paraId="73CAE0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 the Rosewood Court secure dementia and psychogeriatric units do not self-administer medications and this practice is not supported by policy. There are systems in place to facilitate safe self-administration of medication for respite residents in the hospital, if required. This was confirmed by the CSM and RN.   </w:t>
            </w:r>
          </w:p>
          <w:p w14:paraId="491348B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EPOA are supported to understand their medications, with education provided by clinical staff as required.</w:t>
            </w:r>
          </w:p>
          <w:p w14:paraId="03D999EF" w14:textId="77777777" w:rsidR="00000000" w:rsidRPr="00BE00C7" w:rsidRDefault="00000000" w:rsidP="00BE00C7">
            <w:pPr>
              <w:pStyle w:val="OutcomeDescription"/>
              <w:spacing w:before="120" w:after="120"/>
              <w:rPr>
                <w:rFonts w:cs="Arial"/>
                <w:lang w:eastAsia="en-NZ"/>
              </w:rPr>
            </w:pPr>
          </w:p>
        </w:tc>
      </w:tr>
      <w:tr w:rsidR="00EB11A0" w14:paraId="5A454AD1" w14:textId="77777777">
        <w:tc>
          <w:tcPr>
            <w:tcW w:w="0" w:type="auto"/>
          </w:tcPr>
          <w:p w14:paraId="7F4171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CB0C9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w:t>
            </w:r>
            <w:r w:rsidRPr="00BE00C7">
              <w:rPr>
                <w:rFonts w:cs="Arial"/>
                <w:lang w:eastAsia="en-NZ"/>
              </w:rPr>
              <w:lastRenderedPageBreak/>
              <w:t>needs are met to promote and maintain their health and wellbeing.</w:t>
            </w:r>
          </w:p>
          <w:p w14:paraId="7523FE8C" w14:textId="77777777" w:rsidR="00000000" w:rsidRPr="00BE00C7" w:rsidRDefault="00000000" w:rsidP="00BE00C7">
            <w:pPr>
              <w:pStyle w:val="OutcomeDescription"/>
              <w:spacing w:before="120" w:after="120"/>
              <w:rPr>
                <w:rFonts w:cs="Arial"/>
                <w:lang w:eastAsia="en-NZ"/>
              </w:rPr>
            </w:pPr>
          </w:p>
        </w:tc>
        <w:tc>
          <w:tcPr>
            <w:tcW w:w="0" w:type="auto"/>
          </w:tcPr>
          <w:p w14:paraId="00E92A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051C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was aligned with recognised nutritional guidelines for people receiving aged residential care. The menu had been reviewed by a qualified dietitian within the last two years, and documentation confirmed that recommendations from this review had been implemented.</w:t>
            </w:r>
          </w:p>
          <w:p w14:paraId="3B1309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management complied with current legislation and </w:t>
            </w:r>
            <w:r w:rsidRPr="00BE00C7">
              <w:rPr>
                <w:rFonts w:cs="Arial"/>
                <w:lang w:eastAsia="en-NZ"/>
              </w:rPr>
              <w:lastRenderedPageBreak/>
              <w:t>best-practice guidelines. The service operates under an approved food safety plan and registration with an expiry date of 29 January 2027, with evidence of ongoing monitoring and compliance.</w:t>
            </w:r>
          </w:p>
          <w:p w14:paraId="6461525A"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received a comprehensive nutritional assessment on admission. Personal food preferences, special dietary requirements, intolerances or allergies and modified texture needs were identified and accommodated within the daily meal plan. Māori residents and their whānau have access to menu options that reflect te ao Māori, and individual cultural food preferences can be catered for as required.</w:t>
            </w:r>
          </w:p>
          <w:p w14:paraId="04A121D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had opportunities to be involved in the preparation of food where appropriate to the service as part of the activities programme.</w:t>
            </w:r>
          </w:p>
          <w:p w14:paraId="349AD7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Snacks including sandwiches, fruit, biscuits, and drinks are available 24/7. </w:t>
            </w:r>
          </w:p>
          <w:p w14:paraId="33404595"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and EPOA satisfaction with meals was verified through resident and EPOA/whānau interviews, satisfaction survey results, and residents’ and whānau meeting minutes. Residents interviewed stated that the food was good. Whānau members also confirmed satisfaction. Residents were observed to be given sufficient time to eat their meals in an unhurried manner, and those requiring assistance received this support respectfully and with dignity.</w:t>
            </w:r>
          </w:p>
          <w:p w14:paraId="43BA39B9" w14:textId="77777777" w:rsidR="00000000" w:rsidRPr="00BE00C7" w:rsidRDefault="00000000" w:rsidP="00BE00C7">
            <w:pPr>
              <w:pStyle w:val="OutcomeDescription"/>
              <w:spacing w:before="120" w:after="120"/>
              <w:rPr>
                <w:rFonts w:cs="Arial"/>
                <w:lang w:eastAsia="en-NZ"/>
              </w:rPr>
            </w:pPr>
          </w:p>
        </w:tc>
      </w:tr>
      <w:tr w:rsidR="00EB11A0" w14:paraId="2E006A7E" w14:textId="77777777">
        <w:tc>
          <w:tcPr>
            <w:tcW w:w="0" w:type="auto"/>
          </w:tcPr>
          <w:p w14:paraId="2F542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98C48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5BC9B57" w14:textId="77777777" w:rsidR="00000000" w:rsidRPr="00BE00C7" w:rsidRDefault="00000000" w:rsidP="00BE00C7">
            <w:pPr>
              <w:pStyle w:val="OutcomeDescription"/>
              <w:spacing w:before="120" w:after="120"/>
              <w:rPr>
                <w:rFonts w:cs="Arial"/>
                <w:lang w:eastAsia="en-NZ"/>
              </w:rPr>
            </w:pPr>
          </w:p>
        </w:tc>
        <w:tc>
          <w:tcPr>
            <w:tcW w:w="0" w:type="auto"/>
          </w:tcPr>
          <w:p w14:paraId="4FA015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5823A7"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Rosewood was planned and managed safely, with clear coordination between services and in collaboration with the resident and their EPOA/whānau. Risks and current support needs were identified, documented, and actively managed throughout the process. Where appropriate, options to access other health and disability services, as well as relevant social and cultural supports, were discussed with residents and whānau to support informed decision-making and continuity of care.</w:t>
            </w:r>
          </w:p>
          <w:p w14:paraId="0F5C97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interviewed reported that they were kept well informed during the transfer of their relative. Documentation reviewed demonstrated comprehensive assessment and planning for district hospital transfers, and a clearly defined process was in place to support effective </w:t>
            </w:r>
            <w:r w:rsidRPr="00BE00C7">
              <w:rPr>
                <w:rFonts w:cs="Arial"/>
                <w:lang w:eastAsia="en-NZ"/>
              </w:rPr>
              <w:lastRenderedPageBreak/>
              <w:t>communication, clinical handover, and safe transitions between services.</w:t>
            </w:r>
          </w:p>
          <w:p w14:paraId="6E1EC88B" w14:textId="77777777" w:rsidR="00000000" w:rsidRPr="00BE00C7" w:rsidRDefault="00000000" w:rsidP="00BE00C7">
            <w:pPr>
              <w:pStyle w:val="OutcomeDescription"/>
              <w:spacing w:before="120" w:after="120"/>
              <w:rPr>
                <w:rFonts w:cs="Arial"/>
                <w:lang w:eastAsia="en-NZ"/>
              </w:rPr>
            </w:pPr>
          </w:p>
        </w:tc>
      </w:tr>
      <w:tr w:rsidR="00EB11A0" w14:paraId="35BDE055" w14:textId="77777777">
        <w:tc>
          <w:tcPr>
            <w:tcW w:w="0" w:type="auto"/>
          </w:tcPr>
          <w:p w14:paraId="610230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BFD18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7B461D3" w14:textId="77777777" w:rsidR="00000000" w:rsidRPr="00BE00C7" w:rsidRDefault="00000000" w:rsidP="00BE00C7">
            <w:pPr>
              <w:pStyle w:val="OutcomeDescription"/>
              <w:spacing w:before="120" w:after="120"/>
              <w:rPr>
                <w:rFonts w:cs="Arial"/>
                <w:lang w:eastAsia="en-NZ"/>
              </w:rPr>
            </w:pPr>
          </w:p>
        </w:tc>
        <w:tc>
          <w:tcPr>
            <w:tcW w:w="0" w:type="auto"/>
          </w:tcPr>
          <w:p w14:paraId="4E19B3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FB5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maintained, and that they meet legislative requirements. A planned maintenance schedule included electrical testing and tagging, resident equipment checks, and checking and calibration of clinical equipment. Monthly hot water tests were completed for resident areas; these were sighted and were all within normal limits. The building had a building warrant of fitness that expires on 1 April 2027. </w:t>
            </w:r>
          </w:p>
          <w:p w14:paraId="277D40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external areas within the facility for leisure activities, with appropriate seating and shade. The dementia and psychogeriatric wings meet the specific needs of these groups and included safe external areas for residents to walk around.  </w:t>
            </w:r>
          </w:p>
          <w:p w14:paraId="0B1480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Corridors have handrails promoting independence and safe mobility. Personalised equipment was available for residents with disabilities to meet their needs, and residents were observed to be safely using this. Spaces are culturally inclusive and suit the needs of the resident groups. Lounges and dining facilities meet the needs of residents, and these are also used for activities. </w:t>
            </w:r>
          </w:p>
          <w:p w14:paraId="2C9D18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numbers of accessible toilet facilities, some shared between two rooms, some ensuites, and others shared between a few rooms.  These were also situated near dining and recreation areas convenient for the residents.  Staff and visitor toilets were separate.  </w:t>
            </w:r>
          </w:p>
          <w:p w14:paraId="21B368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rooms were spacious and allowed room for the use of mobility aids and moving and handling equipment if required. Rooms are personalised according to the resident’s preference. All rooms have a window allowing for natural light, with safety catches for security. Electric heating is provided in the facility, which can be adjusted depending on seasonality and outside temperature. </w:t>
            </w:r>
          </w:p>
          <w:p w14:paraId="7ABEDC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staff and whānau interviewed were happy with the environment, including heating and ventilation, privacy, and </w:t>
            </w:r>
            <w:r w:rsidRPr="00BE00C7">
              <w:rPr>
                <w:rFonts w:cs="Arial"/>
                <w:lang w:eastAsia="en-NZ"/>
              </w:rPr>
              <w:lastRenderedPageBreak/>
              <w:t xml:space="preserve">maintenance. </w:t>
            </w:r>
          </w:p>
          <w:p w14:paraId="072802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currently no plans for further building projects requiring consultation, but Heritage Lifecare directors were aware of the requirement to consult with Māori if this was envisaged.</w:t>
            </w:r>
          </w:p>
          <w:p w14:paraId="24E66503" w14:textId="77777777" w:rsidR="00000000" w:rsidRPr="00BE00C7" w:rsidRDefault="00000000" w:rsidP="00BE00C7">
            <w:pPr>
              <w:pStyle w:val="OutcomeDescription"/>
              <w:spacing w:before="120" w:after="120"/>
              <w:rPr>
                <w:rFonts w:cs="Arial"/>
                <w:lang w:eastAsia="en-NZ"/>
              </w:rPr>
            </w:pPr>
          </w:p>
        </w:tc>
      </w:tr>
      <w:tr w:rsidR="00EB11A0" w14:paraId="29780122" w14:textId="77777777">
        <w:tc>
          <w:tcPr>
            <w:tcW w:w="0" w:type="auto"/>
          </w:tcPr>
          <w:p w14:paraId="5053F8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0663F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DAF6128" w14:textId="77777777" w:rsidR="00000000" w:rsidRPr="00BE00C7" w:rsidRDefault="00000000" w:rsidP="00BE00C7">
            <w:pPr>
              <w:pStyle w:val="OutcomeDescription"/>
              <w:spacing w:before="120" w:after="120"/>
              <w:rPr>
                <w:rFonts w:cs="Arial"/>
                <w:lang w:eastAsia="en-NZ"/>
              </w:rPr>
            </w:pPr>
          </w:p>
        </w:tc>
        <w:tc>
          <w:tcPr>
            <w:tcW w:w="0" w:type="auto"/>
          </w:tcPr>
          <w:p w14:paraId="3C2F11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B596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been trained and knew what to do in an emergency, including the specific needs of the residents in the dementia wings. There is a first aid certified staff member on duty 24/7, and the diversional therapist who takes residents on outings outside the facility has first aid certification. Information on emergency and security arrangements is provided to residents and their whānau on entry to the service. All staff were noted to be wearing uniforms and name badges during the audit. </w:t>
            </w:r>
          </w:p>
          <w:p w14:paraId="7553B7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the New Zealand Fire Service on 7 November 2006. The last fire evacuation drill was completed on 2 February 2026.  Staff reported, and documentation confirmed, that staff have been trained in the evacuation of residents. Call boxes, hose reels, floor plans, sprinklers, alarms, exit signs, and fire action notices were sighted.</w:t>
            </w:r>
          </w:p>
          <w:p w14:paraId="27B2A3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orientation programme includes fire and security training. Staff files evidenced that staff were trained in emergency procedures. Staff confirmed their awareness of the emergency procedures and attend regular fire drills. Staff reported attending fire safety training, and records confirmed this.</w:t>
            </w:r>
          </w:p>
          <w:p w14:paraId="0B3574C8"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staff respond timely to call bells.</w:t>
            </w:r>
          </w:p>
          <w:p w14:paraId="1CCDD5C1"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dry food, medical supplies, personal protective equipment (PPE), and a gas BBQ were sighted. Supplies were checked prior to the audit. Alternative essential energy and utility resources are available should the main supplies fail. Sufficient water is stored and was sighted. This meets the National Emergency Management Agency recommendations for the region.</w:t>
            </w:r>
          </w:p>
          <w:p w14:paraId="1F8E10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Appropriate security arrangements are in place. External doors are locked and are checked throughout the evening and night shift. Security cameras are strategically positioned, and appropriate signage is in place. Their use does not compromise personal privacy. </w:t>
            </w:r>
          </w:p>
          <w:p w14:paraId="2815175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are informed of the emergency and security arrangements at entry. Residents, whānau, and staff were familiar with emergency and security arrangements.</w:t>
            </w:r>
          </w:p>
          <w:p w14:paraId="4C2E5B79" w14:textId="77777777" w:rsidR="00000000" w:rsidRPr="00BE00C7" w:rsidRDefault="00000000" w:rsidP="00BE00C7">
            <w:pPr>
              <w:pStyle w:val="OutcomeDescription"/>
              <w:spacing w:before="120" w:after="120"/>
              <w:rPr>
                <w:rFonts w:cs="Arial"/>
                <w:lang w:eastAsia="en-NZ"/>
              </w:rPr>
            </w:pPr>
          </w:p>
        </w:tc>
      </w:tr>
      <w:tr w:rsidR="00EB11A0" w14:paraId="2F364838" w14:textId="77777777">
        <w:tc>
          <w:tcPr>
            <w:tcW w:w="0" w:type="auto"/>
          </w:tcPr>
          <w:p w14:paraId="7BD036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DC647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AA4676E" w14:textId="77777777" w:rsidR="00000000" w:rsidRPr="00BE00C7" w:rsidRDefault="00000000" w:rsidP="00BE00C7">
            <w:pPr>
              <w:pStyle w:val="OutcomeDescription"/>
              <w:spacing w:before="120" w:after="120"/>
              <w:rPr>
                <w:rFonts w:cs="Arial"/>
                <w:lang w:eastAsia="en-NZ"/>
              </w:rPr>
            </w:pPr>
          </w:p>
        </w:tc>
        <w:tc>
          <w:tcPr>
            <w:tcW w:w="0" w:type="auto"/>
          </w:tcPr>
          <w:p w14:paraId="5020AC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8EECCF"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demonstrates a structured governance approach to infection prevention (IP) and antimicrobial stewardship (AMS), ensuring compliance with national standards and supporting safe, high-quality clinical care across its facilities.</w:t>
            </w:r>
          </w:p>
          <w:p w14:paraId="561F6C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recognises its accountability for ensuring that effective IP and AMS systems are in place. Governance actively participates in national and regional IP and AMS programmes and responds appropriately to emerging issues of regional and national significance. Clinical outcomes, including IP and AMS, are monitored through established board surveillance activities and KPIs.</w:t>
            </w:r>
          </w:p>
          <w:p w14:paraId="0E843144"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has comprehensive IP and AMS policies and infection prevention programmes that demonstrate organisational commitment to quality and safety. IP and AMS activities are supported by clinically competent personnel at governance and operational levels. Regional staff provide guidance and assistance to individual facilities to ensure consistent implementation of IP and AMS practices.</w:t>
            </w:r>
          </w:p>
          <w:p w14:paraId="0062BA2D"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structures ensure that IP and AMS information is regularly reviewed at governance meetings and escalated to the board through regular board reporting. Sentinel events are reported immediately to ensure timely oversight and response. The board receives and analyses data relating to infection rates and antimicrobial use, including information disaggregated by ethnicity. This analysis supports evidence-based decision-making and contributes to improved clinical governance and equitable health care outcomes.</w:t>
            </w:r>
          </w:p>
          <w:p w14:paraId="668CF3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and clinical governance committee can access specialist IP and AMS advice through executive-level clinical experts, service-level </w:t>
            </w:r>
            <w:r w:rsidRPr="00BE00C7">
              <w:rPr>
                <w:rFonts w:cs="Arial"/>
                <w:lang w:eastAsia="en-NZ"/>
              </w:rPr>
              <w:lastRenderedPageBreak/>
              <w:t>clinicians, Te Whatu Ora and national and regional public health. Relevant information and recommendations are then communicated to the board to support informed governance decisions.</w:t>
            </w:r>
          </w:p>
          <w:p w14:paraId="487442DF" w14:textId="77777777" w:rsidR="00000000" w:rsidRPr="00BE00C7" w:rsidRDefault="00000000" w:rsidP="00BE00C7">
            <w:pPr>
              <w:pStyle w:val="OutcomeDescription"/>
              <w:spacing w:before="120" w:after="120"/>
              <w:rPr>
                <w:rFonts w:cs="Arial"/>
                <w:lang w:eastAsia="en-NZ"/>
              </w:rPr>
            </w:pPr>
          </w:p>
        </w:tc>
      </w:tr>
      <w:tr w:rsidR="00EB11A0" w14:paraId="2B1CC4BB" w14:textId="77777777">
        <w:tc>
          <w:tcPr>
            <w:tcW w:w="0" w:type="auto"/>
          </w:tcPr>
          <w:p w14:paraId="507D52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2DA8C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547EF34" w14:textId="77777777" w:rsidR="00000000" w:rsidRPr="00BE00C7" w:rsidRDefault="00000000" w:rsidP="00BE00C7">
            <w:pPr>
              <w:pStyle w:val="OutcomeDescription"/>
              <w:spacing w:before="120" w:after="120"/>
              <w:rPr>
                <w:rFonts w:cs="Arial"/>
                <w:lang w:eastAsia="en-NZ"/>
              </w:rPr>
            </w:pPr>
          </w:p>
        </w:tc>
        <w:tc>
          <w:tcPr>
            <w:tcW w:w="0" w:type="auto"/>
          </w:tcPr>
          <w:p w14:paraId="73B07D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D9C8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policies reflected the requirements of the standard and are based on current accepted good practice.  There is an infection prevention and antimicrobial stewardship programme in place that has been developed by those with IP expertise, is linked to the quality improvement programme, and has been approved by the Heritage Lifecare governing body. Annual review of the programme last occurred in December 2025 and reporting to governance had occurred.</w:t>
            </w:r>
          </w:p>
          <w:p w14:paraId="41DA8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a registered nurse responsible for overseeing and implementing the IP programme, with reporting lines to the ACSM and ACHM and to the Heritage Lifecare regional clinical quality manager and the national IP lead. The IPCC has appropriate skills, knowledge and qualifications for the role and confirmed access to the necessary resources and support. Their advice, and/or the advice of the Heritage Lifecare national IP lead, has been sought when making decisions around procurement relevant to care delivery, design of any new building or facility changes, and policies.</w:t>
            </w:r>
          </w:p>
          <w:p w14:paraId="77BC5AE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Cultural advice is accessed where appropriate through the Komiti Māori and Māori staff.</w:t>
            </w:r>
          </w:p>
          <w:p w14:paraId="0FF747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EPOA/whānau are educated about infection prevention in a manner that meets their needs. Educational resources are available in te reo Māori. </w:t>
            </w:r>
          </w:p>
          <w:p w14:paraId="1C838F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personal protective equipment (PPE) available, and staff have been trained accordingly. </w:t>
            </w:r>
          </w:p>
          <w:p w14:paraId="7E26160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16288255" w14:textId="77777777" w:rsidR="00000000" w:rsidRPr="00BE00C7" w:rsidRDefault="00000000" w:rsidP="00BE00C7">
            <w:pPr>
              <w:pStyle w:val="OutcomeDescription"/>
              <w:spacing w:before="120" w:after="120"/>
              <w:rPr>
                <w:rFonts w:cs="Arial"/>
                <w:lang w:eastAsia="en-NZ"/>
              </w:rPr>
            </w:pPr>
          </w:p>
        </w:tc>
      </w:tr>
      <w:tr w:rsidR="00EB11A0" w14:paraId="55BA7C6C" w14:textId="77777777">
        <w:tc>
          <w:tcPr>
            <w:tcW w:w="0" w:type="auto"/>
          </w:tcPr>
          <w:p w14:paraId="09B409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AD216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8C2EEC0" w14:textId="77777777" w:rsidR="00000000" w:rsidRPr="00BE00C7" w:rsidRDefault="00000000" w:rsidP="00BE00C7">
            <w:pPr>
              <w:pStyle w:val="OutcomeDescription"/>
              <w:spacing w:before="120" w:after="120"/>
              <w:rPr>
                <w:rFonts w:cs="Arial"/>
                <w:lang w:eastAsia="en-NZ"/>
              </w:rPr>
            </w:pPr>
          </w:p>
        </w:tc>
        <w:tc>
          <w:tcPr>
            <w:tcW w:w="0" w:type="auto"/>
          </w:tcPr>
          <w:p w14:paraId="794E21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767E51"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actively promoted at Rosewood. The antimicrobial stewardship (AMS) programme was appropriate for the size and complexity of the service and was supported by current policies and procedures. The effectiveness of the AMS programme was evaluated through regular monitoring of antimicrobial use, with identification of trends and opportunities for improvement.</w:t>
            </w:r>
          </w:p>
          <w:p w14:paraId="6DD8D1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and the resident general practitioner were interviewed during the audit and both confirmed that they work collaboratively to minimise unnecessary antibiotic use in older persons. They described a shared approach whereby antibiotics were generally prescribed only when a culture had been sent to the laboratory and/or the resident was clearly symptomatic, in line with best-practice AMS principles.</w:t>
            </w:r>
          </w:p>
          <w:p w14:paraId="31EFC08C" w14:textId="77777777" w:rsidR="00000000" w:rsidRPr="00BE00C7" w:rsidRDefault="00000000" w:rsidP="00BE00C7">
            <w:pPr>
              <w:pStyle w:val="OutcomeDescription"/>
              <w:spacing w:before="120" w:after="120"/>
              <w:rPr>
                <w:rFonts w:cs="Arial"/>
                <w:lang w:eastAsia="en-NZ"/>
              </w:rPr>
            </w:pPr>
          </w:p>
        </w:tc>
      </w:tr>
      <w:tr w:rsidR="00EB11A0" w14:paraId="0EAB43B1" w14:textId="77777777">
        <w:tc>
          <w:tcPr>
            <w:tcW w:w="0" w:type="auto"/>
          </w:tcPr>
          <w:p w14:paraId="6E4412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48A6F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DF1797A" w14:textId="77777777" w:rsidR="00000000" w:rsidRPr="00BE00C7" w:rsidRDefault="00000000" w:rsidP="00BE00C7">
            <w:pPr>
              <w:pStyle w:val="OutcomeDescription"/>
              <w:spacing w:before="120" w:after="120"/>
              <w:rPr>
                <w:rFonts w:cs="Arial"/>
                <w:lang w:eastAsia="en-NZ"/>
              </w:rPr>
            </w:pPr>
          </w:p>
        </w:tc>
        <w:tc>
          <w:tcPr>
            <w:tcW w:w="0" w:type="auto"/>
          </w:tcPr>
          <w:p w14:paraId="03CE06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CECE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and is in line with risks and priorities defined in the IP programme. </w:t>
            </w:r>
          </w:p>
          <w:p w14:paraId="45E51B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methods, tools, documentation, analysis, and assignment of responsibilities were described within the IP framework and aligned with standardised surveillance definitions. Surveillance processes include the routine capture of resident ethnicity data. Monthly surveillance data was collated and analysed to identify any trends, possible causative factors, and required actions. Results of the surveillance programme are shared with staff and reported to the national IP lead and Heritage Lifecare governing body.  </w:t>
            </w:r>
          </w:p>
          <w:p w14:paraId="016B9961"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17E7BD69" w14:textId="77777777" w:rsidR="00000000" w:rsidRPr="00BE00C7" w:rsidRDefault="00000000" w:rsidP="00BE00C7">
            <w:pPr>
              <w:pStyle w:val="OutcomeDescription"/>
              <w:spacing w:before="120" w:after="120"/>
              <w:rPr>
                <w:rFonts w:cs="Arial"/>
                <w:lang w:eastAsia="en-NZ"/>
              </w:rPr>
            </w:pPr>
            <w:r w:rsidRPr="00BE00C7">
              <w:rPr>
                <w:rFonts w:cs="Arial"/>
                <w:lang w:eastAsia="en-NZ"/>
              </w:rPr>
              <w:t>A summary report for a recent infection outbreak was reviewed and demonstrated a thorough process of investigation and follow-up.  Learnings from the event have now been incorporated into practice.</w:t>
            </w:r>
          </w:p>
          <w:p w14:paraId="305A2E34" w14:textId="77777777" w:rsidR="00000000" w:rsidRPr="00BE00C7" w:rsidRDefault="00000000" w:rsidP="00BE00C7">
            <w:pPr>
              <w:pStyle w:val="OutcomeDescription"/>
              <w:spacing w:before="120" w:after="120"/>
              <w:rPr>
                <w:rFonts w:cs="Arial"/>
                <w:lang w:eastAsia="en-NZ"/>
              </w:rPr>
            </w:pPr>
          </w:p>
        </w:tc>
      </w:tr>
      <w:tr w:rsidR="00EB11A0" w14:paraId="5FF76AA6" w14:textId="77777777">
        <w:tc>
          <w:tcPr>
            <w:tcW w:w="0" w:type="auto"/>
          </w:tcPr>
          <w:p w14:paraId="5B50A1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F4BA7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45EC2DD" w14:textId="77777777" w:rsidR="00000000" w:rsidRPr="00BE00C7" w:rsidRDefault="00000000" w:rsidP="00BE00C7">
            <w:pPr>
              <w:pStyle w:val="OutcomeDescription"/>
              <w:spacing w:before="120" w:after="120"/>
              <w:rPr>
                <w:rFonts w:cs="Arial"/>
                <w:lang w:eastAsia="en-NZ"/>
              </w:rPr>
            </w:pPr>
          </w:p>
        </w:tc>
        <w:tc>
          <w:tcPr>
            <w:tcW w:w="0" w:type="auto"/>
          </w:tcPr>
          <w:p w14:paraId="52667C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C1B5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hygienic, and well-maintained environment supported the </w:t>
            </w:r>
            <w:r w:rsidRPr="00BE00C7">
              <w:rPr>
                <w:rFonts w:cs="Arial"/>
                <w:lang w:eastAsia="en-NZ"/>
              </w:rPr>
              <w:lastRenderedPageBreak/>
              <w:t xml:space="preserve">prevention of infection and mitigation of transmission of antimicrobial-resistant organisms. The facility presented was clean, tidy, and homely throughout the audit, and created a comfortable and welcoming living environment for residents. </w:t>
            </w:r>
          </w:p>
          <w:p w14:paraId="625ADC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consistently followed documented policies and processes for cleaning, laundry, and the management of waste and infectious and hazardous substances. </w:t>
            </w:r>
          </w:p>
          <w:p w14:paraId="52D9B2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facility is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049673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Chemicals were stored safely and in line with policy. Hazardous substances were securely stored and locked away in accordance with safety requirements. </w:t>
            </w:r>
          </w:p>
          <w:p w14:paraId="1AE32D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and cleaning processes were regularly monitored for effectiveness, with recent audits completed on cleaning, laundry, and kitchen practices. The IPCC had oversight of the environmental testing and monitoring programme. Staff involved in cleaning and laundry duties had completed relevant training and were observed to carry out their roles safely and appropriately. </w:t>
            </w:r>
          </w:p>
          <w:p w14:paraId="185DC2B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that the facility was kept clean and tidy. These observations were confirmed by the audit team during site inspection.</w:t>
            </w:r>
          </w:p>
          <w:p w14:paraId="6002A16B" w14:textId="77777777" w:rsidR="00000000" w:rsidRPr="00BE00C7" w:rsidRDefault="00000000" w:rsidP="00BE00C7">
            <w:pPr>
              <w:pStyle w:val="OutcomeDescription"/>
              <w:spacing w:before="120" w:after="120"/>
              <w:rPr>
                <w:rFonts w:cs="Arial"/>
                <w:lang w:eastAsia="en-NZ"/>
              </w:rPr>
            </w:pPr>
          </w:p>
        </w:tc>
      </w:tr>
      <w:tr w:rsidR="00EB11A0" w14:paraId="5CEF9337" w14:textId="77777777">
        <w:tc>
          <w:tcPr>
            <w:tcW w:w="0" w:type="auto"/>
          </w:tcPr>
          <w:p w14:paraId="31C347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BAA74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55007C2" w14:textId="77777777" w:rsidR="00000000" w:rsidRPr="00BE00C7" w:rsidRDefault="00000000" w:rsidP="00BE00C7">
            <w:pPr>
              <w:pStyle w:val="OutcomeDescription"/>
              <w:spacing w:before="120" w:after="120"/>
              <w:rPr>
                <w:rFonts w:cs="Arial"/>
                <w:lang w:eastAsia="en-NZ"/>
              </w:rPr>
            </w:pPr>
          </w:p>
        </w:tc>
        <w:tc>
          <w:tcPr>
            <w:tcW w:w="0" w:type="auto"/>
          </w:tcPr>
          <w:p w14:paraId="2A4680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AF60D6"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demonstrated a strong organisational commitment to restraint elimination through governance leadership, strategic investment, clear policies, and operational oversight. The organisation is committed to maintaining a restraint-free environment across all its facilities and has successfully remained restraint-free across the whole of its service for more than 12 months. The organisation’s governance and clinical systems support ongoing restraint elimination and safe resident care practices.</w:t>
            </w:r>
          </w:p>
          <w:p w14:paraId="7C22D7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demonstrates accountability for restraint elimination through </w:t>
            </w:r>
            <w:r w:rsidRPr="00BE00C7">
              <w:rPr>
                <w:rFonts w:cs="Arial"/>
                <w:lang w:eastAsia="en-NZ"/>
              </w:rPr>
              <w:lastRenderedPageBreak/>
              <w:t>the inclusion of restraint-related measures within its KPIs. Oversight of the organisation’s restraint elimination strategy is delegated to the board’s Clinical Governance Committee, which monitors progress and supports continuous improvement initiatives.</w:t>
            </w:r>
          </w:p>
          <w:p w14:paraId="5FB4D02F"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has implemented a range of strategies aimed at preventing and eliminating the use of restraint. This includes investment in supportive equipment, such as low/low beds, to enhance resident safety while avoiding restrictive practices.</w:t>
            </w:r>
          </w:p>
          <w:p w14:paraId="36A374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the organisation currently operates restraint-free, policies and electronic systems remain in place to manage restraint appropriately if required in exceptional circumstances. </w:t>
            </w:r>
          </w:p>
          <w:p w14:paraId="37B207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at Rosewood is a RN, providing support and oversight for any restraint management should it be used. Their position description was sighted. </w:t>
            </w:r>
          </w:p>
          <w:p w14:paraId="43DECB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ACHM is involved in the purchase of equipment should it be needed. Any use of restraint would be formally reported to the board to ensure transparency, accountability, and governance oversight. Minutes reviewed evidenced nil restraint reported.</w:t>
            </w:r>
          </w:p>
          <w:p w14:paraId="5530D2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orientation and ongoing education included aspects of safe restraint training, including restraint-free training, and management of challenging behaviours. </w:t>
            </w:r>
          </w:p>
          <w:p w14:paraId="4D0A2C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were no residents using restraint. </w:t>
            </w:r>
          </w:p>
          <w:p w14:paraId="1A64F263"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has been no restraint reported to governance since the last audit, subsections 6.2 and 6.3 have not been audited.</w:t>
            </w:r>
          </w:p>
          <w:p w14:paraId="2DB391DD" w14:textId="77777777" w:rsidR="00000000" w:rsidRPr="00BE00C7" w:rsidRDefault="00000000" w:rsidP="00BE00C7">
            <w:pPr>
              <w:pStyle w:val="OutcomeDescription"/>
              <w:spacing w:before="120" w:after="120"/>
              <w:rPr>
                <w:rFonts w:cs="Arial"/>
                <w:lang w:eastAsia="en-NZ"/>
              </w:rPr>
            </w:pPr>
          </w:p>
        </w:tc>
      </w:tr>
    </w:tbl>
    <w:p w14:paraId="6DEF8D3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A08F722" w14:textId="77777777" w:rsidR="00000000" w:rsidRDefault="00000000">
      <w:pPr>
        <w:pStyle w:val="Heading1"/>
        <w:rPr>
          <w:rFonts w:cs="Arial"/>
        </w:rPr>
      </w:pPr>
      <w:r>
        <w:rPr>
          <w:rFonts w:cs="Arial"/>
        </w:rPr>
        <w:lastRenderedPageBreak/>
        <w:t>Specific results for criterion where corrective actions are required</w:t>
      </w:r>
    </w:p>
    <w:p w14:paraId="64FD94E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F46AC5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54FB0C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310"/>
        <w:gridCol w:w="3729"/>
        <w:gridCol w:w="3211"/>
        <w:gridCol w:w="3729"/>
      </w:tblGrid>
      <w:tr w:rsidR="00EB11A0" w14:paraId="139274A7" w14:textId="77777777">
        <w:tc>
          <w:tcPr>
            <w:tcW w:w="0" w:type="auto"/>
          </w:tcPr>
          <w:p w14:paraId="5D3D63E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2FB70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8D03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8CEE03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37B7DB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B11A0" w14:paraId="751BEC7D" w14:textId="77777777">
        <w:tc>
          <w:tcPr>
            <w:tcW w:w="0" w:type="auto"/>
          </w:tcPr>
          <w:p w14:paraId="7491F3B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1E3FDDDF"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132F699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CF274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diversional therapist plans an activities programme with assistance from two activities staff.  Activities staff are onsite Monday to Friday. The documented plan included activities suitable to support residents to maintain and develop their interests and included normal community activities such as outings and community walks. The activities documented in the plan were suitable for the age and stage of life of residents. However, few organised activities specific to the different needs of residents in each area were planned, and the number of activities occurring was insufficient to meet the needs of residents across the three service areas. </w:t>
            </w:r>
          </w:p>
          <w:p w14:paraId="1C6AAB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team described holding </w:t>
            </w:r>
            <w:r w:rsidRPr="00BE00C7">
              <w:rPr>
                <w:rFonts w:cs="Arial"/>
                <w:lang w:eastAsia="en-NZ"/>
              </w:rPr>
              <w:lastRenderedPageBreak/>
              <w:t>one organised activity or entertainment, with residents who are able gathering together in one area to attend. The activities assistants attend these joint activities with residents from the secure dementia unit or psychogeriatric unit when possible, and this was observed to occur on the day of audit. Caregivers are left to provide activities during this time for residents who are unable to leave the secure units due to behavioural needs. However, this was not seen to occur.</w:t>
            </w:r>
          </w:p>
          <w:p w14:paraId="4353AEB8"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Community walks and outings occur in a van shared with another Heritage facility and are planned weekly; staff are able to take a small number of residents at a time and could not describe what activities are provided for residents who remain in the unit.</w:t>
            </w:r>
          </w:p>
          <w:p w14:paraId="7C62A5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Entertainers and pet therapy visits occur twice per month, visiting one area of the facility only at each visit. The ACHM and RBM confirmed that budget was available for more visiting entertainers, but no plans were in place to increase the number of entertainers visiting at the time of audit. </w:t>
            </w:r>
          </w:p>
          <w:p w14:paraId="6F63E1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quizzes, puzzles, newspaper reading and exercise classes planned (on the activity calendar) for the days of audit were not seen to occur. One entertainer visited and one small group of residents participated in flower arranging with two activities staff during the two days of audit.</w:t>
            </w:r>
          </w:p>
          <w:p w14:paraId="65BFB7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Resources were available to provide </w:t>
            </w:r>
            <w:r w:rsidRPr="00BE00C7">
              <w:rPr>
                <w:rFonts w:cs="Arial"/>
                <w:lang w:eastAsia="en-NZ"/>
              </w:rPr>
              <w:lastRenderedPageBreak/>
              <w:t>one-to-one activity for residents unable to join group activities, and one activities assistant was observed interacting with individual residents in the hospital wing. The remaining residents were sitting in front of a modern music programme chosen by the caregivers on the television .</w:t>
            </w:r>
          </w:p>
          <w:p w14:paraId="06FFE75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are expected to support activities at the weekends, and resources were available. However, no specific activities were planned or documented on the activities plan, and the caregivers interviewed stated they had little time. One whānau member interviewed confirmed they had seen activities (balloon games) occurring at the weekend; all other whānau interviewed stated they had not witnessed activities occurring. The facility does not have a system in place to track what activities occur in the evenings and weekends.</w:t>
            </w:r>
          </w:p>
          <w:p w14:paraId="225A2808" w14:textId="77777777" w:rsidR="00000000" w:rsidRPr="00BE00C7" w:rsidRDefault="00000000" w:rsidP="00BE00C7">
            <w:pPr>
              <w:pStyle w:val="OutcomeDescription"/>
              <w:spacing w:before="120" w:after="120"/>
              <w:rPr>
                <w:rFonts w:cs="Arial"/>
                <w:lang w:eastAsia="en-NZ"/>
              </w:rPr>
            </w:pPr>
          </w:p>
        </w:tc>
        <w:tc>
          <w:tcPr>
            <w:tcW w:w="0" w:type="auto"/>
          </w:tcPr>
          <w:p w14:paraId="77BE7C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an activities programme developed. However, the depth and breadth of activities documented on the activity calendar, observed on audit and discussed with staff were insufficient to meet the differing and specialised needs of residents across the three service areas.</w:t>
            </w:r>
          </w:p>
          <w:p w14:paraId="61B41F38"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planned and discussed with staff did not meet the requirements of the ARRC contract for the provision of activities seven days a week in psychogeriatric and dementia level care.</w:t>
            </w:r>
          </w:p>
          <w:p w14:paraId="561E817B" w14:textId="77777777" w:rsidR="00000000" w:rsidRPr="00BE00C7" w:rsidRDefault="00000000" w:rsidP="00BE00C7">
            <w:pPr>
              <w:pStyle w:val="OutcomeDescription"/>
              <w:spacing w:before="120" w:after="120"/>
              <w:rPr>
                <w:rFonts w:cs="Arial"/>
                <w:lang w:eastAsia="en-NZ"/>
              </w:rPr>
            </w:pPr>
          </w:p>
        </w:tc>
        <w:tc>
          <w:tcPr>
            <w:tcW w:w="0" w:type="auto"/>
          </w:tcPr>
          <w:p w14:paraId="6B5A393A"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the activities programme to ensure that activities are provided to meet the needs of residents in each service area (hospital, psychogeriatric and dementia level care) and in line with the requirements of the ARRC contract. Review the hours allocated for activity staff and caregivers with a view to ensuring planned activities are provided seven days a week.</w:t>
            </w:r>
          </w:p>
          <w:p w14:paraId="7F525556" w14:textId="77777777" w:rsidR="00000000" w:rsidRPr="00BE00C7" w:rsidRDefault="00000000" w:rsidP="00BE00C7">
            <w:pPr>
              <w:pStyle w:val="OutcomeDescription"/>
              <w:spacing w:before="120" w:after="120"/>
              <w:rPr>
                <w:rFonts w:cs="Arial"/>
                <w:lang w:eastAsia="en-NZ"/>
              </w:rPr>
            </w:pPr>
          </w:p>
          <w:p w14:paraId="14A0BA68"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4B4C66E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D14908C" w14:textId="77777777" w:rsidR="00000000" w:rsidRDefault="00000000">
      <w:pPr>
        <w:pStyle w:val="Heading1"/>
        <w:rPr>
          <w:rFonts w:cs="Arial"/>
        </w:rPr>
      </w:pPr>
      <w:r>
        <w:rPr>
          <w:rFonts w:cs="Arial"/>
        </w:rPr>
        <w:lastRenderedPageBreak/>
        <w:t>Specific results for criterion where a continuous improvement has been recorded</w:t>
      </w:r>
    </w:p>
    <w:p w14:paraId="28FA228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F0B5C7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E6859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B11A0" w14:paraId="30F7E423" w14:textId="77777777">
        <w:tc>
          <w:tcPr>
            <w:tcW w:w="0" w:type="auto"/>
          </w:tcPr>
          <w:p w14:paraId="539FB53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0F7CE6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DB7494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DEDF" w14:textId="77777777" w:rsidR="00F527A0" w:rsidRDefault="00F527A0">
      <w:r>
        <w:separator/>
      </w:r>
    </w:p>
  </w:endnote>
  <w:endnote w:type="continuationSeparator" w:id="0">
    <w:p w14:paraId="40677995" w14:textId="77777777" w:rsidR="00F527A0" w:rsidRDefault="00F5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0EC2" w14:textId="77777777" w:rsidR="00000000" w:rsidRDefault="00000000">
    <w:pPr>
      <w:pStyle w:val="Footer"/>
    </w:pPr>
  </w:p>
  <w:p w14:paraId="74D9FFB1" w14:textId="77777777" w:rsidR="00000000" w:rsidRDefault="00000000"/>
  <w:p w14:paraId="6A33139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77F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Rosewood Rest Home &amp; Hospital</w:t>
    </w:r>
    <w:bookmarkEnd w:id="59"/>
    <w:r>
      <w:rPr>
        <w:rFonts w:cs="Arial"/>
        <w:sz w:val="16"/>
        <w:szCs w:val="20"/>
      </w:rPr>
      <w:tab/>
      <w:t xml:space="preserve">Date of Audit: </w:t>
    </w:r>
    <w:bookmarkStart w:id="60" w:name="AuditStartDate1"/>
    <w:r>
      <w:rPr>
        <w:rFonts w:cs="Arial"/>
        <w:sz w:val="16"/>
        <w:szCs w:val="20"/>
      </w:rPr>
      <w:t>19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E27C1C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E69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29DE" w14:textId="77777777" w:rsidR="00F527A0" w:rsidRDefault="00F527A0">
      <w:r>
        <w:separator/>
      </w:r>
    </w:p>
  </w:footnote>
  <w:footnote w:type="continuationSeparator" w:id="0">
    <w:p w14:paraId="79A95BBB" w14:textId="77777777" w:rsidR="00F527A0" w:rsidRDefault="00F5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9655" w14:textId="77777777" w:rsidR="00000000" w:rsidRDefault="00000000">
    <w:pPr>
      <w:pStyle w:val="Header"/>
    </w:pPr>
  </w:p>
  <w:p w14:paraId="6EEF1D4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D0E1" w14:textId="77777777" w:rsidR="00000000" w:rsidRDefault="00000000">
    <w:pPr>
      <w:pStyle w:val="Header"/>
    </w:pPr>
  </w:p>
  <w:p w14:paraId="74AC1A4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A41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AB09886">
      <w:start w:val="1"/>
      <w:numFmt w:val="decimal"/>
      <w:lvlText w:val="%1."/>
      <w:lvlJc w:val="left"/>
      <w:pPr>
        <w:ind w:left="360" w:hanging="360"/>
      </w:pPr>
    </w:lvl>
    <w:lvl w:ilvl="1" w:tplc="BAEA1DE0" w:tentative="1">
      <w:start w:val="1"/>
      <w:numFmt w:val="lowerLetter"/>
      <w:lvlText w:val="%2."/>
      <w:lvlJc w:val="left"/>
      <w:pPr>
        <w:ind w:left="1080" w:hanging="360"/>
      </w:pPr>
    </w:lvl>
    <w:lvl w:ilvl="2" w:tplc="5D1A13F6" w:tentative="1">
      <w:start w:val="1"/>
      <w:numFmt w:val="lowerRoman"/>
      <w:lvlText w:val="%3."/>
      <w:lvlJc w:val="right"/>
      <w:pPr>
        <w:ind w:left="1800" w:hanging="180"/>
      </w:pPr>
    </w:lvl>
    <w:lvl w:ilvl="3" w:tplc="1DF835CE" w:tentative="1">
      <w:start w:val="1"/>
      <w:numFmt w:val="decimal"/>
      <w:lvlText w:val="%4."/>
      <w:lvlJc w:val="left"/>
      <w:pPr>
        <w:ind w:left="2520" w:hanging="360"/>
      </w:pPr>
    </w:lvl>
    <w:lvl w:ilvl="4" w:tplc="96827FE4" w:tentative="1">
      <w:start w:val="1"/>
      <w:numFmt w:val="lowerLetter"/>
      <w:lvlText w:val="%5."/>
      <w:lvlJc w:val="left"/>
      <w:pPr>
        <w:ind w:left="3240" w:hanging="360"/>
      </w:pPr>
    </w:lvl>
    <w:lvl w:ilvl="5" w:tplc="D656278A" w:tentative="1">
      <w:start w:val="1"/>
      <w:numFmt w:val="lowerRoman"/>
      <w:lvlText w:val="%6."/>
      <w:lvlJc w:val="right"/>
      <w:pPr>
        <w:ind w:left="3960" w:hanging="180"/>
      </w:pPr>
    </w:lvl>
    <w:lvl w:ilvl="6" w:tplc="2CC87FA4" w:tentative="1">
      <w:start w:val="1"/>
      <w:numFmt w:val="decimal"/>
      <w:lvlText w:val="%7."/>
      <w:lvlJc w:val="left"/>
      <w:pPr>
        <w:ind w:left="4680" w:hanging="360"/>
      </w:pPr>
    </w:lvl>
    <w:lvl w:ilvl="7" w:tplc="388E0318" w:tentative="1">
      <w:start w:val="1"/>
      <w:numFmt w:val="lowerLetter"/>
      <w:lvlText w:val="%8."/>
      <w:lvlJc w:val="left"/>
      <w:pPr>
        <w:ind w:left="5400" w:hanging="360"/>
      </w:pPr>
    </w:lvl>
    <w:lvl w:ilvl="8" w:tplc="0A40A3C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0E4BC3A">
      <w:start w:val="1"/>
      <w:numFmt w:val="bullet"/>
      <w:lvlText w:val=""/>
      <w:lvlJc w:val="left"/>
      <w:pPr>
        <w:ind w:left="720" w:hanging="360"/>
      </w:pPr>
      <w:rPr>
        <w:rFonts w:ascii="Symbol" w:hAnsi="Symbol" w:hint="default"/>
      </w:rPr>
    </w:lvl>
    <w:lvl w:ilvl="1" w:tplc="A9FCAC2C" w:tentative="1">
      <w:start w:val="1"/>
      <w:numFmt w:val="bullet"/>
      <w:lvlText w:val="o"/>
      <w:lvlJc w:val="left"/>
      <w:pPr>
        <w:ind w:left="1440" w:hanging="360"/>
      </w:pPr>
      <w:rPr>
        <w:rFonts w:ascii="Courier New" w:hAnsi="Courier New" w:cs="Courier New" w:hint="default"/>
      </w:rPr>
    </w:lvl>
    <w:lvl w:ilvl="2" w:tplc="B7F25238" w:tentative="1">
      <w:start w:val="1"/>
      <w:numFmt w:val="bullet"/>
      <w:lvlText w:val=""/>
      <w:lvlJc w:val="left"/>
      <w:pPr>
        <w:ind w:left="2160" w:hanging="360"/>
      </w:pPr>
      <w:rPr>
        <w:rFonts w:ascii="Wingdings" w:hAnsi="Wingdings" w:hint="default"/>
      </w:rPr>
    </w:lvl>
    <w:lvl w:ilvl="3" w:tplc="A35A3292" w:tentative="1">
      <w:start w:val="1"/>
      <w:numFmt w:val="bullet"/>
      <w:lvlText w:val=""/>
      <w:lvlJc w:val="left"/>
      <w:pPr>
        <w:ind w:left="2880" w:hanging="360"/>
      </w:pPr>
      <w:rPr>
        <w:rFonts w:ascii="Symbol" w:hAnsi="Symbol" w:hint="default"/>
      </w:rPr>
    </w:lvl>
    <w:lvl w:ilvl="4" w:tplc="5532ECBC" w:tentative="1">
      <w:start w:val="1"/>
      <w:numFmt w:val="bullet"/>
      <w:lvlText w:val="o"/>
      <w:lvlJc w:val="left"/>
      <w:pPr>
        <w:ind w:left="3600" w:hanging="360"/>
      </w:pPr>
      <w:rPr>
        <w:rFonts w:ascii="Courier New" w:hAnsi="Courier New" w:cs="Courier New" w:hint="default"/>
      </w:rPr>
    </w:lvl>
    <w:lvl w:ilvl="5" w:tplc="A5D08836" w:tentative="1">
      <w:start w:val="1"/>
      <w:numFmt w:val="bullet"/>
      <w:lvlText w:val=""/>
      <w:lvlJc w:val="left"/>
      <w:pPr>
        <w:ind w:left="4320" w:hanging="360"/>
      </w:pPr>
      <w:rPr>
        <w:rFonts w:ascii="Wingdings" w:hAnsi="Wingdings" w:hint="default"/>
      </w:rPr>
    </w:lvl>
    <w:lvl w:ilvl="6" w:tplc="1436B93E" w:tentative="1">
      <w:start w:val="1"/>
      <w:numFmt w:val="bullet"/>
      <w:lvlText w:val=""/>
      <w:lvlJc w:val="left"/>
      <w:pPr>
        <w:ind w:left="5040" w:hanging="360"/>
      </w:pPr>
      <w:rPr>
        <w:rFonts w:ascii="Symbol" w:hAnsi="Symbol" w:hint="default"/>
      </w:rPr>
    </w:lvl>
    <w:lvl w:ilvl="7" w:tplc="23BC6BE8" w:tentative="1">
      <w:start w:val="1"/>
      <w:numFmt w:val="bullet"/>
      <w:lvlText w:val="o"/>
      <w:lvlJc w:val="left"/>
      <w:pPr>
        <w:ind w:left="5760" w:hanging="360"/>
      </w:pPr>
      <w:rPr>
        <w:rFonts w:ascii="Courier New" w:hAnsi="Courier New" w:cs="Courier New" w:hint="default"/>
      </w:rPr>
    </w:lvl>
    <w:lvl w:ilvl="8" w:tplc="228EE958" w:tentative="1">
      <w:start w:val="1"/>
      <w:numFmt w:val="bullet"/>
      <w:lvlText w:val=""/>
      <w:lvlJc w:val="left"/>
      <w:pPr>
        <w:ind w:left="6480" w:hanging="360"/>
      </w:pPr>
      <w:rPr>
        <w:rFonts w:ascii="Wingdings" w:hAnsi="Wingdings" w:hint="default"/>
      </w:rPr>
    </w:lvl>
  </w:abstractNum>
  <w:num w:numId="1" w16cid:durableId="127671991">
    <w:abstractNumId w:val="1"/>
  </w:num>
  <w:num w:numId="2" w16cid:durableId="117716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11A0"/>
    <w:rsid w:val="001909CA"/>
    <w:rsid w:val="00E378BE"/>
    <w:rsid w:val="00EB11A0"/>
    <w:rsid w:val="00F527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CE3A"/>
  <w15:docId w15:val="{44F638B8-A0CF-4A96-ADFC-FCAB4CF6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12937</Words>
  <Characters>73747</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2026-07-14T21:18:00Z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y fmtid="{D5CDD505-2E9C-101B-9397-08002B2CF9AE}" pid="5" name="MSIP_Label_defa4170-0d19-0005-0004-bc88714345d2_Enabled">
    <vt:lpwstr>true</vt:lpwstr>
  </property>
  <property fmtid="{D5CDD505-2E9C-101B-9397-08002B2CF9AE}" pid="6" name="MSIP_Label_defa4170-0d19-0005-0004-bc88714345d2_SetDate">
    <vt:lpwstr>2026-07-14T21:18:38Z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97bf1017-e8b2-4ef4-8c71-656589973fe3</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