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DCBE" w14:textId="77777777" w:rsidR="00875F9C" w:rsidRDefault="00875F9C">
      <w:pPr>
        <w:pStyle w:val="Heading1"/>
        <w:rPr>
          <w:rFonts w:cs="Arial"/>
        </w:rPr>
      </w:pPr>
      <w:bookmarkStart w:id="0" w:name="PRMS_RIName"/>
      <w:r>
        <w:rPr>
          <w:rFonts w:cs="Arial"/>
        </w:rPr>
        <w:t>Pacific Coast Village Partnership - Pacific Coast Village Care Centre Te Manaaki</w:t>
      </w:r>
      <w:bookmarkEnd w:id="0"/>
    </w:p>
    <w:p w14:paraId="1C321761" w14:textId="77777777" w:rsidR="00875F9C" w:rsidRDefault="00875F9C">
      <w:pPr>
        <w:pStyle w:val="Heading2"/>
        <w:spacing w:after="0"/>
        <w:rPr>
          <w:rFonts w:cs="Arial"/>
        </w:rPr>
      </w:pPr>
      <w:r>
        <w:rPr>
          <w:rFonts w:cs="Arial"/>
        </w:rPr>
        <w:t>Introduction</w:t>
      </w:r>
    </w:p>
    <w:p w14:paraId="48B79A1D" w14:textId="77777777" w:rsidR="00875F9C" w:rsidRDefault="00875F9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6A01504" w14:textId="77777777" w:rsidR="00875F9C" w:rsidRDefault="00875F9C">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6530310" w14:textId="77777777" w:rsidR="00875F9C" w:rsidRDefault="00875F9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9A930AA" w14:textId="77777777" w:rsidR="00875F9C" w:rsidRDefault="00875F9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ABCB7E9" w14:textId="77777777" w:rsidR="00875F9C" w:rsidRDefault="00875F9C">
      <w:pPr>
        <w:spacing w:before="240" w:after="240"/>
        <w:rPr>
          <w:rFonts w:cs="Arial"/>
          <w:lang w:eastAsia="en-NZ"/>
        </w:rPr>
      </w:pPr>
      <w:r>
        <w:rPr>
          <w:rFonts w:cs="Arial"/>
          <w:lang w:eastAsia="en-NZ"/>
        </w:rPr>
        <w:t>The specifics of this audit included:</w:t>
      </w:r>
    </w:p>
    <w:p w14:paraId="24E82A6E" w14:textId="77777777" w:rsidR="00875F9C" w:rsidRPr="009D18F5" w:rsidRDefault="00875F9C" w:rsidP="009D18F5">
      <w:pPr>
        <w:pBdr>
          <w:top w:val="single" w:sz="4" w:space="1" w:color="auto"/>
          <w:left w:val="single" w:sz="4" w:space="4" w:color="auto"/>
          <w:bottom w:val="single" w:sz="4" w:space="1" w:color="auto"/>
          <w:right w:val="single" w:sz="4" w:space="4" w:color="auto"/>
        </w:pBdr>
        <w:rPr>
          <w:rFonts w:cs="Arial"/>
        </w:rPr>
      </w:pPr>
    </w:p>
    <w:p w14:paraId="79B08E0E" w14:textId="77777777" w:rsidR="00875F9C" w:rsidRPr="009418D4" w:rsidRDefault="00875F9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Pacific Coast Village Partnership</w:t>
      </w:r>
      <w:bookmarkEnd w:id="4"/>
    </w:p>
    <w:p w14:paraId="0546B5F6" w14:textId="77777777" w:rsidR="00875F9C" w:rsidRPr="009418D4" w:rsidRDefault="00875F9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Pacific Coast Village Care Centre Te Manaaki</w:t>
      </w:r>
      <w:bookmarkEnd w:id="5"/>
    </w:p>
    <w:p w14:paraId="04BF500C" w14:textId="77777777" w:rsidR="00875F9C" w:rsidRPr="009418D4" w:rsidRDefault="00875F9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 Dementia care</w:t>
      </w:r>
      <w:bookmarkEnd w:id="6"/>
    </w:p>
    <w:p w14:paraId="3A6EA03F" w14:textId="77777777" w:rsidR="00875F9C" w:rsidRPr="009418D4" w:rsidRDefault="00875F9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April 2026</w:t>
      </w:r>
      <w:bookmarkEnd w:id="7"/>
      <w:r w:rsidRPr="009418D4">
        <w:rPr>
          <w:rFonts w:cs="Arial"/>
        </w:rPr>
        <w:tab/>
        <w:t xml:space="preserve">End date: </w:t>
      </w:r>
      <w:bookmarkStart w:id="8" w:name="AuditEndDate"/>
      <w:r>
        <w:rPr>
          <w:rFonts w:cs="Arial"/>
        </w:rPr>
        <w:t>15 April 2026</w:t>
      </w:r>
      <w:bookmarkEnd w:id="8"/>
    </w:p>
    <w:p w14:paraId="41065A18" w14:textId="77777777" w:rsidR="00875F9C" w:rsidRPr="009418D4" w:rsidRDefault="00875F9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reconfiguration was requested for five care suites with occupation right agreements (ORAs) on the ground floor, currently dual purpose (rest home/hospital level of care) to be designated for couples who wish to reside in the same care suite. This would increase the capacity from 57 to 64 residents.</w:t>
      </w:r>
    </w:p>
    <w:bookmarkEnd w:id="9"/>
    <w:p w14:paraId="2BBB0FF4" w14:textId="77777777" w:rsidR="00037A16" w:rsidRPr="009418D4" w:rsidRDefault="00875F9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425FD730" w14:textId="77777777" w:rsidR="00875F9C" w:rsidRDefault="00875F9C" w:rsidP="009D18F5">
      <w:pPr>
        <w:pBdr>
          <w:top w:val="single" w:sz="4" w:space="1" w:color="auto"/>
          <w:left w:val="single" w:sz="4" w:space="4" w:color="auto"/>
          <w:bottom w:val="single" w:sz="4" w:space="1" w:color="auto"/>
          <w:right w:val="single" w:sz="4" w:space="4" w:color="auto"/>
        </w:pBdr>
        <w:rPr>
          <w:rFonts w:cs="Arial"/>
          <w:lang w:eastAsia="en-NZ"/>
        </w:rPr>
      </w:pPr>
    </w:p>
    <w:p w14:paraId="71CF1437" w14:textId="77777777" w:rsidR="00875F9C" w:rsidRDefault="00875F9C">
      <w:pPr>
        <w:pStyle w:val="Heading1"/>
        <w:rPr>
          <w:rFonts w:cs="Arial"/>
        </w:rPr>
      </w:pPr>
      <w:r>
        <w:rPr>
          <w:rFonts w:cs="Arial"/>
        </w:rPr>
        <w:lastRenderedPageBreak/>
        <w:t>Executive summary of the audit</w:t>
      </w:r>
    </w:p>
    <w:p w14:paraId="304782A2" w14:textId="77777777" w:rsidR="00875F9C" w:rsidRDefault="00875F9C">
      <w:pPr>
        <w:pStyle w:val="Heading2"/>
        <w:rPr>
          <w:rFonts w:cs="Arial"/>
        </w:rPr>
      </w:pPr>
      <w:r>
        <w:rPr>
          <w:rFonts w:cs="Arial"/>
        </w:rPr>
        <w:t>Introduction</w:t>
      </w:r>
    </w:p>
    <w:p w14:paraId="426B560C" w14:textId="77777777" w:rsidR="00875F9C" w:rsidRDefault="00875F9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AD0D1FE" w14:textId="77777777" w:rsidR="00875F9C" w:rsidRDefault="00875F9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14C9A1" w14:textId="77777777" w:rsidR="00875F9C" w:rsidRDefault="00875F9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087DC7C" w14:textId="77777777" w:rsidR="00875F9C" w:rsidRDefault="00875F9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7226753" w14:textId="77777777" w:rsidR="00875F9C" w:rsidRDefault="00875F9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DE2B2AB" w14:textId="77777777" w:rsidR="00875F9C" w:rsidRDefault="00875F9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CED29F4" w14:textId="77777777" w:rsidR="00875F9C" w:rsidRDefault="00875F9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16F5BB1" w14:textId="77777777" w:rsidR="00875F9C" w:rsidRDefault="00875F9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81D7E46" w14:textId="77777777" w:rsidR="00875F9C" w:rsidRDefault="00875F9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37A16" w14:paraId="7CC9C7D3" w14:textId="77777777">
        <w:trPr>
          <w:cantSplit/>
          <w:tblHeader/>
        </w:trPr>
        <w:tc>
          <w:tcPr>
            <w:tcW w:w="1260" w:type="dxa"/>
            <w:tcBorders>
              <w:bottom w:val="single" w:sz="4" w:space="0" w:color="000000"/>
            </w:tcBorders>
            <w:vAlign w:val="center"/>
          </w:tcPr>
          <w:p w14:paraId="7E822FB3" w14:textId="77777777" w:rsidR="00875F9C" w:rsidRDefault="00875F9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36CD1EC" w14:textId="77777777" w:rsidR="00875F9C" w:rsidRDefault="00875F9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0BE3A27" w14:textId="77777777" w:rsidR="00875F9C" w:rsidRDefault="00875F9C">
            <w:pPr>
              <w:spacing w:before="60" w:after="60"/>
              <w:rPr>
                <w:rFonts w:eastAsia="Calibri"/>
                <w:b/>
                <w:szCs w:val="24"/>
              </w:rPr>
            </w:pPr>
            <w:r>
              <w:rPr>
                <w:rFonts w:eastAsia="Calibri"/>
                <w:b/>
                <w:szCs w:val="24"/>
              </w:rPr>
              <w:t>Definition</w:t>
            </w:r>
          </w:p>
        </w:tc>
      </w:tr>
      <w:tr w:rsidR="00037A16" w14:paraId="207B740B" w14:textId="77777777">
        <w:trPr>
          <w:cantSplit/>
          <w:trHeight w:val="964"/>
        </w:trPr>
        <w:tc>
          <w:tcPr>
            <w:tcW w:w="1260" w:type="dxa"/>
            <w:tcBorders>
              <w:bottom w:val="single" w:sz="4" w:space="0" w:color="000000"/>
            </w:tcBorders>
            <w:shd w:val="clear" w:color="0066FF" w:fill="0000FF"/>
            <w:vAlign w:val="center"/>
          </w:tcPr>
          <w:p w14:paraId="6403EBCD" w14:textId="77777777" w:rsidR="00875F9C" w:rsidRDefault="00875F9C">
            <w:pPr>
              <w:spacing w:before="60" w:after="60"/>
              <w:rPr>
                <w:rFonts w:eastAsia="Calibri"/>
                <w:szCs w:val="24"/>
              </w:rPr>
            </w:pPr>
          </w:p>
        </w:tc>
        <w:tc>
          <w:tcPr>
            <w:tcW w:w="7095" w:type="dxa"/>
            <w:tcBorders>
              <w:bottom w:val="single" w:sz="4" w:space="0" w:color="000000"/>
            </w:tcBorders>
            <w:shd w:val="clear" w:color="auto" w:fill="auto"/>
            <w:vAlign w:val="center"/>
          </w:tcPr>
          <w:p w14:paraId="057A04F2" w14:textId="77777777" w:rsidR="00875F9C" w:rsidRDefault="00875F9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51C79DA" w14:textId="77777777" w:rsidR="00875F9C" w:rsidRDefault="00875F9C">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37A16" w14:paraId="5E994186" w14:textId="77777777">
        <w:trPr>
          <w:cantSplit/>
          <w:trHeight w:val="964"/>
        </w:trPr>
        <w:tc>
          <w:tcPr>
            <w:tcW w:w="1260" w:type="dxa"/>
            <w:shd w:val="clear" w:color="33CC33" w:fill="00FF00"/>
            <w:vAlign w:val="center"/>
          </w:tcPr>
          <w:p w14:paraId="3B1F874A" w14:textId="77777777" w:rsidR="00875F9C" w:rsidRDefault="00875F9C">
            <w:pPr>
              <w:spacing w:before="60" w:after="60"/>
              <w:rPr>
                <w:rFonts w:eastAsia="Calibri"/>
                <w:szCs w:val="24"/>
              </w:rPr>
            </w:pPr>
          </w:p>
        </w:tc>
        <w:tc>
          <w:tcPr>
            <w:tcW w:w="7095" w:type="dxa"/>
            <w:shd w:val="clear" w:color="auto" w:fill="auto"/>
            <w:vAlign w:val="center"/>
          </w:tcPr>
          <w:p w14:paraId="4395EBB0" w14:textId="77777777" w:rsidR="00875F9C" w:rsidRDefault="00875F9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97F958D" w14:textId="77777777" w:rsidR="00875F9C" w:rsidRDefault="00875F9C">
            <w:pPr>
              <w:spacing w:before="60" w:after="60"/>
              <w:ind w:left="50"/>
              <w:rPr>
                <w:rFonts w:eastAsia="Calibri"/>
                <w:szCs w:val="24"/>
              </w:rPr>
            </w:pPr>
            <w:r w:rsidRPr="00FB778F">
              <w:rPr>
                <w:rFonts w:eastAsia="Calibri"/>
                <w:szCs w:val="24"/>
              </w:rPr>
              <w:t>Subsections applicable to this service fully attained</w:t>
            </w:r>
          </w:p>
        </w:tc>
      </w:tr>
      <w:tr w:rsidR="00037A16" w14:paraId="71C34C41" w14:textId="77777777">
        <w:trPr>
          <w:cantSplit/>
          <w:trHeight w:val="964"/>
        </w:trPr>
        <w:tc>
          <w:tcPr>
            <w:tcW w:w="1260" w:type="dxa"/>
            <w:tcBorders>
              <w:bottom w:val="single" w:sz="4" w:space="0" w:color="000000"/>
            </w:tcBorders>
            <w:shd w:val="clear" w:color="auto" w:fill="FFFF00"/>
            <w:vAlign w:val="center"/>
          </w:tcPr>
          <w:p w14:paraId="3873A2D2" w14:textId="77777777" w:rsidR="00875F9C" w:rsidRDefault="00875F9C">
            <w:pPr>
              <w:spacing w:before="60" w:after="60"/>
              <w:rPr>
                <w:rFonts w:eastAsia="Calibri"/>
                <w:szCs w:val="24"/>
              </w:rPr>
            </w:pPr>
          </w:p>
        </w:tc>
        <w:tc>
          <w:tcPr>
            <w:tcW w:w="7095" w:type="dxa"/>
            <w:shd w:val="clear" w:color="auto" w:fill="auto"/>
            <w:vAlign w:val="center"/>
          </w:tcPr>
          <w:p w14:paraId="473A36C5" w14:textId="77777777" w:rsidR="00875F9C" w:rsidRDefault="00875F9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F53ED4C" w14:textId="77777777" w:rsidR="00875F9C" w:rsidRDefault="00875F9C">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37A16" w14:paraId="3F93710E" w14:textId="77777777">
        <w:trPr>
          <w:cantSplit/>
          <w:trHeight w:val="964"/>
        </w:trPr>
        <w:tc>
          <w:tcPr>
            <w:tcW w:w="1260" w:type="dxa"/>
            <w:tcBorders>
              <w:bottom w:val="single" w:sz="4" w:space="0" w:color="000000"/>
            </w:tcBorders>
            <w:shd w:val="clear" w:color="auto" w:fill="FFC800"/>
            <w:vAlign w:val="center"/>
          </w:tcPr>
          <w:p w14:paraId="6C515D09" w14:textId="77777777" w:rsidR="00875F9C" w:rsidRDefault="00875F9C">
            <w:pPr>
              <w:spacing w:before="60" w:after="60"/>
              <w:rPr>
                <w:rFonts w:eastAsia="Calibri"/>
                <w:szCs w:val="24"/>
              </w:rPr>
            </w:pPr>
          </w:p>
        </w:tc>
        <w:tc>
          <w:tcPr>
            <w:tcW w:w="7095" w:type="dxa"/>
            <w:tcBorders>
              <w:bottom w:val="single" w:sz="4" w:space="0" w:color="000000"/>
            </w:tcBorders>
            <w:shd w:val="clear" w:color="auto" w:fill="auto"/>
            <w:vAlign w:val="center"/>
          </w:tcPr>
          <w:p w14:paraId="086B1331" w14:textId="77777777" w:rsidR="00875F9C" w:rsidRDefault="00875F9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ECBE817" w14:textId="77777777" w:rsidR="00875F9C" w:rsidRDefault="00875F9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37A16" w14:paraId="1305D976" w14:textId="77777777">
        <w:trPr>
          <w:cantSplit/>
          <w:trHeight w:val="964"/>
        </w:trPr>
        <w:tc>
          <w:tcPr>
            <w:tcW w:w="1260" w:type="dxa"/>
            <w:shd w:val="clear" w:color="auto" w:fill="FF0000"/>
            <w:vAlign w:val="center"/>
          </w:tcPr>
          <w:p w14:paraId="1664F07E" w14:textId="77777777" w:rsidR="00875F9C" w:rsidRDefault="00875F9C">
            <w:pPr>
              <w:spacing w:before="60" w:after="60"/>
              <w:rPr>
                <w:rFonts w:eastAsia="Calibri"/>
                <w:szCs w:val="24"/>
              </w:rPr>
            </w:pPr>
          </w:p>
        </w:tc>
        <w:tc>
          <w:tcPr>
            <w:tcW w:w="7095" w:type="dxa"/>
            <w:shd w:val="clear" w:color="auto" w:fill="auto"/>
            <w:vAlign w:val="center"/>
          </w:tcPr>
          <w:p w14:paraId="396AD369" w14:textId="77777777" w:rsidR="00875F9C" w:rsidRDefault="00875F9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23D417A" w14:textId="77777777" w:rsidR="00875F9C" w:rsidRDefault="00875F9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2744C2C" w14:textId="77777777" w:rsidR="00875F9C" w:rsidRDefault="00875F9C">
      <w:pPr>
        <w:pStyle w:val="Heading2"/>
        <w:spacing w:after="0"/>
        <w:rPr>
          <w:rFonts w:cs="Arial"/>
        </w:rPr>
      </w:pPr>
      <w:r>
        <w:rPr>
          <w:rFonts w:cs="Arial"/>
        </w:rPr>
        <w:t>General overview of the audit</w:t>
      </w:r>
    </w:p>
    <w:p w14:paraId="229B18B1" w14:textId="77777777" w:rsidR="00875F9C" w:rsidRDefault="00875F9C">
      <w:pPr>
        <w:spacing w:before="240" w:line="276" w:lineRule="auto"/>
        <w:rPr>
          <w:rFonts w:eastAsia="Calibri"/>
        </w:rPr>
      </w:pPr>
      <w:bookmarkStart w:id="13" w:name="GeneralOverview"/>
      <w:r w:rsidRPr="00A4268A">
        <w:rPr>
          <w:rFonts w:eastAsia="Calibri"/>
        </w:rPr>
        <w:t xml:space="preserve">Pacific Coast Care Centre – Te Manaaki (Te Manaaki) is part of Generus Living Group. Te Manaaki provides age-related rest home, hospital level and dementia (memory loss) care for up </w:t>
      </w:r>
      <w:r w:rsidRPr="00A4268A">
        <w:rPr>
          <w:rFonts w:eastAsia="Calibri"/>
        </w:rPr>
        <w:t>to 57 residents. This facility is near all amenities the village offers. The care home consists of 57 care suites over two floors. The ground floor has 20 premier suites, and the upper level comprises 37 care suites. The secure memory care suites were certified at the last audit, following a partial provisional audit.</w:t>
      </w:r>
    </w:p>
    <w:p w14:paraId="330EF693" w14:textId="77777777" w:rsidR="00037A16" w:rsidRPr="00A4268A" w:rsidRDefault="00875F9C">
      <w:pPr>
        <w:spacing w:before="240" w:line="276" w:lineRule="auto"/>
        <w:rPr>
          <w:rFonts w:eastAsia="Calibri"/>
        </w:rPr>
      </w:pPr>
      <w:r w:rsidRPr="00A4268A">
        <w:rPr>
          <w:rFonts w:eastAsia="Calibri"/>
        </w:rPr>
        <w:t>This surveillance audit was conducted against Ngā Paerewa Health and Disability Services Standard NZS 8134:2021. The audit process included review of policies and procedures, review of residents’ and staff files, observations, and interviews with residents, whānau/family members, members of the governance group, the care home management team, staff, contracted and visiting allied health providers, and a nurse practitioner.</w:t>
      </w:r>
    </w:p>
    <w:p w14:paraId="601628B0" w14:textId="77777777" w:rsidR="00037A16" w:rsidRPr="00A4268A" w:rsidRDefault="00875F9C">
      <w:pPr>
        <w:spacing w:before="240" w:line="276" w:lineRule="auto"/>
        <w:rPr>
          <w:rFonts w:eastAsia="Calibri"/>
        </w:rPr>
      </w:pPr>
      <w:r w:rsidRPr="00A4268A">
        <w:rPr>
          <w:rFonts w:eastAsia="Calibri"/>
        </w:rPr>
        <w:t>A reconfiguration had been approved by HealthCERT however, a review was requested to be undertaken during this audit process. The reconfiguration involves changing any five care suites (ORAs) on the ground floor to accommodate couples who wish to be in the same room. This will increase the capacity from 57 to 62 residents. The additional beds were reviewed by the audit team and found to be suitable for use by couples.</w:t>
      </w:r>
    </w:p>
    <w:p w14:paraId="4D23C61F" w14:textId="77777777" w:rsidR="00037A16" w:rsidRPr="00A4268A" w:rsidRDefault="00875F9C">
      <w:pPr>
        <w:spacing w:before="240" w:line="276" w:lineRule="auto"/>
        <w:rPr>
          <w:rFonts w:eastAsia="Calibri"/>
        </w:rPr>
      </w:pPr>
      <w:r w:rsidRPr="00A4268A">
        <w:rPr>
          <w:rFonts w:eastAsia="Calibri"/>
        </w:rPr>
        <w:t>There were no corrective actions required from the previous audit.  As a result of this surveillance audit, no improvements were identified.</w:t>
      </w:r>
    </w:p>
    <w:bookmarkEnd w:id="13"/>
    <w:p w14:paraId="70747976" w14:textId="77777777" w:rsidR="00037A16" w:rsidRPr="00A4268A" w:rsidRDefault="00037A16">
      <w:pPr>
        <w:spacing w:before="240" w:line="276" w:lineRule="auto"/>
        <w:rPr>
          <w:rFonts w:eastAsia="Calibri"/>
        </w:rPr>
      </w:pPr>
    </w:p>
    <w:p w14:paraId="3F649AC7" w14:textId="77777777" w:rsidR="00875F9C" w:rsidRDefault="00875F9C"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7A16" w14:paraId="015980A5" w14:textId="77777777" w:rsidTr="00A4268A">
        <w:trPr>
          <w:cantSplit/>
        </w:trPr>
        <w:tc>
          <w:tcPr>
            <w:tcW w:w="10206" w:type="dxa"/>
            <w:vAlign w:val="center"/>
          </w:tcPr>
          <w:p w14:paraId="1192A853" w14:textId="77777777" w:rsidR="00875F9C" w:rsidRPr="00FB778F" w:rsidRDefault="00875F9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2503E6F" w14:textId="77777777" w:rsidR="00875F9C" w:rsidRPr="00621629" w:rsidRDefault="00875F9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B7810B4" w14:textId="77777777" w:rsidR="00875F9C" w:rsidRPr="00621629" w:rsidRDefault="00875F9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8257DD7" w14:textId="77777777" w:rsidR="00875F9C" w:rsidRPr="00621629" w:rsidRDefault="00875F9C" w:rsidP="008F3634">
            <w:pPr>
              <w:spacing w:before="60" w:after="60" w:line="276" w:lineRule="auto"/>
              <w:rPr>
                <w:rFonts w:eastAsia="Calibri"/>
              </w:rPr>
            </w:pPr>
            <w:bookmarkStart w:id="15" w:name="IndicatorDescription1_1"/>
            <w:bookmarkEnd w:id="15"/>
            <w:r>
              <w:t>Subsections applicable to this service fully attained.</w:t>
            </w:r>
          </w:p>
        </w:tc>
      </w:tr>
    </w:tbl>
    <w:p w14:paraId="61A8DDC1" w14:textId="77777777" w:rsidR="00875F9C" w:rsidRDefault="00875F9C">
      <w:pPr>
        <w:spacing w:before="240" w:line="276" w:lineRule="auto"/>
        <w:rPr>
          <w:rFonts w:eastAsia="Calibri"/>
        </w:rPr>
      </w:pPr>
      <w:bookmarkStart w:id="16" w:name="ConsumerRights"/>
      <w:r w:rsidRPr="00A4268A">
        <w:rPr>
          <w:rFonts w:eastAsia="Calibri"/>
        </w:rPr>
        <w:t xml:space="preserve">Te Manaaki works collaboratively to support and encourage a </w:t>
      </w:r>
      <w:r w:rsidRPr="00A4268A">
        <w:rPr>
          <w:rFonts w:eastAsia="Calibri"/>
        </w:rPr>
        <w:t>Māori worldview of health in service delivery. Māori are provided with equitable and effective services based on Te Tiriti o Waitangi and the principles of mana Motuhake.</w:t>
      </w:r>
    </w:p>
    <w:p w14:paraId="26502E93" w14:textId="77777777" w:rsidR="00037A16" w:rsidRPr="00A4268A" w:rsidRDefault="00875F9C">
      <w:pPr>
        <w:spacing w:before="240" w:line="276" w:lineRule="auto"/>
        <w:rPr>
          <w:rFonts w:eastAsia="Calibri"/>
        </w:rPr>
      </w:pPr>
      <w:r w:rsidRPr="00A4268A">
        <w:rPr>
          <w:rFonts w:eastAsia="Calibri"/>
        </w:rPr>
        <w:t xml:space="preserve">Pacific peoples admitted to Te Manaaki would be provided with services that recognise their worldviews and are delivered in a culturally safe manner. </w:t>
      </w:r>
    </w:p>
    <w:p w14:paraId="6D178D33" w14:textId="77777777" w:rsidR="00037A16" w:rsidRPr="00A4268A" w:rsidRDefault="00875F9C">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Residents' property is respected. </w:t>
      </w:r>
    </w:p>
    <w:p w14:paraId="3B90C887" w14:textId="77777777" w:rsidR="00037A16" w:rsidRPr="00A4268A" w:rsidRDefault="00875F9C">
      <w:pPr>
        <w:spacing w:before="240" w:line="276" w:lineRule="auto"/>
        <w:rPr>
          <w:rFonts w:eastAsia="Calibri"/>
        </w:rPr>
      </w:pPr>
      <w:r w:rsidRPr="00A4268A">
        <w:rPr>
          <w:rFonts w:eastAsia="Calibri"/>
        </w:rPr>
        <w:t xml:space="preserve">Policies and the Code provide guidance to staff to ensure informed consent is gained as required. Residents in the memory care unit had enacted enduring powers of attorney (EPOAs). Residents and whānau/EPOAs felt included when making decisions about care and treatment. </w:t>
      </w:r>
    </w:p>
    <w:p w14:paraId="3C69A535" w14:textId="77777777" w:rsidR="00037A16" w:rsidRPr="00A4268A" w:rsidRDefault="00875F9C">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3BF3A4A4" w14:textId="77777777" w:rsidR="00037A16" w:rsidRPr="00A4268A" w:rsidRDefault="00037A16">
      <w:pPr>
        <w:spacing w:before="240" w:line="276" w:lineRule="auto"/>
        <w:rPr>
          <w:rFonts w:eastAsia="Calibri"/>
        </w:rPr>
      </w:pPr>
    </w:p>
    <w:p w14:paraId="0CFFFEDF" w14:textId="77777777" w:rsidR="00875F9C" w:rsidRDefault="00875F9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7A16" w14:paraId="476AE982" w14:textId="77777777" w:rsidTr="00A4268A">
        <w:trPr>
          <w:cantSplit/>
        </w:trPr>
        <w:tc>
          <w:tcPr>
            <w:tcW w:w="10206" w:type="dxa"/>
            <w:vAlign w:val="center"/>
          </w:tcPr>
          <w:p w14:paraId="53E17BF0" w14:textId="77777777" w:rsidR="00875F9C" w:rsidRPr="00621629" w:rsidRDefault="00875F9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C5C989B" w14:textId="77777777" w:rsidR="00875F9C" w:rsidRPr="00621629" w:rsidRDefault="00875F9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75733CB" w14:textId="77777777" w:rsidR="00875F9C" w:rsidRPr="00621629" w:rsidRDefault="00875F9C" w:rsidP="00621629">
            <w:pPr>
              <w:spacing w:before="60" w:after="60" w:line="276" w:lineRule="auto"/>
              <w:rPr>
                <w:rFonts w:eastAsia="Calibri"/>
              </w:rPr>
            </w:pPr>
            <w:bookmarkStart w:id="18" w:name="IndicatorDescription1_2"/>
            <w:bookmarkEnd w:id="18"/>
            <w:r>
              <w:t xml:space="preserve">Subsections applicable to this service fully </w:t>
            </w:r>
            <w:r>
              <w:t>attained.</w:t>
            </w:r>
          </w:p>
        </w:tc>
      </w:tr>
    </w:tbl>
    <w:p w14:paraId="6B8CF63E" w14:textId="77777777" w:rsidR="00875F9C" w:rsidRDefault="00875F9C">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19CF9672" w14:textId="77777777" w:rsidR="00037A16" w:rsidRPr="00A4268A" w:rsidRDefault="00875F9C">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4BCB58DF" w14:textId="77777777" w:rsidR="00037A16" w:rsidRPr="00A4268A" w:rsidRDefault="00875F9C">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531D4B76" w14:textId="77777777" w:rsidR="00037A16" w:rsidRPr="00A4268A" w:rsidRDefault="00875F9C">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25E4CFA7" w14:textId="77777777" w:rsidR="00037A16" w:rsidRPr="00A4268A" w:rsidRDefault="00875F9C">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55FEEEB7" w14:textId="77777777" w:rsidR="00037A16" w:rsidRPr="00A4268A" w:rsidRDefault="00875F9C">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3018D366" w14:textId="77777777" w:rsidR="00037A16" w:rsidRPr="00A4268A" w:rsidRDefault="00875F9C">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4372BFA1" w14:textId="77777777" w:rsidR="00037A16" w:rsidRPr="00A4268A" w:rsidRDefault="00037A16">
      <w:pPr>
        <w:spacing w:before="240" w:line="276" w:lineRule="auto"/>
        <w:rPr>
          <w:rFonts w:eastAsia="Calibri"/>
        </w:rPr>
      </w:pPr>
    </w:p>
    <w:p w14:paraId="242E5995" w14:textId="77777777" w:rsidR="00875F9C" w:rsidRDefault="00875F9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7A16" w14:paraId="3AD13BD4" w14:textId="77777777" w:rsidTr="00A4268A">
        <w:trPr>
          <w:cantSplit/>
        </w:trPr>
        <w:tc>
          <w:tcPr>
            <w:tcW w:w="10206" w:type="dxa"/>
            <w:vAlign w:val="center"/>
          </w:tcPr>
          <w:p w14:paraId="212F77A8" w14:textId="77777777" w:rsidR="00875F9C" w:rsidRPr="00621629" w:rsidRDefault="00875F9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50E294B" w14:textId="77777777" w:rsidR="00875F9C" w:rsidRPr="00621629" w:rsidRDefault="00875F9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B530419" w14:textId="77777777" w:rsidR="00875F9C" w:rsidRPr="00621629" w:rsidRDefault="00875F9C" w:rsidP="00621629">
            <w:pPr>
              <w:spacing w:before="60" w:after="60" w:line="276" w:lineRule="auto"/>
              <w:rPr>
                <w:rFonts w:eastAsia="Calibri"/>
              </w:rPr>
            </w:pPr>
            <w:bookmarkStart w:id="21" w:name="IndicatorDescription1_3"/>
            <w:bookmarkEnd w:id="21"/>
            <w:r>
              <w:t>Subsections applicable to this service fully attained.</w:t>
            </w:r>
          </w:p>
        </w:tc>
      </w:tr>
    </w:tbl>
    <w:p w14:paraId="07F0FA87" w14:textId="77777777" w:rsidR="00875F9C" w:rsidRPr="005E14A4" w:rsidRDefault="00875F9C"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whānau/EPOAs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42C7BD99" w14:textId="77777777" w:rsidR="00037A16" w:rsidRPr="00A4268A" w:rsidRDefault="00875F9C"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03C16509" w14:textId="77777777" w:rsidR="00037A16" w:rsidRPr="00A4268A" w:rsidRDefault="00875F9C"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2D4DC491" w14:textId="77777777" w:rsidR="00037A16" w:rsidRPr="00A4268A" w:rsidRDefault="00875F9C" w:rsidP="00621629">
      <w:pPr>
        <w:spacing w:before="240" w:line="276" w:lineRule="auto"/>
        <w:rPr>
          <w:rFonts w:eastAsia="Calibri"/>
        </w:rPr>
      </w:pPr>
      <w:r w:rsidRPr="00A4268A">
        <w:rPr>
          <w:rFonts w:eastAsia="Calibri"/>
        </w:rPr>
        <w:t>Residents are referred or transferred to other health services as required.</w:t>
      </w:r>
    </w:p>
    <w:bookmarkEnd w:id="22"/>
    <w:p w14:paraId="1B7AAE4B" w14:textId="77777777" w:rsidR="00037A16" w:rsidRPr="00A4268A" w:rsidRDefault="00037A16" w:rsidP="00621629">
      <w:pPr>
        <w:spacing w:before="240" w:line="276" w:lineRule="auto"/>
        <w:rPr>
          <w:rFonts w:eastAsia="Calibri"/>
        </w:rPr>
      </w:pPr>
    </w:p>
    <w:p w14:paraId="4C7D2EE3" w14:textId="77777777" w:rsidR="00875F9C" w:rsidRDefault="00875F9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7A16" w14:paraId="4B36CDB2" w14:textId="77777777" w:rsidTr="00A4268A">
        <w:trPr>
          <w:cantSplit/>
        </w:trPr>
        <w:tc>
          <w:tcPr>
            <w:tcW w:w="10206" w:type="dxa"/>
            <w:vAlign w:val="center"/>
          </w:tcPr>
          <w:p w14:paraId="797CAAC7" w14:textId="77777777" w:rsidR="00875F9C" w:rsidRPr="00621629" w:rsidRDefault="00875F9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EB09F36" w14:textId="77777777" w:rsidR="00875F9C" w:rsidRPr="00621629" w:rsidRDefault="00875F9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8D8AB78" w14:textId="77777777" w:rsidR="00875F9C" w:rsidRPr="00621629" w:rsidRDefault="00875F9C" w:rsidP="00621629">
            <w:pPr>
              <w:spacing w:before="60" w:after="60" w:line="276" w:lineRule="auto"/>
              <w:rPr>
                <w:rFonts w:eastAsia="Calibri"/>
              </w:rPr>
            </w:pPr>
            <w:bookmarkStart w:id="24" w:name="IndicatorDescription1_4"/>
            <w:bookmarkEnd w:id="24"/>
            <w:r>
              <w:t>Subsections applicable to this service fully attained.</w:t>
            </w:r>
          </w:p>
        </w:tc>
      </w:tr>
    </w:tbl>
    <w:p w14:paraId="107DFADC" w14:textId="77777777" w:rsidR="00875F9C" w:rsidRDefault="00875F9C">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4C0D918E" w14:textId="77777777" w:rsidR="00037A16" w:rsidRPr="00A4268A" w:rsidRDefault="00037A16">
      <w:pPr>
        <w:spacing w:before="240" w:line="276" w:lineRule="auto"/>
        <w:rPr>
          <w:rFonts w:eastAsia="Calibri"/>
        </w:rPr>
      </w:pPr>
    </w:p>
    <w:p w14:paraId="3F95C0F0" w14:textId="77777777" w:rsidR="00875F9C" w:rsidRDefault="00875F9C"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7A16" w14:paraId="62BB2236" w14:textId="77777777" w:rsidTr="00A4268A">
        <w:trPr>
          <w:cantSplit/>
        </w:trPr>
        <w:tc>
          <w:tcPr>
            <w:tcW w:w="10206" w:type="dxa"/>
            <w:vAlign w:val="center"/>
          </w:tcPr>
          <w:p w14:paraId="6F17948C" w14:textId="77777777" w:rsidR="00875F9C" w:rsidRPr="00621629" w:rsidRDefault="00875F9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6AAA522" w14:textId="77777777" w:rsidR="00875F9C" w:rsidRPr="00621629" w:rsidRDefault="00875F9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B8E074F" w14:textId="77777777" w:rsidR="00875F9C" w:rsidRPr="00621629" w:rsidRDefault="00875F9C" w:rsidP="00621629">
            <w:pPr>
              <w:spacing w:before="60" w:after="60" w:line="276" w:lineRule="auto"/>
              <w:rPr>
                <w:rFonts w:eastAsia="Calibri"/>
              </w:rPr>
            </w:pPr>
            <w:bookmarkStart w:id="27" w:name="IndicatorDescription2"/>
            <w:bookmarkEnd w:id="27"/>
            <w:r>
              <w:t>Subsections applicable to this service fully attained.</w:t>
            </w:r>
          </w:p>
        </w:tc>
      </w:tr>
    </w:tbl>
    <w:p w14:paraId="401C5A84" w14:textId="77777777" w:rsidR="00875F9C" w:rsidRDefault="00875F9C">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1AC95F2F" w14:textId="77777777" w:rsidR="00037A16" w:rsidRPr="00A4268A" w:rsidRDefault="00875F9C">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3A5550C3" w14:textId="77777777" w:rsidR="00037A16" w:rsidRPr="00A4268A" w:rsidRDefault="00875F9C">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760815A3" w14:textId="77777777" w:rsidR="00037A16" w:rsidRPr="00A4268A" w:rsidRDefault="00037A16">
      <w:pPr>
        <w:spacing w:before="240" w:line="276" w:lineRule="auto"/>
        <w:rPr>
          <w:rFonts w:eastAsia="Calibri"/>
        </w:rPr>
      </w:pPr>
    </w:p>
    <w:p w14:paraId="2F331563" w14:textId="77777777" w:rsidR="00875F9C" w:rsidRDefault="00875F9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7A16" w14:paraId="271E5E72" w14:textId="77777777" w:rsidTr="00A4268A">
        <w:trPr>
          <w:cantSplit/>
        </w:trPr>
        <w:tc>
          <w:tcPr>
            <w:tcW w:w="10206" w:type="dxa"/>
            <w:vAlign w:val="center"/>
          </w:tcPr>
          <w:p w14:paraId="55C84484" w14:textId="77777777" w:rsidR="00875F9C" w:rsidRPr="00621629" w:rsidRDefault="00875F9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EF955B7" w14:textId="77777777" w:rsidR="00875F9C" w:rsidRPr="00621629" w:rsidRDefault="00875F9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E5A3E8C" w14:textId="77777777" w:rsidR="00875F9C" w:rsidRPr="00621629" w:rsidRDefault="00875F9C" w:rsidP="00621629">
            <w:pPr>
              <w:spacing w:before="60" w:after="60" w:line="276" w:lineRule="auto"/>
              <w:rPr>
                <w:rFonts w:eastAsia="Calibri"/>
              </w:rPr>
            </w:pPr>
            <w:bookmarkStart w:id="30" w:name="IndicatorDescription3"/>
            <w:bookmarkEnd w:id="30"/>
            <w:r>
              <w:t>Subsections applicable to this service fully attained.</w:t>
            </w:r>
          </w:p>
        </w:tc>
      </w:tr>
    </w:tbl>
    <w:p w14:paraId="531A103B" w14:textId="77777777" w:rsidR="00875F9C" w:rsidRDefault="00875F9C">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29ED98F4" w14:textId="77777777" w:rsidR="00037A16" w:rsidRPr="00A4268A" w:rsidRDefault="00875F9C">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1B11833D" w14:textId="77777777" w:rsidR="00037A16" w:rsidRPr="00A4268A" w:rsidRDefault="00037A16">
      <w:pPr>
        <w:spacing w:before="240" w:line="276" w:lineRule="auto"/>
        <w:rPr>
          <w:rFonts w:eastAsia="Calibri"/>
        </w:rPr>
      </w:pPr>
    </w:p>
    <w:p w14:paraId="09E4704A" w14:textId="77777777" w:rsidR="00875F9C" w:rsidRDefault="00875F9C" w:rsidP="000E6E02">
      <w:pPr>
        <w:pStyle w:val="Heading2"/>
        <w:spacing w:before="0"/>
        <w:rPr>
          <w:rFonts w:cs="Arial"/>
        </w:rPr>
      </w:pPr>
      <w:r>
        <w:rPr>
          <w:rFonts w:cs="Arial"/>
        </w:rPr>
        <w:t>Summary of attainment</w:t>
      </w:r>
    </w:p>
    <w:p w14:paraId="1BB4720B" w14:textId="77777777" w:rsidR="00875F9C" w:rsidRDefault="00875F9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37A16" w14:paraId="73EB50F2" w14:textId="77777777">
        <w:tc>
          <w:tcPr>
            <w:tcW w:w="1384" w:type="dxa"/>
            <w:vAlign w:val="center"/>
          </w:tcPr>
          <w:p w14:paraId="7487DB72" w14:textId="77777777" w:rsidR="00875F9C" w:rsidRDefault="00875F9C">
            <w:pPr>
              <w:keepNext/>
              <w:spacing w:before="60" w:after="60"/>
              <w:rPr>
                <w:rFonts w:cs="Arial"/>
                <w:b/>
                <w:sz w:val="20"/>
                <w:szCs w:val="20"/>
              </w:rPr>
            </w:pPr>
            <w:r>
              <w:rPr>
                <w:rFonts w:cs="Arial"/>
                <w:b/>
                <w:sz w:val="20"/>
                <w:szCs w:val="20"/>
              </w:rPr>
              <w:t>Attainment Rating</w:t>
            </w:r>
          </w:p>
        </w:tc>
        <w:tc>
          <w:tcPr>
            <w:tcW w:w="1701" w:type="dxa"/>
            <w:vAlign w:val="center"/>
          </w:tcPr>
          <w:p w14:paraId="1AFAA13F" w14:textId="77777777" w:rsidR="00875F9C" w:rsidRDefault="00875F9C">
            <w:pPr>
              <w:keepNext/>
              <w:spacing w:before="60" w:after="60"/>
              <w:jc w:val="center"/>
              <w:rPr>
                <w:rFonts w:cs="Arial"/>
                <w:b/>
                <w:sz w:val="20"/>
                <w:szCs w:val="20"/>
              </w:rPr>
            </w:pPr>
            <w:r>
              <w:rPr>
                <w:rFonts w:cs="Arial"/>
                <w:b/>
                <w:sz w:val="20"/>
                <w:szCs w:val="20"/>
              </w:rPr>
              <w:t>Continuous Improvement</w:t>
            </w:r>
          </w:p>
          <w:p w14:paraId="1C08B90B" w14:textId="77777777" w:rsidR="00875F9C" w:rsidRDefault="00875F9C">
            <w:pPr>
              <w:keepNext/>
              <w:spacing w:before="60" w:after="60"/>
              <w:jc w:val="center"/>
              <w:rPr>
                <w:rFonts w:cs="Arial"/>
                <w:b/>
                <w:sz w:val="20"/>
                <w:szCs w:val="20"/>
              </w:rPr>
            </w:pPr>
            <w:r>
              <w:rPr>
                <w:rFonts w:cs="Arial"/>
                <w:b/>
                <w:sz w:val="20"/>
                <w:szCs w:val="20"/>
              </w:rPr>
              <w:t>(CI)</w:t>
            </w:r>
          </w:p>
        </w:tc>
        <w:tc>
          <w:tcPr>
            <w:tcW w:w="1843" w:type="dxa"/>
            <w:vAlign w:val="center"/>
          </w:tcPr>
          <w:p w14:paraId="15AF9598" w14:textId="77777777" w:rsidR="00875F9C" w:rsidRDefault="00875F9C">
            <w:pPr>
              <w:keepNext/>
              <w:spacing w:before="60" w:after="60"/>
              <w:jc w:val="center"/>
              <w:rPr>
                <w:rFonts w:cs="Arial"/>
                <w:b/>
                <w:sz w:val="20"/>
                <w:szCs w:val="20"/>
              </w:rPr>
            </w:pPr>
            <w:r>
              <w:rPr>
                <w:rFonts w:cs="Arial"/>
                <w:b/>
                <w:sz w:val="20"/>
                <w:szCs w:val="20"/>
              </w:rPr>
              <w:t>Fully Attained</w:t>
            </w:r>
          </w:p>
          <w:p w14:paraId="0C0A9D59" w14:textId="77777777" w:rsidR="00875F9C" w:rsidRDefault="00875F9C">
            <w:pPr>
              <w:keepNext/>
              <w:spacing w:before="60" w:after="60"/>
              <w:jc w:val="center"/>
              <w:rPr>
                <w:rFonts w:cs="Arial"/>
                <w:b/>
                <w:sz w:val="20"/>
                <w:szCs w:val="20"/>
              </w:rPr>
            </w:pPr>
            <w:r>
              <w:rPr>
                <w:rFonts w:cs="Arial"/>
                <w:b/>
                <w:sz w:val="20"/>
                <w:szCs w:val="20"/>
              </w:rPr>
              <w:t>(FA)</w:t>
            </w:r>
          </w:p>
        </w:tc>
        <w:tc>
          <w:tcPr>
            <w:tcW w:w="1843" w:type="dxa"/>
            <w:vAlign w:val="center"/>
          </w:tcPr>
          <w:p w14:paraId="0E430A7E" w14:textId="77777777" w:rsidR="00875F9C" w:rsidRDefault="00875F9C">
            <w:pPr>
              <w:keepNext/>
              <w:spacing w:before="60" w:after="60"/>
              <w:jc w:val="center"/>
              <w:rPr>
                <w:rFonts w:cs="Arial"/>
                <w:b/>
                <w:sz w:val="20"/>
                <w:szCs w:val="20"/>
              </w:rPr>
            </w:pPr>
            <w:r>
              <w:rPr>
                <w:rFonts w:cs="Arial"/>
                <w:b/>
                <w:sz w:val="20"/>
                <w:szCs w:val="20"/>
              </w:rPr>
              <w:t>Partially Attained Negligible Risk</w:t>
            </w:r>
          </w:p>
          <w:p w14:paraId="3CF64F3A" w14:textId="77777777" w:rsidR="00875F9C" w:rsidRDefault="00875F9C">
            <w:pPr>
              <w:keepNext/>
              <w:spacing w:before="60" w:after="60"/>
              <w:jc w:val="center"/>
              <w:rPr>
                <w:rFonts w:cs="Arial"/>
                <w:b/>
                <w:sz w:val="20"/>
                <w:szCs w:val="20"/>
              </w:rPr>
            </w:pPr>
            <w:r>
              <w:rPr>
                <w:rFonts w:cs="Arial"/>
                <w:b/>
                <w:sz w:val="20"/>
                <w:szCs w:val="20"/>
              </w:rPr>
              <w:t>(PA Negligible)</w:t>
            </w:r>
          </w:p>
        </w:tc>
        <w:tc>
          <w:tcPr>
            <w:tcW w:w="1842" w:type="dxa"/>
            <w:vAlign w:val="center"/>
          </w:tcPr>
          <w:p w14:paraId="504A3A89" w14:textId="77777777" w:rsidR="00875F9C" w:rsidRDefault="00875F9C">
            <w:pPr>
              <w:keepNext/>
              <w:spacing w:before="60" w:after="60"/>
              <w:jc w:val="center"/>
              <w:rPr>
                <w:rFonts w:cs="Arial"/>
                <w:b/>
                <w:sz w:val="20"/>
                <w:szCs w:val="20"/>
              </w:rPr>
            </w:pPr>
            <w:r>
              <w:rPr>
                <w:rFonts w:cs="Arial"/>
                <w:b/>
                <w:sz w:val="20"/>
                <w:szCs w:val="20"/>
              </w:rPr>
              <w:t>Partially Attained Low Risk</w:t>
            </w:r>
          </w:p>
          <w:p w14:paraId="4AB48B23" w14:textId="77777777" w:rsidR="00875F9C" w:rsidRDefault="00875F9C">
            <w:pPr>
              <w:keepNext/>
              <w:spacing w:before="60" w:after="60"/>
              <w:jc w:val="center"/>
              <w:rPr>
                <w:rFonts w:cs="Arial"/>
                <w:b/>
                <w:sz w:val="20"/>
                <w:szCs w:val="20"/>
              </w:rPr>
            </w:pPr>
            <w:r>
              <w:rPr>
                <w:rFonts w:cs="Arial"/>
                <w:b/>
                <w:sz w:val="20"/>
                <w:szCs w:val="20"/>
              </w:rPr>
              <w:t>(PA Low)</w:t>
            </w:r>
          </w:p>
        </w:tc>
        <w:tc>
          <w:tcPr>
            <w:tcW w:w="1843" w:type="dxa"/>
            <w:vAlign w:val="center"/>
          </w:tcPr>
          <w:p w14:paraId="0B4A90BD" w14:textId="77777777" w:rsidR="00875F9C" w:rsidRDefault="00875F9C">
            <w:pPr>
              <w:keepNext/>
              <w:spacing w:before="60" w:after="60"/>
              <w:jc w:val="center"/>
              <w:rPr>
                <w:rFonts w:cs="Arial"/>
                <w:b/>
                <w:sz w:val="20"/>
                <w:szCs w:val="20"/>
              </w:rPr>
            </w:pPr>
            <w:r>
              <w:rPr>
                <w:rFonts w:cs="Arial"/>
                <w:b/>
                <w:sz w:val="20"/>
                <w:szCs w:val="20"/>
              </w:rPr>
              <w:t>Partially Attained Moderate Risk</w:t>
            </w:r>
          </w:p>
          <w:p w14:paraId="469F6007" w14:textId="77777777" w:rsidR="00875F9C" w:rsidRDefault="00875F9C">
            <w:pPr>
              <w:keepNext/>
              <w:spacing w:before="60" w:after="60"/>
              <w:jc w:val="center"/>
              <w:rPr>
                <w:rFonts w:cs="Arial"/>
                <w:b/>
                <w:sz w:val="20"/>
                <w:szCs w:val="20"/>
              </w:rPr>
            </w:pPr>
            <w:r>
              <w:rPr>
                <w:rFonts w:cs="Arial"/>
                <w:b/>
                <w:sz w:val="20"/>
                <w:szCs w:val="20"/>
              </w:rPr>
              <w:t>(PA Moderate)</w:t>
            </w:r>
          </w:p>
        </w:tc>
        <w:tc>
          <w:tcPr>
            <w:tcW w:w="1843" w:type="dxa"/>
            <w:vAlign w:val="center"/>
          </w:tcPr>
          <w:p w14:paraId="6B33BD50" w14:textId="77777777" w:rsidR="00875F9C" w:rsidRDefault="00875F9C">
            <w:pPr>
              <w:keepNext/>
              <w:spacing w:before="60" w:after="60"/>
              <w:jc w:val="center"/>
              <w:rPr>
                <w:rFonts w:cs="Arial"/>
                <w:b/>
                <w:sz w:val="20"/>
                <w:szCs w:val="20"/>
              </w:rPr>
            </w:pPr>
            <w:r>
              <w:rPr>
                <w:rFonts w:cs="Arial"/>
                <w:b/>
                <w:sz w:val="20"/>
                <w:szCs w:val="20"/>
              </w:rPr>
              <w:t>Partially Attained High Risk</w:t>
            </w:r>
          </w:p>
          <w:p w14:paraId="3AF29EEC" w14:textId="77777777" w:rsidR="00875F9C" w:rsidRDefault="00875F9C">
            <w:pPr>
              <w:keepNext/>
              <w:spacing w:before="60" w:after="60"/>
              <w:jc w:val="center"/>
              <w:rPr>
                <w:rFonts w:cs="Arial"/>
                <w:b/>
                <w:sz w:val="20"/>
                <w:szCs w:val="20"/>
              </w:rPr>
            </w:pPr>
            <w:r>
              <w:rPr>
                <w:rFonts w:cs="Arial"/>
                <w:b/>
                <w:sz w:val="20"/>
                <w:szCs w:val="20"/>
              </w:rPr>
              <w:t>(PA High)</w:t>
            </w:r>
          </w:p>
        </w:tc>
        <w:tc>
          <w:tcPr>
            <w:tcW w:w="1843" w:type="dxa"/>
            <w:vAlign w:val="center"/>
          </w:tcPr>
          <w:p w14:paraId="08C79D21" w14:textId="77777777" w:rsidR="00875F9C" w:rsidRDefault="00875F9C">
            <w:pPr>
              <w:keepNext/>
              <w:spacing w:before="60" w:after="60"/>
              <w:jc w:val="center"/>
              <w:rPr>
                <w:rFonts w:cs="Arial"/>
                <w:b/>
                <w:sz w:val="20"/>
                <w:szCs w:val="20"/>
              </w:rPr>
            </w:pPr>
            <w:r>
              <w:rPr>
                <w:rFonts w:cs="Arial"/>
                <w:b/>
                <w:sz w:val="20"/>
                <w:szCs w:val="20"/>
              </w:rPr>
              <w:t>Partially Attained Critical Risk</w:t>
            </w:r>
          </w:p>
          <w:p w14:paraId="6CE3A2D9" w14:textId="77777777" w:rsidR="00875F9C" w:rsidRDefault="00875F9C">
            <w:pPr>
              <w:keepNext/>
              <w:spacing w:before="60" w:after="60"/>
              <w:jc w:val="center"/>
              <w:rPr>
                <w:rFonts w:cs="Arial"/>
                <w:b/>
                <w:sz w:val="20"/>
                <w:szCs w:val="20"/>
              </w:rPr>
            </w:pPr>
            <w:r>
              <w:rPr>
                <w:rFonts w:cs="Arial"/>
                <w:b/>
                <w:sz w:val="20"/>
                <w:szCs w:val="20"/>
              </w:rPr>
              <w:t>(PA Critical)</w:t>
            </w:r>
          </w:p>
        </w:tc>
      </w:tr>
      <w:tr w:rsidR="00037A16" w14:paraId="739E7D69" w14:textId="77777777">
        <w:tc>
          <w:tcPr>
            <w:tcW w:w="1384" w:type="dxa"/>
            <w:vAlign w:val="center"/>
          </w:tcPr>
          <w:p w14:paraId="258D4655" w14:textId="77777777" w:rsidR="00875F9C" w:rsidRDefault="00875F9C">
            <w:pPr>
              <w:keepNext/>
              <w:spacing w:before="60" w:after="60"/>
              <w:rPr>
                <w:rFonts w:cs="Arial"/>
                <w:b/>
                <w:sz w:val="20"/>
                <w:szCs w:val="20"/>
              </w:rPr>
            </w:pPr>
            <w:r>
              <w:rPr>
                <w:rFonts w:cs="Arial"/>
                <w:b/>
                <w:sz w:val="20"/>
                <w:szCs w:val="20"/>
              </w:rPr>
              <w:t>Subsection</w:t>
            </w:r>
          </w:p>
        </w:tc>
        <w:tc>
          <w:tcPr>
            <w:tcW w:w="1701" w:type="dxa"/>
            <w:vAlign w:val="center"/>
          </w:tcPr>
          <w:p w14:paraId="37CFEC71" w14:textId="77777777" w:rsidR="00875F9C" w:rsidRDefault="00875F9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EAE826B" w14:textId="77777777" w:rsidR="00875F9C" w:rsidRDefault="00875F9C"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7CE14C4" w14:textId="77777777" w:rsidR="00875F9C" w:rsidRDefault="00875F9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7FF917F" w14:textId="77777777" w:rsidR="00875F9C" w:rsidRDefault="00875F9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27D9D5D" w14:textId="77777777" w:rsidR="00875F9C" w:rsidRDefault="00875F9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80AC5AA" w14:textId="77777777" w:rsidR="00875F9C" w:rsidRDefault="00875F9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04DCC2B" w14:textId="77777777" w:rsidR="00875F9C" w:rsidRDefault="00875F9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37A16" w14:paraId="6004C528" w14:textId="77777777">
        <w:tc>
          <w:tcPr>
            <w:tcW w:w="1384" w:type="dxa"/>
            <w:vAlign w:val="center"/>
          </w:tcPr>
          <w:p w14:paraId="223E25A6" w14:textId="77777777" w:rsidR="00875F9C" w:rsidRDefault="00875F9C">
            <w:pPr>
              <w:keepNext/>
              <w:spacing w:before="60" w:after="60"/>
              <w:rPr>
                <w:rFonts w:cs="Arial"/>
                <w:b/>
                <w:sz w:val="20"/>
                <w:szCs w:val="20"/>
              </w:rPr>
            </w:pPr>
            <w:r>
              <w:rPr>
                <w:rFonts w:cs="Arial"/>
                <w:b/>
                <w:sz w:val="20"/>
                <w:szCs w:val="20"/>
              </w:rPr>
              <w:t>Criteria</w:t>
            </w:r>
          </w:p>
        </w:tc>
        <w:tc>
          <w:tcPr>
            <w:tcW w:w="1701" w:type="dxa"/>
            <w:vAlign w:val="center"/>
          </w:tcPr>
          <w:p w14:paraId="45371890" w14:textId="77777777" w:rsidR="00875F9C" w:rsidRDefault="00875F9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DB61C2F" w14:textId="77777777" w:rsidR="00875F9C" w:rsidRDefault="00875F9C"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E642909" w14:textId="77777777" w:rsidR="00875F9C" w:rsidRDefault="00875F9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387491C" w14:textId="77777777" w:rsidR="00875F9C" w:rsidRDefault="00875F9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80CA757" w14:textId="77777777" w:rsidR="00875F9C" w:rsidRDefault="00875F9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87C8B38" w14:textId="77777777" w:rsidR="00875F9C" w:rsidRDefault="00875F9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CF5E2A5" w14:textId="77777777" w:rsidR="00875F9C" w:rsidRDefault="00875F9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20C7AFB" w14:textId="77777777" w:rsidR="00875F9C" w:rsidRDefault="00875F9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37A16" w14:paraId="05D97789" w14:textId="77777777">
        <w:tc>
          <w:tcPr>
            <w:tcW w:w="1384" w:type="dxa"/>
            <w:vAlign w:val="center"/>
          </w:tcPr>
          <w:p w14:paraId="23D6B4CB" w14:textId="77777777" w:rsidR="00875F9C" w:rsidRDefault="00875F9C">
            <w:pPr>
              <w:keepNext/>
              <w:spacing w:before="60" w:after="60"/>
              <w:rPr>
                <w:rFonts w:cs="Arial"/>
                <w:b/>
                <w:sz w:val="20"/>
                <w:szCs w:val="20"/>
              </w:rPr>
            </w:pPr>
            <w:r>
              <w:rPr>
                <w:rFonts w:cs="Arial"/>
                <w:b/>
                <w:sz w:val="20"/>
                <w:szCs w:val="20"/>
              </w:rPr>
              <w:t>Attainment Rating</w:t>
            </w:r>
          </w:p>
        </w:tc>
        <w:tc>
          <w:tcPr>
            <w:tcW w:w="1701" w:type="dxa"/>
            <w:vAlign w:val="center"/>
          </w:tcPr>
          <w:p w14:paraId="7EE29FC4" w14:textId="77777777" w:rsidR="00875F9C" w:rsidRDefault="00875F9C">
            <w:pPr>
              <w:keepNext/>
              <w:spacing w:before="60" w:after="60"/>
              <w:jc w:val="center"/>
              <w:rPr>
                <w:rFonts w:cs="Arial"/>
                <w:b/>
                <w:sz w:val="20"/>
                <w:szCs w:val="20"/>
              </w:rPr>
            </w:pPr>
            <w:r>
              <w:rPr>
                <w:rFonts w:cs="Arial"/>
                <w:b/>
                <w:sz w:val="20"/>
                <w:szCs w:val="20"/>
              </w:rPr>
              <w:t>Unattained Negligible Risk</w:t>
            </w:r>
          </w:p>
          <w:p w14:paraId="5718221B" w14:textId="77777777" w:rsidR="00875F9C" w:rsidRDefault="00875F9C">
            <w:pPr>
              <w:keepNext/>
              <w:spacing w:before="60" w:after="60"/>
              <w:jc w:val="center"/>
              <w:rPr>
                <w:rFonts w:cs="Arial"/>
                <w:b/>
                <w:sz w:val="20"/>
                <w:szCs w:val="20"/>
              </w:rPr>
            </w:pPr>
            <w:r>
              <w:rPr>
                <w:rFonts w:cs="Arial"/>
                <w:b/>
                <w:sz w:val="20"/>
                <w:szCs w:val="20"/>
              </w:rPr>
              <w:t>(UA Negligible)</w:t>
            </w:r>
          </w:p>
        </w:tc>
        <w:tc>
          <w:tcPr>
            <w:tcW w:w="1843" w:type="dxa"/>
            <w:vAlign w:val="center"/>
          </w:tcPr>
          <w:p w14:paraId="53E1420B" w14:textId="77777777" w:rsidR="00875F9C" w:rsidRDefault="00875F9C">
            <w:pPr>
              <w:keepNext/>
              <w:spacing w:before="60" w:after="60"/>
              <w:jc w:val="center"/>
              <w:rPr>
                <w:rFonts w:cs="Arial"/>
                <w:b/>
                <w:sz w:val="20"/>
                <w:szCs w:val="20"/>
              </w:rPr>
            </w:pPr>
            <w:r>
              <w:rPr>
                <w:rFonts w:cs="Arial"/>
                <w:b/>
                <w:sz w:val="20"/>
                <w:szCs w:val="20"/>
              </w:rPr>
              <w:t>Unattained Low Risk</w:t>
            </w:r>
          </w:p>
          <w:p w14:paraId="03AF90D8" w14:textId="77777777" w:rsidR="00875F9C" w:rsidRDefault="00875F9C">
            <w:pPr>
              <w:keepNext/>
              <w:spacing w:before="60" w:after="60"/>
              <w:jc w:val="center"/>
              <w:rPr>
                <w:rFonts w:cs="Arial"/>
                <w:b/>
                <w:sz w:val="20"/>
                <w:szCs w:val="20"/>
              </w:rPr>
            </w:pPr>
            <w:r>
              <w:rPr>
                <w:rFonts w:cs="Arial"/>
                <w:b/>
                <w:sz w:val="20"/>
                <w:szCs w:val="20"/>
              </w:rPr>
              <w:t>(UA Low)</w:t>
            </w:r>
          </w:p>
        </w:tc>
        <w:tc>
          <w:tcPr>
            <w:tcW w:w="1843" w:type="dxa"/>
            <w:vAlign w:val="center"/>
          </w:tcPr>
          <w:p w14:paraId="015450B7" w14:textId="77777777" w:rsidR="00875F9C" w:rsidRDefault="00875F9C">
            <w:pPr>
              <w:keepNext/>
              <w:spacing w:before="60" w:after="60"/>
              <w:jc w:val="center"/>
              <w:rPr>
                <w:rFonts w:cs="Arial"/>
                <w:b/>
                <w:sz w:val="20"/>
                <w:szCs w:val="20"/>
              </w:rPr>
            </w:pPr>
            <w:r>
              <w:rPr>
                <w:rFonts w:cs="Arial"/>
                <w:b/>
                <w:sz w:val="20"/>
                <w:szCs w:val="20"/>
              </w:rPr>
              <w:t>Unattained Moderate Risk</w:t>
            </w:r>
          </w:p>
          <w:p w14:paraId="1AA93055" w14:textId="77777777" w:rsidR="00875F9C" w:rsidRDefault="00875F9C">
            <w:pPr>
              <w:keepNext/>
              <w:spacing w:before="60" w:after="60"/>
              <w:jc w:val="center"/>
              <w:rPr>
                <w:rFonts w:cs="Arial"/>
                <w:b/>
                <w:sz w:val="20"/>
                <w:szCs w:val="20"/>
              </w:rPr>
            </w:pPr>
            <w:r>
              <w:rPr>
                <w:rFonts w:cs="Arial"/>
                <w:b/>
                <w:sz w:val="20"/>
                <w:szCs w:val="20"/>
              </w:rPr>
              <w:t>(UA Moderate)</w:t>
            </w:r>
          </w:p>
        </w:tc>
        <w:tc>
          <w:tcPr>
            <w:tcW w:w="1842" w:type="dxa"/>
            <w:vAlign w:val="center"/>
          </w:tcPr>
          <w:p w14:paraId="67AFFB07" w14:textId="77777777" w:rsidR="00875F9C" w:rsidRDefault="00875F9C">
            <w:pPr>
              <w:keepNext/>
              <w:spacing w:before="60" w:after="60"/>
              <w:jc w:val="center"/>
              <w:rPr>
                <w:rFonts w:cs="Arial"/>
                <w:b/>
                <w:sz w:val="20"/>
                <w:szCs w:val="20"/>
              </w:rPr>
            </w:pPr>
            <w:r>
              <w:rPr>
                <w:rFonts w:cs="Arial"/>
                <w:b/>
                <w:sz w:val="20"/>
                <w:szCs w:val="20"/>
              </w:rPr>
              <w:t>Unattained High Risk</w:t>
            </w:r>
          </w:p>
          <w:p w14:paraId="653E3231" w14:textId="77777777" w:rsidR="00875F9C" w:rsidRDefault="00875F9C">
            <w:pPr>
              <w:keepNext/>
              <w:spacing w:before="60" w:after="60"/>
              <w:jc w:val="center"/>
              <w:rPr>
                <w:rFonts w:cs="Arial"/>
                <w:b/>
                <w:sz w:val="20"/>
                <w:szCs w:val="20"/>
              </w:rPr>
            </w:pPr>
            <w:r>
              <w:rPr>
                <w:rFonts w:cs="Arial"/>
                <w:b/>
                <w:sz w:val="20"/>
                <w:szCs w:val="20"/>
              </w:rPr>
              <w:t>(UA High)</w:t>
            </w:r>
          </w:p>
        </w:tc>
        <w:tc>
          <w:tcPr>
            <w:tcW w:w="1843" w:type="dxa"/>
            <w:vAlign w:val="center"/>
          </w:tcPr>
          <w:p w14:paraId="1E186083" w14:textId="77777777" w:rsidR="00875F9C" w:rsidRDefault="00875F9C">
            <w:pPr>
              <w:keepNext/>
              <w:spacing w:before="60" w:after="60"/>
              <w:jc w:val="center"/>
              <w:rPr>
                <w:rFonts w:cs="Arial"/>
                <w:b/>
                <w:sz w:val="20"/>
                <w:szCs w:val="20"/>
              </w:rPr>
            </w:pPr>
            <w:r>
              <w:rPr>
                <w:rFonts w:cs="Arial"/>
                <w:b/>
                <w:sz w:val="20"/>
                <w:szCs w:val="20"/>
              </w:rPr>
              <w:t>Unattained Critical Risk</w:t>
            </w:r>
          </w:p>
          <w:p w14:paraId="283B4BD8" w14:textId="77777777" w:rsidR="00875F9C" w:rsidRDefault="00875F9C">
            <w:pPr>
              <w:keepNext/>
              <w:spacing w:before="60" w:after="60"/>
              <w:jc w:val="center"/>
              <w:rPr>
                <w:rFonts w:cs="Arial"/>
                <w:b/>
                <w:sz w:val="20"/>
                <w:szCs w:val="20"/>
              </w:rPr>
            </w:pPr>
            <w:r>
              <w:rPr>
                <w:rFonts w:cs="Arial"/>
                <w:b/>
                <w:sz w:val="20"/>
                <w:szCs w:val="20"/>
              </w:rPr>
              <w:t>(UA Critical)</w:t>
            </w:r>
          </w:p>
        </w:tc>
      </w:tr>
      <w:tr w:rsidR="00037A16" w14:paraId="0314D6BF" w14:textId="77777777">
        <w:tc>
          <w:tcPr>
            <w:tcW w:w="1384" w:type="dxa"/>
            <w:vAlign w:val="center"/>
          </w:tcPr>
          <w:p w14:paraId="02CB82FD" w14:textId="77777777" w:rsidR="00875F9C" w:rsidRDefault="00875F9C">
            <w:pPr>
              <w:keepNext/>
              <w:spacing w:before="60" w:after="60"/>
              <w:rPr>
                <w:rFonts w:cs="Arial"/>
                <w:b/>
                <w:sz w:val="20"/>
                <w:szCs w:val="20"/>
              </w:rPr>
            </w:pPr>
            <w:r>
              <w:rPr>
                <w:rFonts w:cs="Arial"/>
                <w:b/>
                <w:sz w:val="20"/>
                <w:szCs w:val="20"/>
              </w:rPr>
              <w:t>Subsection</w:t>
            </w:r>
          </w:p>
        </w:tc>
        <w:tc>
          <w:tcPr>
            <w:tcW w:w="1701" w:type="dxa"/>
            <w:vAlign w:val="center"/>
          </w:tcPr>
          <w:p w14:paraId="546CCA92" w14:textId="77777777" w:rsidR="00875F9C" w:rsidRDefault="00875F9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A438C0" w14:textId="77777777" w:rsidR="00875F9C" w:rsidRDefault="00875F9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3221C4D" w14:textId="77777777" w:rsidR="00875F9C" w:rsidRDefault="00875F9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EA4AE3B" w14:textId="77777777" w:rsidR="00875F9C" w:rsidRDefault="00875F9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EBCFBCE" w14:textId="77777777" w:rsidR="00875F9C" w:rsidRDefault="00875F9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37A16" w14:paraId="48B12F42" w14:textId="77777777">
        <w:tc>
          <w:tcPr>
            <w:tcW w:w="1384" w:type="dxa"/>
            <w:vAlign w:val="center"/>
          </w:tcPr>
          <w:p w14:paraId="517F06BF" w14:textId="77777777" w:rsidR="00875F9C" w:rsidRDefault="00875F9C">
            <w:pPr>
              <w:spacing w:before="60" w:after="60"/>
              <w:rPr>
                <w:rFonts w:cs="Arial"/>
                <w:b/>
                <w:sz w:val="20"/>
                <w:szCs w:val="20"/>
              </w:rPr>
            </w:pPr>
            <w:r>
              <w:rPr>
                <w:rFonts w:cs="Arial"/>
                <w:b/>
                <w:sz w:val="20"/>
                <w:szCs w:val="20"/>
              </w:rPr>
              <w:t>Criteria</w:t>
            </w:r>
          </w:p>
        </w:tc>
        <w:tc>
          <w:tcPr>
            <w:tcW w:w="1701" w:type="dxa"/>
            <w:vAlign w:val="center"/>
          </w:tcPr>
          <w:p w14:paraId="1132B16C" w14:textId="77777777" w:rsidR="00875F9C" w:rsidRDefault="00875F9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0CD3328" w14:textId="77777777" w:rsidR="00875F9C" w:rsidRDefault="00875F9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B3064D7" w14:textId="77777777" w:rsidR="00875F9C" w:rsidRDefault="00875F9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A9967BE" w14:textId="77777777" w:rsidR="00875F9C" w:rsidRDefault="00875F9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A2DC37B" w14:textId="77777777" w:rsidR="00875F9C" w:rsidRDefault="00875F9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06ECE44" w14:textId="77777777" w:rsidR="00875F9C" w:rsidRDefault="00875F9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EBF7FF" w14:textId="77777777" w:rsidR="00875F9C" w:rsidRDefault="00875F9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895BDB1" w14:textId="77777777" w:rsidR="00875F9C" w:rsidRDefault="00875F9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39AF0C9" w14:textId="77777777" w:rsidR="00875F9C" w:rsidRDefault="00875F9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1373"/>
        <w:gridCol w:w="6787"/>
      </w:tblGrid>
      <w:tr w:rsidR="00037A16" w14:paraId="7D29400D" w14:textId="77777777">
        <w:tc>
          <w:tcPr>
            <w:tcW w:w="0" w:type="auto"/>
          </w:tcPr>
          <w:p w14:paraId="1A1445C9" w14:textId="77777777" w:rsidR="00875F9C" w:rsidRPr="00BE00C7" w:rsidRDefault="00875F9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C5DFC0" w14:textId="77777777" w:rsidR="00875F9C" w:rsidRPr="00BE00C7" w:rsidRDefault="00875F9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259746" w14:textId="77777777" w:rsidR="00875F9C" w:rsidRPr="00BE00C7" w:rsidRDefault="00875F9C" w:rsidP="00BE00C7">
            <w:pPr>
              <w:pStyle w:val="OutcomeDescription"/>
              <w:spacing w:before="120" w:after="120"/>
              <w:rPr>
                <w:rFonts w:cs="Arial"/>
                <w:b/>
                <w:lang w:eastAsia="en-NZ"/>
              </w:rPr>
            </w:pPr>
            <w:r w:rsidRPr="00BE00C7">
              <w:rPr>
                <w:rFonts w:cs="Arial"/>
                <w:b/>
                <w:lang w:eastAsia="en-NZ"/>
              </w:rPr>
              <w:t>Audit Evidence</w:t>
            </w:r>
          </w:p>
        </w:tc>
      </w:tr>
      <w:tr w:rsidR="00037A16" w14:paraId="0A1D33F2" w14:textId="77777777">
        <w:tc>
          <w:tcPr>
            <w:tcW w:w="0" w:type="auto"/>
          </w:tcPr>
          <w:p w14:paraId="328B3AF2"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1.1: Pae ora healthy futures</w:t>
            </w:r>
          </w:p>
          <w:p w14:paraId="22611215" w14:textId="77777777" w:rsidR="00875F9C" w:rsidRPr="00BE00C7" w:rsidRDefault="00875F9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0FF8401" w14:textId="77777777" w:rsidR="00875F9C" w:rsidRPr="00BE00C7" w:rsidRDefault="00875F9C" w:rsidP="00BE00C7">
            <w:pPr>
              <w:pStyle w:val="OutcomeDescription"/>
              <w:spacing w:before="120" w:after="120"/>
              <w:rPr>
                <w:rFonts w:cs="Arial"/>
                <w:lang w:eastAsia="en-NZ"/>
              </w:rPr>
            </w:pPr>
          </w:p>
        </w:tc>
        <w:tc>
          <w:tcPr>
            <w:tcW w:w="0" w:type="auto"/>
          </w:tcPr>
          <w:p w14:paraId="6577BBB4"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3D68E213" w14:textId="77777777" w:rsidR="00875F9C" w:rsidRPr="00BE00C7" w:rsidRDefault="00875F9C" w:rsidP="00BE00C7">
            <w:pPr>
              <w:pStyle w:val="OutcomeDescription"/>
              <w:spacing w:before="120" w:after="120"/>
              <w:rPr>
                <w:rFonts w:cs="Arial"/>
                <w:lang w:eastAsia="en-NZ"/>
              </w:rPr>
            </w:pPr>
            <w:r w:rsidRPr="00BE00C7">
              <w:rPr>
                <w:rFonts w:cs="Arial"/>
                <w:lang w:eastAsia="en-NZ"/>
              </w:rPr>
              <w:t>Te Manaaki has developed policies, procedures and processes to embed and enact Te Tiriti o Waitangi in all aspects of its work. Mana motuhake is respected. Partnerships have been established with local iwi and Māori organisations and the kaumātua. A Māori health plan, which includes Te Whare Tapa Whā model of care, has been developed with input from cultural advisors. This was used for residents who identified as Māori, to support service integration, planning, equity approaches, and support for Māori. Trai</w:t>
            </w:r>
            <w:r w:rsidRPr="00BE00C7">
              <w:rPr>
                <w:rFonts w:cs="Arial"/>
                <w:lang w:eastAsia="en-NZ"/>
              </w:rPr>
              <w:t>ning was provided at orientation for new staff and was included in the mandatory training days held four times a year. The Manaaki Journal was displayed in all residents’ lounges. An article was documented on Te Tiriti o Waitangi and the significance of Waitangi through its history. Residents stated that they had read the article. There were Māori residents and staff at the time of audit, and those interviewed felt culturally safe.</w:t>
            </w:r>
          </w:p>
          <w:p w14:paraId="7BB5D79A" w14:textId="77777777" w:rsidR="00875F9C" w:rsidRPr="00BE00C7" w:rsidRDefault="00875F9C" w:rsidP="00BE00C7">
            <w:pPr>
              <w:pStyle w:val="OutcomeDescription"/>
              <w:spacing w:before="120" w:after="120"/>
              <w:rPr>
                <w:rFonts w:cs="Arial"/>
                <w:lang w:eastAsia="en-NZ"/>
              </w:rPr>
            </w:pPr>
          </w:p>
        </w:tc>
      </w:tr>
      <w:tr w:rsidR="00037A16" w14:paraId="17E1C0E9" w14:textId="77777777">
        <w:tc>
          <w:tcPr>
            <w:tcW w:w="0" w:type="auto"/>
          </w:tcPr>
          <w:p w14:paraId="1D5E8E47"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F84F895"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achieve </w:t>
            </w:r>
            <w:r w:rsidRPr="00BE00C7">
              <w:rPr>
                <w:rFonts w:cs="Arial"/>
                <w:lang w:eastAsia="en-NZ"/>
              </w:rPr>
              <w:lastRenderedPageBreak/>
              <w:t>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B414E36" w14:textId="77777777" w:rsidR="00875F9C" w:rsidRPr="00BE00C7" w:rsidRDefault="00875F9C" w:rsidP="00BE00C7">
            <w:pPr>
              <w:pStyle w:val="OutcomeDescription"/>
              <w:spacing w:before="120" w:after="120"/>
              <w:rPr>
                <w:rFonts w:cs="Arial"/>
                <w:lang w:eastAsia="en-NZ"/>
              </w:rPr>
            </w:pPr>
          </w:p>
        </w:tc>
        <w:tc>
          <w:tcPr>
            <w:tcW w:w="0" w:type="auto"/>
          </w:tcPr>
          <w:p w14:paraId="53623E8A"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061490"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Te Manaaki provides services that are underpinned by Pacific worldviews. Staff interviewed stated that Pacific residents would be welcomed when admitted to this service and felt their worldview, and cultural and spiritual beliefs, would be fully embraced. Policies and procedures are available to guide staff. Training is included in the training programme reviewed on Pacific countries and models of care adopted by the organisation. The </w:t>
            </w:r>
            <w:r w:rsidRPr="00BE00C7">
              <w:rPr>
                <w:rFonts w:cs="Arial"/>
                <w:lang w:eastAsia="en-NZ"/>
              </w:rPr>
              <w:lastRenderedPageBreak/>
              <w:t>‘Fonofale’ model of care was understood by staff interviewed. At the time of the audit, there were no residents who identified as Pacific peoples, or Pacific staff employed currently.</w:t>
            </w:r>
          </w:p>
          <w:p w14:paraId="334FCFC0" w14:textId="77777777" w:rsidR="00875F9C" w:rsidRPr="00BE00C7" w:rsidRDefault="00875F9C" w:rsidP="00BE00C7">
            <w:pPr>
              <w:pStyle w:val="OutcomeDescription"/>
              <w:spacing w:before="120" w:after="120"/>
              <w:rPr>
                <w:rFonts w:cs="Arial"/>
                <w:lang w:eastAsia="en-NZ"/>
              </w:rPr>
            </w:pPr>
          </w:p>
        </w:tc>
      </w:tr>
      <w:tr w:rsidR="00037A16" w14:paraId="069AC51B" w14:textId="77777777">
        <w:tc>
          <w:tcPr>
            <w:tcW w:w="0" w:type="auto"/>
          </w:tcPr>
          <w:p w14:paraId="4AB25B0C"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75BC23D"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63760B2" w14:textId="77777777" w:rsidR="00875F9C" w:rsidRPr="00BE00C7" w:rsidRDefault="00875F9C" w:rsidP="00BE00C7">
            <w:pPr>
              <w:pStyle w:val="OutcomeDescription"/>
              <w:spacing w:before="120" w:after="120"/>
              <w:rPr>
                <w:rFonts w:cs="Arial"/>
                <w:lang w:eastAsia="en-NZ"/>
              </w:rPr>
            </w:pPr>
          </w:p>
        </w:tc>
        <w:tc>
          <w:tcPr>
            <w:tcW w:w="0" w:type="auto"/>
          </w:tcPr>
          <w:p w14:paraId="258571E5"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0B6F20E2" w14:textId="77777777" w:rsidR="00875F9C" w:rsidRPr="00BE00C7" w:rsidRDefault="00875F9C"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414D248A"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Residents and </w:t>
            </w:r>
            <w:r w:rsidRPr="00BE00C7">
              <w:rPr>
                <w:rFonts w:cs="Arial"/>
                <w:lang w:eastAsia="en-NZ"/>
              </w:rPr>
              <w:t>whānau/EPOAs interviewed reported being made aware of the Code and the Nationwide Health and Disability Advocacy Service (Advocacy Service) and were provided with opportunities to discuss and clarify their rights. Pamphlets on the Code are available at the reception area and copies are included in the admission pack.</w:t>
            </w:r>
          </w:p>
          <w:p w14:paraId="477FA2F1" w14:textId="77777777" w:rsidR="00875F9C" w:rsidRPr="00BE00C7" w:rsidRDefault="00875F9C" w:rsidP="00BE00C7">
            <w:pPr>
              <w:pStyle w:val="OutcomeDescription"/>
              <w:spacing w:before="120" w:after="120"/>
              <w:rPr>
                <w:rFonts w:cs="Arial"/>
                <w:lang w:eastAsia="en-NZ"/>
              </w:rPr>
            </w:pPr>
          </w:p>
        </w:tc>
      </w:tr>
      <w:tr w:rsidR="00037A16" w14:paraId="4AC1A01E" w14:textId="77777777">
        <w:tc>
          <w:tcPr>
            <w:tcW w:w="0" w:type="auto"/>
          </w:tcPr>
          <w:p w14:paraId="7A885035"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1.5: I am protected from abuse</w:t>
            </w:r>
          </w:p>
          <w:p w14:paraId="5A79F252"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521161" w14:textId="77777777" w:rsidR="00875F9C" w:rsidRPr="00BE00C7" w:rsidRDefault="00875F9C" w:rsidP="00BE00C7">
            <w:pPr>
              <w:pStyle w:val="OutcomeDescription"/>
              <w:spacing w:before="120" w:after="120"/>
              <w:rPr>
                <w:rFonts w:cs="Arial"/>
                <w:lang w:eastAsia="en-NZ"/>
              </w:rPr>
            </w:pPr>
          </w:p>
        </w:tc>
        <w:tc>
          <w:tcPr>
            <w:tcW w:w="0" w:type="auto"/>
          </w:tcPr>
          <w:p w14:paraId="4E7164B1"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6F30CBD1"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3E07F1E2" w14:textId="77777777" w:rsidR="00875F9C" w:rsidRPr="00BE00C7" w:rsidRDefault="00875F9C" w:rsidP="00BE00C7">
            <w:pPr>
              <w:pStyle w:val="OutcomeDescription"/>
              <w:spacing w:before="120" w:after="120"/>
              <w:rPr>
                <w:rFonts w:cs="Arial"/>
                <w:lang w:eastAsia="en-NZ"/>
              </w:rPr>
            </w:pPr>
            <w:r w:rsidRPr="00BE00C7">
              <w:rPr>
                <w:rFonts w:cs="Arial"/>
                <w:lang w:eastAsia="en-NZ"/>
              </w:rPr>
              <w:t>Residents reported that their property was respected. Residents manage their finances independently and those who cannot independently manage are supported by their whānau/EPOAs. Staff undergo police checks at recruitment to safeguard residents. Residents and whānau/EPOAs interviewed stated that staff maintain professional boundaries.</w:t>
            </w:r>
          </w:p>
          <w:p w14:paraId="51D746BD" w14:textId="77777777" w:rsidR="00875F9C" w:rsidRPr="00BE00C7" w:rsidRDefault="00875F9C" w:rsidP="00BE00C7">
            <w:pPr>
              <w:pStyle w:val="OutcomeDescription"/>
              <w:spacing w:before="120" w:after="120"/>
              <w:rPr>
                <w:rFonts w:cs="Arial"/>
                <w:lang w:eastAsia="en-NZ"/>
              </w:rPr>
            </w:pPr>
          </w:p>
        </w:tc>
      </w:tr>
      <w:tr w:rsidR="00037A16" w14:paraId="5DAE1CAC" w14:textId="77777777">
        <w:tc>
          <w:tcPr>
            <w:tcW w:w="0" w:type="auto"/>
          </w:tcPr>
          <w:p w14:paraId="0128887A"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1.7: I am informed and able to make choices</w:t>
            </w:r>
          </w:p>
          <w:p w14:paraId="0B08612D"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w:t>
            </w:r>
            <w:r w:rsidRPr="00BE00C7">
              <w:rPr>
                <w:rFonts w:cs="Arial"/>
                <w:lang w:eastAsia="en-NZ"/>
              </w:rPr>
              <w:lastRenderedPageBreak/>
              <w:t>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B84BF4F" w14:textId="77777777" w:rsidR="00875F9C" w:rsidRPr="00BE00C7" w:rsidRDefault="00875F9C" w:rsidP="00BE00C7">
            <w:pPr>
              <w:pStyle w:val="OutcomeDescription"/>
              <w:spacing w:before="120" w:after="120"/>
              <w:rPr>
                <w:rFonts w:cs="Arial"/>
                <w:lang w:eastAsia="en-NZ"/>
              </w:rPr>
            </w:pPr>
          </w:p>
        </w:tc>
        <w:tc>
          <w:tcPr>
            <w:tcW w:w="0" w:type="auto"/>
          </w:tcPr>
          <w:p w14:paraId="0EAC1561"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BCD398"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Residents and whānau/EPOAs interviewed felt empowered to actively participate in decision-making. EPOAs for residents in the memory care unit were activated.  </w:t>
            </w:r>
          </w:p>
          <w:p w14:paraId="390E789D" w14:textId="77777777" w:rsidR="00875F9C" w:rsidRPr="00BE00C7" w:rsidRDefault="00875F9C"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w:t>
            </w:r>
          </w:p>
          <w:p w14:paraId="7B35E564" w14:textId="77777777" w:rsidR="00875F9C" w:rsidRPr="00BE00C7" w:rsidRDefault="00875F9C" w:rsidP="00BE00C7">
            <w:pPr>
              <w:pStyle w:val="OutcomeDescription"/>
              <w:spacing w:before="120" w:after="120"/>
              <w:rPr>
                <w:rFonts w:cs="Arial"/>
                <w:lang w:eastAsia="en-NZ"/>
              </w:rPr>
            </w:pPr>
          </w:p>
        </w:tc>
      </w:tr>
      <w:tr w:rsidR="00037A16" w14:paraId="48C1C808" w14:textId="77777777">
        <w:tc>
          <w:tcPr>
            <w:tcW w:w="0" w:type="auto"/>
          </w:tcPr>
          <w:p w14:paraId="7B8EC953"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FCE6300"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people: I feel it is easy to </w:t>
            </w:r>
            <w:r w:rsidRPr="00BE00C7">
              <w:rPr>
                <w:rFonts w:cs="Arial"/>
                <w:lang w:eastAsia="en-NZ"/>
              </w:rPr>
              <w:t>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BB8B591" w14:textId="77777777" w:rsidR="00875F9C" w:rsidRPr="00BE00C7" w:rsidRDefault="00875F9C" w:rsidP="00BE00C7">
            <w:pPr>
              <w:pStyle w:val="OutcomeDescription"/>
              <w:spacing w:before="120" w:after="120"/>
              <w:rPr>
                <w:rFonts w:cs="Arial"/>
                <w:lang w:eastAsia="en-NZ"/>
              </w:rPr>
            </w:pPr>
          </w:p>
        </w:tc>
        <w:tc>
          <w:tcPr>
            <w:tcW w:w="0" w:type="auto"/>
          </w:tcPr>
          <w:p w14:paraId="181A48DB"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4369B07B"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48A43DFE" w14:textId="77777777" w:rsidR="00875F9C" w:rsidRPr="00BE00C7" w:rsidRDefault="00875F9C"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5FEB14E9" w14:textId="77777777" w:rsidR="00875F9C" w:rsidRPr="00BE00C7" w:rsidRDefault="00875F9C" w:rsidP="00BE00C7">
            <w:pPr>
              <w:pStyle w:val="OutcomeDescription"/>
              <w:spacing w:before="120" w:after="120"/>
              <w:rPr>
                <w:rFonts w:cs="Arial"/>
                <w:lang w:eastAsia="en-NZ"/>
              </w:rPr>
            </w:pPr>
            <w:r w:rsidRPr="00BE00C7">
              <w:rPr>
                <w:rFonts w:cs="Arial"/>
                <w:lang w:eastAsia="en-NZ"/>
              </w:rPr>
              <w:t>The service assures the process works equitably for Māori by having a copy of the Code displayed in te reo Māori. Interpreter services are accessible if needed.</w:t>
            </w:r>
          </w:p>
          <w:p w14:paraId="588E0E1A"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There had been one Health and Disability Commissioner (HDC) complaint received on 29 October 2024, which remains open. This was responded to by the management team on 12 November 2024, and the health service manager interviewed has had no correspondence with HDC since. There have been no complaints received from any other external sources since the previous audit. All complaints in the complaints register received since the previous audit have been closed out, dated and signed appropriately. Any complaints </w:t>
            </w:r>
            <w:r w:rsidRPr="00BE00C7">
              <w:rPr>
                <w:rFonts w:cs="Arial"/>
                <w:lang w:eastAsia="en-NZ"/>
              </w:rPr>
              <w:t>are used for quality improvements.</w:t>
            </w:r>
          </w:p>
          <w:p w14:paraId="5CBFE505" w14:textId="77777777" w:rsidR="00875F9C" w:rsidRPr="00BE00C7" w:rsidRDefault="00875F9C" w:rsidP="00BE00C7">
            <w:pPr>
              <w:pStyle w:val="OutcomeDescription"/>
              <w:spacing w:before="120" w:after="120"/>
              <w:rPr>
                <w:rFonts w:cs="Arial"/>
                <w:lang w:eastAsia="en-NZ"/>
              </w:rPr>
            </w:pPr>
          </w:p>
        </w:tc>
      </w:tr>
      <w:tr w:rsidR="00037A16" w14:paraId="6305FAF1" w14:textId="77777777">
        <w:tc>
          <w:tcPr>
            <w:tcW w:w="0" w:type="auto"/>
          </w:tcPr>
          <w:p w14:paraId="4D23C53B"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2.1: Governance</w:t>
            </w:r>
          </w:p>
          <w:p w14:paraId="7052389B"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w:t>
            </w:r>
            <w:r w:rsidRPr="00BE00C7">
              <w:rPr>
                <w:rFonts w:cs="Arial"/>
                <w:lang w:eastAsia="en-NZ"/>
              </w:rPr>
              <w:lastRenderedPageBreak/>
              <w:t>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D5279C9" w14:textId="77777777" w:rsidR="00875F9C" w:rsidRPr="00BE00C7" w:rsidRDefault="00875F9C" w:rsidP="00BE00C7">
            <w:pPr>
              <w:pStyle w:val="OutcomeDescription"/>
              <w:spacing w:before="120" w:after="120"/>
              <w:rPr>
                <w:rFonts w:cs="Arial"/>
                <w:lang w:eastAsia="en-NZ"/>
              </w:rPr>
            </w:pPr>
          </w:p>
        </w:tc>
        <w:tc>
          <w:tcPr>
            <w:tcW w:w="0" w:type="auto"/>
          </w:tcPr>
          <w:p w14:paraId="0016E805"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CFACAF" w14:textId="77777777" w:rsidR="00875F9C" w:rsidRPr="00BE00C7" w:rsidRDefault="00875F9C"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7F207722"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w:t>
            </w:r>
            <w:r w:rsidRPr="00BE00C7">
              <w:rPr>
                <w:rFonts w:cs="Arial"/>
                <w:lang w:eastAsia="en-NZ"/>
              </w:rPr>
              <w:lastRenderedPageBreak/>
              <w:t xml:space="preserve">at planned intervals. A focus on identifying barriers to access, improving outcomes, and achieving equity for Māori was evident in the plans and monitoring documentation reviewed, and in the 2025–2026 business plan, which included a reviewed business continuity plan. A commitment to the quality and risk management system was evident. Members of the governance group and the clinical quality educator (a newly implemented role) interviewed felt well informed on progress and risks. This was confirmed through a </w:t>
            </w:r>
            <w:r w:rsidRPr="00BE00C7">
              <w:rPr>
                <w:rFonts w:cs="Arial"/>
                <w:lang w:eastAsia="en-NZ"/>
              </w:rPr>
              <w:t>sample of reports to the board of directors.</w:t>
            </w:r>
          </w:p>
          <w:p w14:paraId="1B875EBD" w14:textId="77777777" w:rsidR="00875F9C" w:rsidRPr="00BE00C7" w:rsidRDefault="00875F9C"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Te Manaaki care centre opened in June 2023 and is now fully operational and has fulfilled the village’s commitment to providing a full continuum of care for its residents. This includes the 10-bed memory care unit. This has strengthened the clinical capability and improved flexibility in service delivery. The goal is to maintain a strong occupancy performance while achieving a balanced 50/50 mix of internal vill</w:t>
            </w:r>
            <w:r w:rsidRPr="00BE00C7">
              <w:rPr>
                <w:rFonts w:cs="Arial"/>
                <w:lang w:eastAsia="en-NZ"/>
              </w:rPr>
              <w:t xml:space="preserve">age residents and external admissions. </w:t>
            </w:r>
          </w:p>
          <w:p w14:paraId="334A4503"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Pacific Coast is part of Generus Living Group. The village is a 50% partnership between Generus Living Group and Mangatawa Papamoa Blocks Incorporated – a Māori Incorporation that was formed in 1957.  </w:t>
            </w:r>
          </w:p>
          <w:p w14:paraId="43466173"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Hauora a Toi Bay of Plenty for the provision of rest home, respite, hospital, palliative care, and memory care D3. </w:t>
            </w:r>
          </w:p>
          <w:p w14:paraId="7E155F0D"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On the day of the audit, 55 residents were receiving services: one respite care, one palliative care, 30 hospital level of care, 15 rest home level of care, and eight secure memory care. The service has 10 memory care level beds available. </w:t>
            </w:r>
          </w:p>
          <w:p w14:paraId="14EC739B"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There are 20 premier serviced apartments on the ground floor. These suites are a suitable size for double occupancy. These ground floor suites were approved for double occupancy in August 2024 and verified at this audit so that up to five at any time can be used in this way. </w:t>
            </w:r>
          </w:p>
          <w:p w14:paraId="4E1BBAC7"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There are 54 dual purpose beds including the two serviced apartments changed to dual purpose beds in November 2024. It was verified at audit that these two rooms are suitable for both rest home and hospital level care residents. </w:t>
            </w:r>
          </w:p>
          <w:p w14:paraId="18D94A59" w14:textId="77777777" w:rsidR="00875F9C" w:rsidRPr="00BE00C7" w:rsidRDefault="00875F9C" w:rsidP="00BE00C7">
            <w:pPr>
              <w:pStyle w:val="OutcomeDescription"/>
              <w:spacing w:before="120" w:after="120"/>
              <w:rPr>
                <w:rFonts w:cs="Arial"/>
                <w:lang w:eastAsia="en-NZ"/>
              </w:rPr>
            </w:pPr>
          </w:p>
        </w:tc>
      </w:tr>
      <w:tr w:rsidR="00037A16" w14:paraId="2A18DFCF" w14:textId="77777777">
        <w:tc>
          <w:tcPr>
            <w:tcW w:w="0" w:type="auto"/>
          </w:tcPr>
          <w:p w14:paraId="7778DBBF"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2931350"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F58D7AE" w14:textId="77777777" w:rsidR="00875F9C" w:rsidRPr="00BE00C7" w:rsidRDefault="00875F9C" w:rsidP="00BE00C7">
            <w:pPr>
              <w:pStyle w:val="OutcomeDescription"/>
              <w:spacing w:before="120" w:after="120"/>
              <w:rPr>
                <w:rFonts w:cs="Arial"/>
                <w:lang w:eastAsia="en-NZ"/>
              </w:rPr>
            </w:pPr>
          </w:p>
        </w:tc>
        <w:tc>
          <w:tcPr>
            <w:tcW w:w="0" w:type="auto"/>
          </w:tcPr>
          <w:p w14:paraId="5E56EC2D"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47AF5C81"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elimination. A staff opinion survey was conducted in February 2026, with 98% of responses being positive. A resident satisfaction survey to measure quality and satisfaction with </w:t>
            </w:r>
            <w:r w:rsidRPr="00BE00C7">
              <w:rPr>
                <w:rFonts w:cs="Arial"/>
                <w:lang w:eastAsia="en-NZ"/>
              </w:rPr>
              <w:t>service delivery (digital platform) was completed in February and November 2025.</w:t>
            </w:r>
          </w:p>
          <w:p w14:paraId="2D7C98C1" w14:textId="77777777" w:rsidR="00875F9C" w:rsidRPr="00BE00C7" w:rsidRDefault="00875F9C"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1FFD006D"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An operations meeting was held prior to a recent cyclone, and a plan was put in place. </w:t>
            </w:r>
          </w:p>
          <w:p w14:paraId="4806270B"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health services manager (HSM) and the clinical quality/educator interviewed described the processes for the identification, documentation, monitoring, review and reporting of risks, including health and safety risks, and development of mitigation strategies. </w:t>
            </w:r>
          </w:p>
          <w:p w14:paraId="2F14BBD8" w14:textId="77777777" w:rsidR="00875F9C" w:rsidRPr="00BE00C7" w:rsidRDefault="00875F9C"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incidents were investigated, action plans developed, and actions followed up in a timely manner.  The service is currently involved with the pilot for the deteriorating early warning score system (DEWS) to be implemented for the aged residential care sector and is also working on a falls prevention programme as a project for its next audit.</w:t>
            </w:r>
          </w:p>
          <w:p w14:paraId="4977280F" w14:textId="77777777" w:rsidR="00875F9C" w:rsidRPr="00BE00C7" w:rsidRDefault="00875F9C" w:rsidP="00BE00C7">
            <w:pPr>
              <w:pStyle w:val="OutcomeDescription"/>
              <w:spacing w:before="120" w:after="120"/>
              <w:rPr>
                <w:rFonts w:cs="Arial"/>
                <w:lang w:eastAsia="en-NZ"/>
              </w:rPr>
            </w:pPr>
            <w:r w:rsidRPr="00BE00C7">
              <w:rPr>
                <w:rFonts w:cs="Arial"/>
                <w:lang w:eastAsia="en-NZ"/>
              </w:rPr>
              <w:t>The clinical quality/educator understood and has complied with essential notification reporting requirements. Since the previous audit, three Section 31 notifications were made to HealthCERT. On 17 December 2024, a COVID-19 outbreak was reported, a resident absconded from the facility on 3 June 2025, and a nationwide medication system outage was reported on 22 February 2026. There have been no police investigations, coroner’s inquests or issues-based audits. However, there were three incidents reported to t</w:t>
            </w:r>
            <w:r w:rsidRPr="00BE00C7">
              <w:rPr>
                <w:rFonts w:cs="Arial"/>
                <w:lang w:eastAsia="en-NZ"/>
              </w:rPr>
              <w:t xml:space="preserve">he Health Safety &amp; Quality Commission (HSQC) in 2025 for two unstageable pressure injuries, and one fall with an injury sustained. </w:t>
            </w:r>
            <w:r w:rsidRPr="00BE00C7">
              <w:rPr>
                <w:rFonts w:cs="Arial"/>
                <w:lang w:eastAsia="en-NZ"/>
              </w:rPr>
              <w:lastRenderedPageBreak/>
              <w:t>Two falls with injuries have been reported so far in 2026. The last incident reported was on 23 March 2026. All reporting requirements were documented, and the timeframes for reporting were effectively met.</w:t>
            </w:r>
          </w:p>
          <w:p w14:paraId="7B489213" w14:textId="77777777" w:rsidR="00875F9C" w:rsidRPr="00BE00C7" w:rsidRDefault="00875F9C" w:rsidP="00BE00C7">
            <w:pPr>
              <w:pStyle w:val="OutcomeDescription"/>
              <w:spacing w:before="120" w:after="120"/>
              <w:rPr>
                <w:rFonts w:cs="Arial"/>
                <w:lang w:eastAsia="en-NZ"/>
              </w:rPr>
            </w:pPr>
          </w:p>
        </w:tc>
      </w:tr>
      <w:tr w:rsidR="00037A16" w14:paraId="4C7B921E" w14:textId="77777777">
        <w:tc>
          <w:tcPr>
            <w:tcW w:w="0" w:type="auto"/>
          </w:tcPr>
          <w:p w14:paraId="174EDA40"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1778C1"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A806418" w14:textId="77777777" w:rsidR="00875F9C" w:rsidRPr="00BE00C7" w:rsidRDefault="00875F9C" w:rsidP="00BE00C7">
            <w:pPr>
              <w:pStyle w:val="OutcomeDescription"/>
              <w:spacing w:before="120" w:after="120"/>
              <w:rPr>
                <w:rFonts w:cs="Arial"/>
                <w:lang w:eastAsia="en-NZ"/>
              </w:rPr>
            </w:pPr>
          </w:p>
        </w:tc>
        <w:tc>
          <w:tcPr>
            <w:tcW w:w="0" w:type="auto"/>
          </w:tcPr>
          <w:p w14:paraId="5A8CE0B5"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6995607C"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w:t>
            </w:r>
            <w:r w:rsidRPr="00BE00C7">
              <w:rPr>
                <w:rFonts w:cs="Arial"/>
                <w:lang w:eastAsia="en-NZ"/>
              </w:rPr>
              <w:t>facility adjusts staffing levels to meet the changing needs of residents. A multidisciplinary team (MDT) approach ensures all aspects of service delivery are met. Those providing care reported there were adequate staff to complete the work allocated to them. Residents/patients and whānau interviewed supported this. At least one staff member on duty has a current first aid certificate and there is always 24/7 RN coverage in the care suites.</w:t>
            </w:r>
          </w:p>
          <w:p w14:paraId="22A361FF"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employment process, which includes a job description </w:t>
            </w:r>
            <w:r w:rsidRPr="00BE00C7">
              <w:rPr>
                <w:rFonts w:cs="Arial"/>
                <w:lang w:eastAsia="en-NZ"/>
              </w:rPr>
              <w:t>defining the skills, qualifications and attributes for each role, ensures services are delivered to meet the needs of residents.</w:t>
            </w:r>
          </w:p>
          <w:p w14:paraId="70F32B28"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There are four mandatory training days held each year. Records of all education are maintained by the clinical quality/educator. Related competencies are assessed and support equitable service delivery. Records reviewed demonstrated completion of the required training and competency assessments. Staff felt well supported with development opportunities.  </w:t>
            </w:r>
          </w:p>
          <w:p w14:paraId="3BCB8E39" w14:textId="77777777" w:rsidR="00875F9C" w:rsidRPr="00BE00C7" w:rsidRDefault="00875F9C"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education programme to meet the requirements of the provider’s contract with Health New Zealand – Te Whatu Ora.  Staff working in the secure memory care service have all completed the required education. There are 30 health care assistants (HCAs) full-time equivalent (FTE) who are employed at this care service, and there are seven casual HCAs. All casual staff have completed relevant New Zealand Qualifications Authority (NZ</w:t>
            </w:r>
            <w:r w:rsidRPr="00BE00C7">
              <w:rPr>
                <w:rFonts w:cs="Arial"/>
                <w:lang w:eastAsia="en-NZ"/>
              </w:rPr>
              <w:t>QA) Level 4 training. Of the FTE HCAs, 28 have completed Level 4, and two have completed Level 3.</w:t>
            </w:r>
          </w:p>
          <w:p w14:paraId="0B1C01BE" w14:textId="77777777" w:rsidR="00875F9C" w:rsidRPr="00BE00C7" w:rsidRDefault="00875F9C" w:rsidP="00BE00C7">
            <w:pPr>
              <w:pStyle w:val="OutcomeDescription"/>
              <w:spacing w:before="120" w:after="120"/>
              <w:rPr>
                <w:rFonts w:cs="Arial"/>
                <w:lang w:eastAsia="en-NZ"/>
              </w:rPr>
            </w:pPr>
          </w:p>
        </w:tc>
      </w:tr>
      <w:tr w:rsidR="00037A16" w14:paraId="02FB78AE" w14:textId="77777777">
        <w:tc>
          <w:tcPr>
            <w:tcW w:w="0" w:type="auto"/>
          </w:tcPr>
          <w:p w14:paraId="3BA1564D"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77893CD"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7CAF26C" w14:textId="77777777" w:rsidR="00875F9C" w:rsidRPr="00BE00C7" w:rsidRDefault="00875F9C" w:rsidP="00BE00C7">
            <w:pPr>
              <w:pStyle w:val="OutcomeDescription"/>
              <w:spacing w:before="120" w:after="120"/>
              <w:rPr>
                <w:rFonts w:cs="Arial"/>
                <w:lang w:eastAsia="en-NZ"/>
              </w:rPr>
            </w:pPr>
          </w:p>
        </w:tc>
        <w:tc>
          <w:tcPr>
            <w:tcW w:w="0" w:type="auto"/>
          </w:tcPr>
          <w:p w14:paraId="2FC2CFA2"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5FA44EBE"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All health professionals or contracted health professionals have their annual practising certificates (APCs) reviewed annually. Records are maintained by the clinical quality/educator, and these were reviewed. </w:t>
            </w:r>
          </w:p>
          <w:p w14:paraId="3D6DC782" w14:textId="77777777" w:rsidR="00875F9C" w:rsidRPr="00BE00C7" w:rsidRDefault="00875F9C"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378BA310" w14:textId="77777777" w:rsidR="00875F9C" w:rsidRPr="00BE00C7" w:rsidRDefault="00875F9C" w:rsidP="00BE00C7">
            <w:pPr>
              <w:pStyle w:val="OutcomeDescription"/>
              <w:spacing w:before="120" w:after="120"/>
              <w:rPr>
                <w:rFonts w:cs="Arial"/>
                <w:lang w:eastAsia="en-NZ"/>
              </w:rPr>
            </w:pPr>
          </w:p>
        </w:tc>
      </w:tr>
      <w:tr w:rsidR="00037A16" w14:paraId="46084485" w14:textId="77777777">
        <w:tc>
          <w:tcPr>
            <w:tcW w:w="0" w:type="auto"/>
          </w:tcPr>
          <w:p w14:paraId="045152DA"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3.2: My pathway to wellbeing</w:t>
            </w:r>
          </w:p>
          <w:p w14:paraId="3EE42C0C"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27A9154" w14:textId="77777777" w:rsidR="00875F9C" w:rsidRPr="00BE00C7" w:rsidRDefault="00875F9C" w:rsidP="00BE00C7">
            <w:pPr>
              <w:pStyle w:val="OutcomeDescription"/>
              <w:spacing w:before="120" w:after="120"/>
              <w:rPr>
                <w:rFonts w:cs="Arial"/>
                <w:lang w:eastAsia="en-NZ"/>
              </w:rPr>
            </w:pPr>
          </w:p>
        </w:tc>
        <w:tc>
          <w:tcPr>
            <w:tcW w:w="0" w:type="auto"/>
          </w:tcPr>
          <w:p w14:paraId="43263149"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2B3D9B55"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whānau/EPOA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757CCF3D" w14:textId="77777777" w:rsidR="00875F9C" w:rsidRPr="00BE00C7" w:rsidRDefault="00875F9C" w:rsidP="00BE00C7">
            <w:pPr>
              <w:pStyle w:val="OutcomeDescription"/>
              <w:spacing w:before="120" w:after="120"/>
              <w:rPr>
                <w:rFonts w:cs="Arial"/>
                <w:lang w:eastAsia="en-NZ"/>
              </w:rPr>
            </w:pPr>
            <w:r w:rsidRPr="00BE00C7">
              <w:rPr>
                <w:rFonts w:cs="Arial"/>
                <w:lang w:eastAsia="en-NZ"/>
              </w:rPr>
              <w:t>Timeframes for the initial assessment, nurse practitioner (NP) assessment, initial care plan, long-term care plan, and review timeframes meet contractual and policy requirements. Staff support Māori and whānau to identify their own pae ora outcomes in their care plan. Māori cultural protocols were included in the care plans for Māori residents. This was verified by sampling residents’ records, and from interviews of clinical staff and residents.</w:t>
            </w:r>
          </w:p>
          <w:p w14:paraId="50273C50"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Management of specific medical conditions was well documented with evidence of systematic monitoring and regular evaluation of responses to planned care, including the use of a range of outcome measures. Twenty-four-hour behaviour management plans were completed for residents in the memory care unit. Where progress is different to that expected, changes are made to the care plan in collaboration with the resident and/or whānau/EPOAs. Residents and whānau/EPOAs confirmed active </w:t>
            </w:r>
            <w:r w:rsidRPr="00BE00C7">
              <w:rPr>
                <w:rFonts w:cs="Arial"/>
                <w:lang w:eastAsia="en-NZ"/>
              </w:rPr>
              <w:lastRenderedPageBreak/>
              <w:t>involvement in the process.</w:t>
            </w:r>
          </w:p>
          <w:p w14:paraId="0C41AB4C"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Changes in residents’ health were escalated to the NP. Referrals were sent to relevant specialist services as indicated. At interview, the NP confirmed </w:t>
            </w:r>
            <w:r w:rsidRPr="00BE00C7">
              <w:rPr>
                <w:rFonts w:cs="Arial"/>
                <w:lang w:eastAsia="en-NZ"/>
              </w:rPr>
              <w:t>satisfaction with the care provided and the communication received from the clinical team.</w:t>
            </w:r>
          </w:p>
          <w:p w14:paraId="471D31B2" w14:textId="23AC60A2" w:rsidR="00875F9C" w:rsidRPr="00BE00C7" w:rsidRDefault="00875F9C" w:rsidP="00875F9C">
            <w:pPr>
              <w:pStyle w:val="OutcomeDescription"/>
              <w:spacing w:before="120" w:after="120"/>
              <w:rPr>
                <w:rFonts w:cs="Arial"/>
                <w:lang w:eastAsia="en-NZ"/>
              </w:rPr>
            </w:pPr>
          </w:p>
        </w:tc>
      </w:tr>
      <w:tr w:rsidR="00037A16" w14:paraId="2A60E310" w14:textId="77777777">
        <w:tc>
          <w:tcPr>
            <w:tcW w:w="0" w:type="auto"/>
          </w:tcPr>
          <w:p w14:paraId="4639750A"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Subsection 3.4: My medication</w:t>
            </w:r>
          </w:p>
          <w:p w14:paraId="254BC87E"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75744AA" w14:textId="77777777" w:rsidR="00875F9C" w:rsidRPr="00BE00C7" w:rsidRDefault="00875F9C" w:rsidP="00BE00C7">
            <w:pPr>
              <w:pStyle w:val="OutcomeDescription"/>
              <w:spacing w:before="120" w:after="120"/>
              <w:rPr>
                <w:rFonts w:cs="Arial"/>
                <w:lang w:eastAsia="en-NZ"/>
              </w:rPr>
            </w:pPr>
          </w:p>
        </w:tc>
        <w:tc>
          <w:tcPr>
            <w:tcW w:w="0" w:type="auto"/>
          </w:tcPr>
          <w:p w14:paraId="19F2251F"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7986D74C"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administration competencies were available in relevant staff files sampled for review. </w:t>
            </w:r>
          </w:p>
          <w:p w14:paraId="44FE71ED"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7065598D"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medication review was consistently completed and recorded on the medicine chart by the NP. Standing orders are not used. </w:t>
            </w:r>
          </w:p>
          <w:p w14:paraId="7B2968DC" w14:textId="77777777" w:rsidR="00875F9C" w:rsidRPr="00BE00C7" w:rsidRDefault="00875F9C" w:rsidP="00BE00C7">
            <w:pPr>
              <w:pStyle w:val="OutcomeDescription"/>
              <w:spacing w:before="120" w:after="120"/>
              <w:rPr>
                <w:rFonts w:cs="Arial"/>
                <w:lang w:eastAsia="en-NZ"/>
              </w:rPr>
            </w:pPr>
            <w:r w:rsidRPr="00BE00C7">
              <w:rPr>
                <w:rFonts w:cs="Arial"/>
                <w:lang w:eastAsia="en-NZ"/>
              </w:rPr>
              <w:t>There were residents who were self-administering medicine at the time of the audit. Self-administration of medication is facilitated and managed safely, with regular self-medication administration competencies completed.</w:t>
            </w:r>
          </w:p>
          <w:p w14:paraId="7EA8BCD3" w14:textId="77777777" w:rsidR="00875F9C" w:rsidRPr="00BE00C7" w:rsidRDefault="00875F9C" w:rsidP="00BE00C7">
            <w:pPr>
              <w:pStyle w:val="OutcomeDescription"/>
              <w:spacing w:before="120" w:after="120"/>
              <w:rPr>
                <w:rFonts w:cs="Arial"/>
                <w:lang w:eastAsia="en-NZ"/>
              </w:rPr>
            </w:pPr>
          </w:p>
        </w:tc>
      </w:tr>
      <w:tr w:rsidR="00037A16" w14:paraId="6B9C921A" w14:textId="77777777">
        <w:tc>
          <w:tcPr>
            <w:tcW w:w="0" w:type="auto"/>
          </w:tcPr>
          <w:p w14:paraId="61F3B2C1"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3.5: Nutrition to support wellbeing</w:t>
            </w:r>
          </w:p>
          <w:p w14:paraId="5D1D7D10"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4F53BEAE" w14:textId="77777777" w:rsidR="00875F9C" w:rsidRPr="00BE00C7" w:rsidRDefault="00875F9C" w:rsidP="00BE00C7">
            <w:pPr>
              <w:pStyle w:val="OutcomeDescription"/>
              <w:spacing w:before="120" w:after="120"/>
              <w:rPr>
                <w:rFonts w:cs="Arial"/>
                <w:lang w:eastAsia="en-NZ"/>
              </w:rPr>
            </w:pPr>
          </w:p>
        </w:tc>
        <w:tc>
          <w:tcPr>
            <w:tcW w:w="0" w:type="auto"/>
          </w:tcPr>
          <w:p w14:paraId="5AC6FA51"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7DDEDA" w14:textId="77777777" w:rsidR="00875F9C" w:rsidRPr="00BE00C7" w:rsidRDefault="00875F9C"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and satisfaction surveys. Snacks and drinks are provided on a 24-hour basis for all residents.</w:t>
            </w:r>
          </w:p>
          <w:p w14:paraId="5DDB1A79"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w:t>
            </w:r>
            <w:r w:rsidRPr="00BE00C7">
              <w:rPr>
                <w:rFonts w:cs="Arial"/>
                <w:lang w:eastAsia="en-NZ"/>
              </w:rPr>
              <w:lastRenderedPageBreak/>
              <w:t>that is valid until 27 February 2027.</w:t>
            </w:r>
          </w:p>
          <w:p w14:paraId="39938686" w14:textId="77777777" w:rsidR="00875F9C" w:rsidRPr="00BE00C7" w:rsidRDefault="00875F9C" w:rsidP="00BE00C7">
            <w:pPr>
              <w:pStyle w:val="OutcomeDescription"/>
              <w:spacing w:before="120" w:after="120"/>
              <w:rPr>
                <w:rFonts w:cs="Arial"/>
                <w:lang w:eastAsia="en-NZ"/>
              </w:rPr>
            </w:pPr>
          </w:p>
        </w:tc>
      </w:tr>
      <w:tr w:rsidR="00037A16" w14:paraId="2266957C" w14:textId="77777777">
        <w:tc>
          <w:tcPr>
            <w:tcW w:w="0" w:type="auto"/>
          </w:tcPr>
          <w:p w14:paraId="709DDDF6"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3592392"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DB685F6" w14:textId="77777777" w:rsidR="00875F9C" w:rsidRPr="00BE00C7" w:rsidRDefault="00875F9C" w:rsidP="00BE00C7">
            <w:pPr>
              <w:pStyle w:val="OutcomeDescription"/>
              <w:spacing w:before="120" w:after="120"/>
              <w:rPr>
                <w:rFonts w:cs="Arial"/>
                <w:lang w:eastAsia="en-NZ"/>
              </w:rPr>
            </w:pPr>
          </w:p>
        </w:tc>
        <w:tc>
          <w:tcPr>
            <w:tcW w:w="0" w:type="auto"/>
          </w:tcPr>
          <w:p w14:paraId="1E3DF3D4"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49BFCE1A" w14:textId="77777777" w:rsidR="00875F9C" w:rsidRPr="00BE00C7" w:rsidRDefault="00875F9C"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Transfers and discharges were documented in the progress notes. Whānau reported being kept well informed during the transfer of their relative.</w:t>
            </w:r>
          </w:p>
          <w:p w14:paraId="5E529D3A" w14:textId="77777777" w:rsidR="00875F9C" w:rsidRPr="00BE00C7" w:rsidRDefault="00875F9C" w:rsidP="00BE00C7">
            <w:pPr>
              <w:pStyle w:val="OutcomeDescription"/>
              <w:spacing w:before="120" w:after="120"/>
              <w:rPr>
                <w:rFonts w:cs="Arial"/>
                <w:lang w:eastAsia="en-NZ"/>
              </w:rPr>
            </w:pPr>
          </w:p>
        </w:tc>
      </w:tr>
      <w:tr w:rsidR="00037A16" w14:paraId="7DD48B4C" w14:textId="77777777">
        <w:tc>
          <w:tcPr>
            <w:tcW w:w="0" w:type="auto"/>
          </w:tcPr>
          <w:p w14:paraId="54818099"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4.1: The facility</w:t>
            </w:r>
          </w:p>
          <w:p w14:paraId="072F6386"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people: I feel </w:t>
            </w:r>
            <w:r w:rsidRPr="00BE00C7">
              <w:rPr>
                <w:rFonts w:cs="Arial"/>
                <w:lang w:eastAsia="en-NZ"/>
              </w:rPr>
              <w:t>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w:t>
            </w:r>
            <w:r w:rsidRPr="00BE00C7">
              <w:rPr>
                <w:rFonts w:cs="Arial"/>
                <w:lang w:eastAsia="en-NZ"/>
              </w:rPr>
              <w:t>nse of belonging, independence, interaction, and function.</w:t>
            </w:r>
          </w:p>
          <w:p w14:paraId="4009BB69" w14:textId="77777777" w:rsidR="00875F9C" w:rsidRPr="00BE00C7" w:rsidRDefault="00875F9C" w:rsidP="00BE00C7">
            <w:pPr>
              <w:pStyle w:val="OutcomeDescription"/>
              <w:spacing w:before="120" w:after="120"/>
              <w:rPr>
                <w:rFonts w:cs="Arial"/>
                <w:lang w:eastAsia="en-NZ"/>
              </w:rPr>
            </w:pPr>
          </w:p>
        </w:tc>
        <w:tc>
          <w:tcPr>
            <w:tcW w:w="0" w:type="auto"/>
          </w:tcPr>
          <w:p w14:paraId="506779AB"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2CB37CC0" w14:textId="77777777" w:rsidR="00875F9C" w:rsidRPr="00BE00C7" w:rsidRDefault="00875F9C"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This includes a current code of compliance, which was last amended on 8 July 2025.  Electrical testing and tagging were completed in June and December 2025. Ceiling hoists are checked quarterly with the environmental checks. Records were maintained. The biomedical checks and calibration of equipment are performed annually by a contracted service provider and were last completed on 11 Nove</w:t>
            </w:r>
            <w:r w:rsidRPr="00BE00C7">
              <w:rPr>
                <w:rFonts w:cs="Arial"/>
                <w:lang w:eastAsia="en-NZ"/>
              </w:rPr>
              <w:t xml:space="preserve">mber 2025. An inventory is maintained annually. </w:t>
            </w:r>
          </w:p>
          <w:p w14:paraId="7CC58D3D"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Ground floor care suites (occupation right agreement (ORA) suites) were reviewed for the suitability of couples occupying them, if they wished to share a suite when admitted. All rooms were spacious and were able to accommodate two persons appropriately and safely.  Call bells are accessible for both residents sharing a double bed, and/or are placed for two single beds if this is the preferred option for a couple. Screening is available to ensure privacy is not compromised. Similarly, two other care suites </w:t>
            </w:r>
            <w:r w:rsidRPr="00BE00C7">
              <w:rPr>
                <w:rFonts w:cs="Arial"/>
                <w:lang w:eastAsia="en-NZ"/>
              </w:rPr>
              <w:t xml:space="preserve">were assessed as appropriate for dual purpose use. </w:t>
            </w:r>
          </w:p>
          <w:p w14:paraId="41C865E8"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w:t>
            </w:r>
            <w:r w:rsidRPr="00BE00C7">
              <w:rPr>
                <w:rFonts w:cs="Arial"/>
                <w:lang w:eastAsia="en-NZ"/>
              </w:rPr>
              <w:lastRenderedPageBreak/>
              <w:t>and ventilation, natural light, privacy, and maintenance.</w:t>
            </w:r>
          </w:p>
          <w:p w14:paraId="3FFA3BCA" w14:textId="77777777" w:rsidR="00875F9C" w:rsidRPr="00BE00C7" w:rsidRDefault="00875F9C" w:rsidP="00BE00C7">
            <w:pPr>
              <w:pStyle w:val="OutcomeDescription"/>
              <w:spacing w:before="120" w:after="120"/>
              <w:rPr>
                <w:rFonts w:cs="Arial"/>
                <w:lang w:eastAsia="en-NZ"/>
              </w:rPr>
            </w:pPr>
          </w:p>
        </w:tc>
      </w:tr>
      <w:tr w:rsidR="00037A16" w14:paraId="13B8BB0D" w14:textId="77777777">
        <w:tc>
          <w:tcPr>
            <w:tcW w:w="0" w:type="auto"/>
          </w:tcPr>
          <w:p w14:paraId="5DF0D76C"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B852AF7"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ECE32AD" w14:textId="77777777" w:rsidR="00875F9C" w:rsidRPr="00BE00C7" w:rsidRDefault="00875F9C" w:rsidP="00BE00C7">
            <w:pPr>
              <w:pStyle w:val="OutcomeDescription"/>
              <w:spacing w:before="120" w:after="120"/>
              <w:rPr>
                <w:rFonts w:cs="Arial"/>
                <w:lang w:eastAsia="en-NZ"/>
              </w:rPr>
            </w:pPr>
          </w:p>
        </w:tc>
        <w:tc>
          <w:tcPr>
            <w:tcW w:w="0" w:type="auto"/>
          </w:tcPr>
          <w:p w14:paraId="077AF4E3"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13115A5F"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The nominated infection prevention and control coordinator (IPCC) is responsible for overseeing and implementing the IP programme, which has been developed by those with IP expertise and approved by the governance body. The programme is linked to the quality improvement programme and is reviewed and reported on annually. It was reviewed on 3 February 2026. This was confirmed by the clinical manager and review of the programme documentation. </w:t>
            </w:r>
          </w:p>
          <w:p w14:paraId="1BC4A0F1" w14:textId="77777777" w:rsidR="00875F9C" w:rsidRPr="00BE00C7" w:rsidRDefault="00875F9C"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whānau/EPOAs are educated about infection prevention in a manner that meets their needs.</w:t>
            </w:r>
          </w:p>
          <w:p w14:paraId="615EFA64" w14:textId="77777777" w:rsidR="00875F9C" w:rsidRPr="00BE00C7" w:rsidRDefault="00875F9C" w:rsidP="00BE00C7">
            <w:pPr>
              <w:pStyle w:val="OutcomeDescription"/>
              <w:spacing w:before="120" w:after="120"/>
              <w:rPr>
                <w:rFonts w:cs="Arial"/>
                <w:lang w:eastAsia="en-NZ"/>
              </w:rPr>
            </w:pPr>
          </w:p>
        </w:tc>
      </w:tr>
      <w:tr w:rsidR="00037A16" w14:paraId="0E5A72FE" w14:textId="77777777">
        <w:tc>
          <w:tcPr>
            <w:tcW w:w="0" w:type="auto"/>
          </w:tcPr>
          <w:p w14:paraId="30ECAAB4"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25D9216"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ABA0F89" w14:textId="77777777" w:rsidR="00875F9C" w:rsidRPr="00BE00C7" w:rsidRDefault="00875F9C" w:rsidP="00BE00C7">
            <w:pPr>
              <w:pStyle w:val="OutcomeDescription"/>
              <w:spacing w:before="120" w:after="120"/>
              <w:rPr>
                <w:rFonts w:cs="Arial"/>
                <w:lang w:eastAsia="en-NZ"/>
              </w:rPr>
            </w:pPr>
          </w:p>
        </w:tc>
        <w:tc>
          <w:tcPr>
            <w:tcW w:w="0" w:type="auto"/>
          </w:tcPr>
          <w:p w14:paraId="2EF2E7CB" w14:textId="77777777" w:rsidR="00875F9C" w:rsidRPr="00BE00C7" w:rsidRDefault="00875F9C" w:rsidP="00BE00C7">
            <w:pPr>
              <w:pStyle w:val="OutcomeDescription"/>
              <w:spacing w:before="120" w:after="120"/>
              <w:rPr>
                <w:rFonts w:cs="Arial"/>
                <w:lang w:eastAsia="en-NZ"/>
              </w:rPr>
            </w:pPr>
            <w:r w:rsidRPr="00BE00C7">
              <w:rPr>
                <w:rFonts w:cs="Arial"/>
                <w:lang w:eastAsia="en-NZ"/>
              </w:rPr>
              <w:t>FA</w:t>
            </w:r>
          </w:p>
        </w:tc>
        <w:tc>
          <w:tcPr>
            <w:tcW w:w="0" w:type="auto"/>
          </w:tcPr>
          <w:p w14:paraId="37B32C3D"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Surveillance of health </w:t>
            </w:r>
            <w:r w:rsidRPr="00BE00C7">
              <w:rPr>
                <w:rFonts w:cs="Arial"/>
                <w:lang w:eastAsia="en-NZ"/>
              </w:rPr>
              <w:t>care-associated infections (HAIs) is appropriate to that recommended for the type of services offered and is in line with risks and priorities defined in the infection control programme and national and regional surveillance programmes and guidelines, when required. Surveillance methods, tools, documentation, analysis, and assignment of responsibilities are described and documented using standardised surveillance definitions. Monthly surveillance data is collated and analysed to identify any trends, possibl</w:t>
            </w:r>
            <w:r w:rsidRPr="00BE00C7">
              <w:rPr>
                <w:rFonts w:cs="Arial"/>
                <w:lang w:eastAsia="en-NZ"/>
              </w:rPr>
              <w:t>e causative factors, and required actions. Surveillance includes ethnicity data.  Results of the surveillance programme are shared with staff at monthly meetings and reported to the governing body in monthly quality reports. Infection outbreaks reported since the previous audit were managed effectively, with appropriate notification completed. Learnings from the events have now been incorporated into practice.</w:t>
            </w:r>
          </w:p>
          <w:p w14:paraId="6FB503AA" w14:textId="77777777" w:rsidR="00875F9C" w:rsidRPr="00BE00C7" w:rsidRDefault="00875F9C" w:rsidP="00BE00C7">
            <w:pPr>
              <w:pStyle w:val="OutcomeDescription"/>
              <w:spacing w:before="120" w:after="120"/>
              <w:rPr>
                <w:rFonts w:cs="Arial"/>
                <w:lang w:eastAsia="en-NZ"/>
              </w:rPr>
            </w:pPr>
          </w:p>
        </w:tc>
      </w:tr>
      <w:tr w:rsidR="00037A16" w14:paraId="48BE1D00" w14:textId="77777777">
        <w:tc>
          <w:tcPr>
            <w:tcW w:w="0" w:type="auto"/>
          </w:tcPr>
          <w:p w14:paraId="3EFA32D8" w14:textId="77777777" w:rsidR="00875F9C" w:rsidRPr="00BE00C7" w:rsidRDefault="00875F9C" w:rsidP="00BE00C7">
            <w:pPr>
              <w:pStyle w:val="OutcomeDescription"/>
              <w:spacing w:before="120" w:after="120"/>
              <w:rPr>
                <w:rFonts w:cs="Arial"/>
                <w:lang w:eastAsia="en-NZ"/>
              </w:rPr>
            </w:pPr>
            <w:r w:rsidRPr="00BE00C7">
              <w:rPr>
                <w:rFonts w:cs="Arial"/>
                <w:lang w:eastAsia="en-NZ"/>
              </w:rPr>
              <w:t>Subsection 6.1: A process of restraint</w:t>
            </w:r>
          </w:p>
          <w:p w14:paraId="1F7D67A1" w14:textId="77777777" w:rsidR="00875F9C" w:rsidRPr="00BE00C7" w:rsidRDefault="00875F9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FD5931" w14:textId="77777777" w:rsidR="00875F9C" w:rsidRPr="00BE00C7" w:rsidRDefault="00875F9C" w:rsidP="00BE00C7">
            <w:pPr>
              <w:pStyle w:val="OutcomeDescription"/>
              <w:spacing w:before="120" w:after="120"/>
              <w:rPr>
                <w:rFonts w:cs="Arial"/>
                <w:lang w:eastAsia="en-NZ"/>
              </w:rPr>
            </w:pPr>
          </w:p>
        </w:tc>
        <w:tc>
          <w:tcPr>
            <w:tcW w:w="0" w:type="auto"/>
          </w:tcPr>
          <w:p w14:paraId="1A536E24" w14:textId="77777777" w:rsidR="00875F9C" w:rsidRPr="00BE00C7" w:rsidRDefault="00875F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B51D8B"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w:t>
            </w:r>
          </w:p>
          <w:p w14:paraId="783B1564" w14:textId="77777777" w:rsidR="00875F9C" w:rsidRPr="00BE00C7" w:rsidRDefault="00875F9C" w:rsidP="00BE00C7">
            <w:pPr>
              <w:pStyle w:val="OutcomeDescription"/>
              <w:spacing w:before="120" w:after="120"/>
              <w:rPr>
                <w:rFonts w:cs="Arial"/>
                <w:lang w:eastAsia="en-NZ"/>
              </w:rPr>
            </w:pPr>
            <w:r w:rsidRPr="00BE00C7">
              <w:rPr>
                <w:rFonts w:cs="Arial"/>
                <w:lang w:eastAsia="en-NZ"/>
              </w:rPr>
              <w:t xml:space="preserve">At the time of the audit, there was one resident using a lap belt in the </w:t>
            </w:r>
            <w:r w:rsidRPr="00BE00C7">
              <w:rPr>
                <w:rFonts w:cs="Arial"/>
                <w:lang w:eastAsia="en-NZ"/>
              </w:rPr>
              <w:lastRenderedPageBreak/>
              <w:t>daytime and full bed rails overnight.  Staff reported, and documentation evidenced, that staff have been trained in the least restrictive practice, safe restraint practice, alternative cultural-specific interventions, and de-escalation techniques.</w:t>
            </w:r>
          </w:p>
          <w:p w14:paraId="0DB08A81" w14:textId="77777777" w:rsidR="00875F9C" w:rsidRPr="00BE00C7" w:rsidRDefault="00875F9C" w:rsidP="00BE00C7">
            <w:pPr>
              <w:pStyle w:val="OutcomeDescription"/>
              <w:spacing w:before="120" w:after="120"/>
              <w:rPr>
                <w:rFonts w:cs="Arial"/>
                <w:lang w:eastAsia="en-NZ"/>
              </w:rPr>
            </w:pPr>
          </w:p>
        </w:tc>
      </w:tr>
    </w:tbl>
    <w:p w14:paraId="406B744C" w14:textId="77777777" w:rsidR="00875F9C" w:rsidRPr="00BE00C7" w:rsidRDefault="00875F9C" w:rsidP="00BE00C7">
      <w:pPr>
        <w:pStyle w:val="OutcomeDescription"/>
        <w:spacing w:before="120" w:after="120"/>
        <w:rPr>
          <w:rFonts w:cs="Arial"/>
          <w:lang w:eastAsia="en-NZ"/>
        </w:rPr>
      </w:pPr>
      <w:bookmarkStart w:id="56" w:name="AuditSummaryAttainment"/>
      <w:bookmarkEnd w:id="56"/>
    </w:p>
    <w:p w14:paraId="755965A4" w14:textId="77777777" w:rsidR="00875F9C" w:rsidRDefault="00875F9C">
      <w:pPr>
        <w:pStyle w:val="Heading1"/>
        <w:rPr>
          <w:rFonts w:cs="Arial"/>
        </w:rPr>
      </w:pPr>
      <w:r>
        <w:rPr>
          <w:rFonts w:cs="Arial"/>
        </w:rPr>
        <w:lastRenderedPageBreak/>
        <w:t>Specific results for criterion where corrective actions are required</w:t>
      </w:r>
    </w:p>
    <w:p w14:paraId="019D4336" w14:textId="77777777" w:rsidR="00875F9C" w:rsidRDefault="00875F9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9282133" w14:textId="77777777" w:rsidR="00875F9C" w:rsidRDefault="00875F9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38E45F1" w14:textId="77777777" w:rsidR="00875F9C" w:rsidRDefault="00875F9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37A16" w14:paraId="72861FD2" w14:textId="77777777">
        <w:tc>
          <w:tcPr>
            <w:tcW w:w="0" w:type="auto"/>
          </w:tcPr>
          <w:p w14:paraId="641E1E87" w14:textId="77777777" w:rsidR="00875F9C" w:rsidRPr="00BE00C7" w:rsidRDefault="00875F9C" w:rsidP="00BE00C7">
            <w:pPr>
              <w:pStyle w:val="OutcomeDescription"/>
              <w:spacing w:before="120" w:after="120"/>
              <w:rPr>
                <w:rFonts w:cs="Arial"/>
                <w:lang w:eastAsia="en-NZ"/>
              </w:rPr>
            </w:pPr>
            <w:r w:rsidRPr="00BE00C7">
              <w:rPr>
                <w:rFonts w:cs="Arial"/>
                <w:lang w:eastAsia="en-NZ"/>
              </w:rPr>
              <w:t>No data to display</w:t>
            </w:r>
          </w:p>
        </w:tc>
      </w:tr>
    </w:tbl>
    <w:p w14:paraId="1E7FA205" w14:textId="77777777" w:rsidR="00875F9C" w:rsidRPr="00BE00C7" w:rsidRDefault="00875F9C" w:rsidP="00BE00C7">
      <w:pPr>
        <w:pStyle w:val="OutcomeDescription"/>
        <w:spacing w:before="120" w:after="120"/>
        <w:rPr>
          <w:rFonts w:cs="Arial"/>
          <w:lang w:eastAsia="en-NZ"/>
        </w:rPr>
      </w:pPr>
      <w:bookmarkStart w:id="57" w:name="AuditSummaryCAMCriterion"/>
      <w:bookmarkEnd w:id="57"/>
    </w:p>
    <w:p w14:paraId="21774E7E" w14:textId="77777777" w:rsidR="00875F9C" w:rsidRDefault="00875F9C">
      <w:pPr>
        <w:pStyle w:val="Heading1"/>
        <w:rPr>
          <w:rFonts w:cs="Arial"/>
        </w:rPr>
      </w:pPr>
      <w:r>
        <w:rPr>
          <w:rFonts w:cs="Arial"/>
        </w:rPr>
        <w:lastRenderedPageBreak/>
        <w:t>Specific results for criterion where a continuous improvement has been recorded</w:t>
      </w:r>
    </w:p>
    <w:p w14:paraId="790B05D8" w14:textId="77777777" w:rsidR="00875F9C" w:rsidRDefault="00875F9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6EC3A03" w14:textId="77777777" w:rsidR="00875F9C" w:rsidRDefault="00875F9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F7A5963" w14:textId="77777777" w:rsidR="00875F9C" w:rsidRDefault="00875F9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37A16" w14:paraId="7E362FD4" w14:textId="77777777">
        <w:tc>
          <w:tcPr>
            <w:tcW w:w="0" w:type="auto"/>
          </w:tcPr>
          <w:p w14:paraId="33C3EBB4" w14:textId="77777777" w:rsidR="00875F9C" w:rsidRPr="00BE00C7" w:rsidRDefault="00875F9C" w:rsidP="00BE00C7">
            <w:pPr>
              <w:pStyle w:val="OutcomeDescription"/>
              <w:spacing w:before="120" w:after="120"/>
              <w:rPr>
                <w:rFonts w:cs="Arial"/>
                <w:lang w:eastAsia="en-NZ"/>
              </w:rPr>
            </w:pPr>
            <w:r w:rsidRPr="00BE00C7">
              <w:rPr>
                <w:rFonts w:cs="Arial"/>
                <w:lang w:eastAsia="en-NZ"/>
              </w:rPr>
              <w:t>No data to display</w:t>
            </w:r>
          </w:p>
        </w:tc>
      </w:tr>
    </w:tbl>
    <w:p w14:paraId="7FD5D73E" w14:textId="77777777" w:rsidR="00875F9C" w:rsidRPr="00BE00C7" w:rsidRDefault="00875F9C" w:rsidP="00BE00C7">
      <w:pPr>
        <w:pStyle w:val="OutcomeDescription"/>
        <w:spacing w:before="120" w:after="120"/>
        <w:rPr>
          <w:rFonts w:cs="Arial"/>
          <w:lang w:eastAsia="en-NZ"/>
        </w:rPr>
      </w:pPr>
      <w:bookmarkStart w:id="58" w:name="AuditSummaryCAMImprovment"/>
      <w:bookmarkEnd w:id="58"/>
    </w:p>
    <w:p w14:paraId="49AF4FD9" w14:textId="77777777" w:rsidR="00875F9C" w:rsidRDefault="00875F9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971B" w14:textId="77777777" w:rsidR="00875F9C" w:rsidRDefault="00875F9C">
      <w:r>
        <w:separator/>
      </w:r>
    </w:p>
  </w:endnote>
  <w:endnote w:type="continuationSeparator" w:id="0">
    <w:p w14:paraId="2E9315BA" w14:textId="77777777" w:rsidR="00875F9C" w:rsidRDefault="0087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CBF1" w14:textId="77777777" w:rsidR="00875F9C" w:rsidRDefault="00875F9C">
    <w:pPr>
      <w:pStyle w:val="Footer"/>
    </w:pPr>
  </w:p>
  <w:p w14:paraId="501DCBBE" w14:textId="77777777" w:rsidR="00875F9C" w:rsidRDefault="00875F9C"/>
  <w:p w14:paraId="221E2725" w14:textId="77777777" w:rsidR="00875F9C" w:rsidRDefault="00875F9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3557" w14:textId="77777777" w:rsidR="00875F9C" w:rsidRPr="000B00BC" w:rsidRDefault="00875F9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Pacific Coast Village Partnership - Pacific Coast Village Care Centre Te Manaaki</w:t>
    </w:r>
    <w:bookmarkEnd w:id="59"/>
    <w:r>
      <w:rPr>
        <w:rFonts w:cs="Arial"/>
        <w:sz w:val="16"/>
        <w:szCs w:val="20"/>
      </w:rPr>
      <w:tab/>
      <w:t xml:space="preserve">Date of Audit: </w:t>
    </w:r>
    <w:bookmarkStart w:id="60" w:name="AuditStartDate1"/>
    <w:r>
      <w:rPr>
        <w:rFonts w:cs="Arial"/>
        <w:sz w:val="16"/>
        <w:szCs w:val="20"/>
      </w:rPr>
      <w:t>15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C883694" w14:textId="77777777" w:rsidR="00875F9C" w:rsidRDefault="00875F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8512" w14:textId="77777777" w:rsidR="00875F9C" w:rsidRDefault="00875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D5B5" w14:textId="77777777" w:rsidR="00875F9C" w:rsidRDefault="00875F9C">
      <w:r>
        <w:separator/>
      </w:r>
    </w:p>
  </w:footnote>
  <w:footnote w:type="continuationSeparator" w:id="0">
    <w:p w14:paraId="528ADA14" w14:textId="77777777" w:rsidR="00875F9C" w:rsidRDefault="0087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98F6" w14:textId="77777777" w:rsidR="00875F9C" w:rsidRDefault="00875F9C">
    <w:pPr>
      <w:pStyle w:val="Header"/>
    </w:pPr>
  </w:p>
  <w:p w14:paraId="10E2FA86" w14:textId="77777777" w:rsidR="00875F9C" w:rsidRDefault="00875F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F3FB" w14:textId="77777777" w:rsidR="00875F9C" w:rsidRDefault="00875F9C">
    <w:pPr>
      <w:pStyle w:val="Header"/>
    </w:pPr>
  </w:p>
  <w:p w14:paraId="0C2F9E42" w14:textId="77777777" w:rsidR="00875F9C" w:rsidRDefault="00875F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6DED" w14:textId="77777777" w:rsidR="00875F9C" w:rsidRDefault="00875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9F60BAA">
      <w:start w:val="1"/>
      <w:numFmt w:val="decimal"/>
      <w:lvlText w:val="%1."/>
      <w:lvlJc w:val="left"/>
      <w:pPr>
        <w:ind w:left="360" w:hanging="360"/>
      </w:pPr>
    </w:lvl>
    <w:lvl w:ilvl="1" w:tplc="FA9CCF4C" w:tentative="1">
      <w:start w:val="1"/>
      <w:numFmt w:val="lowerLetter"/>
      <w:lvlText w:val="%2."/>
      <w:lvlJc w:val="left"/>
      <w:pPr>
        <w:ind w:left="1080" w:hanging="360"/>
      </w:pPr>
    </w:lvl>
    <w:lvl w:ilvl="2" w:tplc="1DB85FB8" w:tentative="1">
      <w:start w:val="1"/>
      <w:numFmt w:val="lowerRoman"/>
      <w:lvlText w:val="%3."/>
      <w:lvlJc w:val="right"/>
      <w:pPr>
        <w:ind w:left="1800" w:hanging="180"/>
      </w:pPr>
    </w:lvl>
    <w:lvl w:ilvl="3" w:tplc="9566F8D0" w:tentative="1">
      <w:start w:val="1"/>
      <w:numFmt w:val="decimal"/>
      <w:lvlText w:val="%4."/>
      <w:lvlJc w:val="left"/>
      <w:pPr>
        <w:ind w:left="2520" w:hanging="360"/>
      </w:pPr>
    </w:lvl>
    <w:lvl w:ilvl="4" w:tplc="CB04E018" w:tentative="1">
      <w:start w:val="1"/>
      <w:numFmt w:val="lowerLetter"/>
      <w:lvlText w:val="%5."/>
      <w:lvlJc w:val="left"/>
      <w:pPr>
        <w:ind w:left="3240" w:hanging="360"/>
      </w:pPr>
    </w:lvl>
    <w:lvl w:ilvl="5" w:tplc="7ABC0FD8" w:tentative="1">
      <w:start w:val="1"/>
      <w:numFmt w:val="lowerRoman"/>
      <w:lvlText w:val="%6."/>
      <w:lvlJc w:val="right"/>
      <w:pPr>
        <w:ind w:left="3960" w:hanging="180"/>
      </w:pPr>
    </w:lvl>
    <w:lvl w:ilvl="6" w:tplc="15C0C4A2" w:tentative="1">
      <w:start w:val="1"/>
      <w:numFmt w:val="decimal"/>
      <w:lvlText w:val="%7."/>
      <w:lvlJc w:val="left"/>
      <w:pPr>
        <w:ind w:left="4680" w:hanging="360"/>
      </w:pPr>
    </w:lvl>
    <w:lvl w:ilvl="7" w:tplc="306873B2" w:tentative="1">
      <w:start w:val="1"/>
      <w:numFmt w:val="lowerLetter"/>
      <w:lvlText w:val="%8."/>
      <w:lvlJc w:val="left"/>
      <w:pPr>
        <w:ind w:left="5400" w:hanging="360"/>
      </w:pPr>
    </w:lvl>
    <w:lvl w:ilvl="8" w:tplc="EA90243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3C0EF28">
      <w:start w:val="1"/>
      <w:numFmt w:val="bullet"/>
      <w:lvlText w:val=""/>
      <w:lvlJc w:val="left"/>
      <w:pPr>
        <w:ind w:left="720" w:hanging="360"/>
      </w:pPr>
      <w:rPr>
        <w:rFonts w:ascii="Symbol" w:hAnsi="Symbol" w:hint="default"/>
      </w:rPr>
    </w:lvl>
    <w:lvl w:ilvl="1" w:tplc="9B3605F4" w:tentative="1">
      <w:start w:val="1"/>
      <w:numFmt w:val="bullet"/>
      <w:lvlText w:val="o"/>
      <w:lvlJc w:val="left"/>
      <w:pPr>
        <w:ind w:left="1440" w:hanging="360"/>
      </w:pPr>
      <w:rPr>
        <w:rFonts w:ascii="Courier New" w:hAnsi="Courier New" w:cs="Courier New" w:hint="default"/>
      </w:rPr>
    </w:lvl>
    <w:lvl w:ilvl="2" w:tplc="A6A49402" w:tentative="1">
      <w:start w:val="1"/>
      <w:numFmt w:val="bullet"/>
      <w:lvlText w:val=""/>
      <w:lvlJc w:val="left"/>
      <w:pPr>
        <w:ind w:left="2160" w:hanging="360"/>
      </w:pPr>
      <w:rPr>
        <w:rFonts w:ascii="Wingdings" w:hAnsi="Wingdings" w:hint="default"/>
      </w:rPr>
    </w:lvl>
    <w:lvl w:ilvl="3" w:tplc="B770C122" w:tentative="1">
      <w:start w:val="1"/>
      <w:numFmt w:val="bullet"/>
      <w:lvlText w:val=""/>
      <w:lvlJc w:val="left"/>
      <w:pPr>
        <w:ind w:left="2880" w:hanging="360"/>
      </w:pPr>
      <w:rPr>
        <w:rFonts w:ascii="Symbol" w:hAnsi="Symbol" w:hint="default"/>
      </w:rPr>
    </w:lvl>
    <w:lvl w:ilvl="4" w:tplc="B90A470A" w:tentative="1">
      <w:start w:val="1"/>
      <w:numFmt w:val="bullet"/>
      <w:lvlText w:val="o"/>
      <w:lvlJc w:val="left"/>
      <w:pPr>
        <w:ind w:left="3600" w:hanging="360"/>
      </w:pPr>
      <w:rPr>
        <w:rFonts w:ascii="Courier New" w:hAnsi="Courier New" w:cs="Courier New" w:hint="default"/>
      </w:rPr>
    </w:lvl>
    <w:lvl w:ilvl="5" w:tplc="C7D6F304" w:tentative="1">
      <w:start w:val="1"/>
      <w:numFmt w:val="bullet"/>
      <w:lvlText w:val=""/>
      <w:lvlJc w:val="left"/>
      <w:pPr>
        <w:ind w:left="4320" w:hanging="360"/>
      </w:pPr>
      <w:rPr>
        <w:rFonts w:ascii="Wingdings" w:hAnsi="Wingdings" w:hint="default"/>
      </w:rPr>
    </w:lvl>
    <w:lvl w:ilvl="6" w:tplc="700043F4" w:tentative="1">
      <w:start w:val="1"/>
      <w:numFmt w:val="bullet"/>
      <w:lvlText w:val=""/>
      <w:lvlJc w:val="left"/>
      <w:pPr>
        <w:ind w:left="5040" w:hanging="360"/>
      </w:pPr>
      <w:rPr>
        <w:rFonts w:ascii="Symbol" w:hAnsi="Symbol" w:hint="default"/>
      </w:rPr>
    </w:lvl>
    <w:lvl w:ilvl="7" w:tplc="372C0ED2" w:tentative="1">
      <w:start w:val="1"/>
      <w:numFmt w:val="bullet"/>
      <w:lvlText w:val="o"/>
      <w:lvlJc w:val="left"/>
      <w:pPr>
        <w:ind w:left="5760" w:hanging="360"/>
      </w:pPr>
      <w:rPr>
        <w:rFonts w:ascii="Courier New" w:hAnsi="Courier New" w:cs="Courier New" w:hint="default"/>
      </w:rPr>
    </w:lvl>
    <w:lvl w:ilvl="8" w:tplc="0218D4CE" w:tentative="1">
      <w:start w:val="1"/>
      <w:numFmt w:val="bullet"/>
      <w:lvlText w:val=""/>
      <w:lvlJc w:val="left"/>
      <w:pPr>
        <w:ind w:left="6480" w:hanging="360"/>
      </w:pPr>
      <w:rPr>
        <w:rFonts w:ascii="Wingdings" w:hAnsi="Wingdings" w:hint="default"/>
      </w:rPr>
    </w:lvl>
  </w:abstractNum>
  <w:num w:numId="1" w16cid:durableId="1227489637">
    <w:abstractNumId w:val="1"/>
  </w:num>
  <w:num w:numId="2" w16cid:durableId="105578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16"/>
    <w:rsid w:val="00037A16"/>
    <w:rsid w:val="000B3BCE"/>
    <w:rsid w:val="00875F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1B31"/>
  <w15:docId w15:val="{C93B75CB-342E-48C3-BDB3-F03C4AE3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6465</Words>
  <Characters>36853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2026-06-23T21:26:00Z</dcterms:created>
  <dcterms:modified xsi:type="dcterms:W3CDTF">2026-06-23T21:26:00Z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