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FC572" w14:textId="77777777" w:rsidR="00E82C82" w:rsidRDefault="00E82C82">
      <w:pPr>
        <w:pStyle w:val="Heading1"/>
        <w:rPr>
          <w:rFonts w:cs="Arial"/>
        </w:rPr>
      </w:pPr>
      <w:bookmarkStart w:id="0" w:name="PRMS_RIName"/>
      <w:r>
        <w:rPr>
          <w:rFonts w:cs="Arial"/>
        </w:rPr>
        <w:t>Heritage Lifecare Limited - Coldstream Rest Home &amp; Hospital</w:t>
      </w:r>
      <w:bookmarkEnd w:id="0"/>
    </w:p>
    <w:p w14:paraId="57D6A4F8" w14:textId="77777777" w:rsidR="00E82C82" w:rsidRDefault="00E82C82">
      <w:pPr>
        <w:pStyle w:val="Heading2"/>
        <w:spacing w:after="0"/>
        <w:rPr>
          <w:rFonts w:cs="Arial"/>
        </w:rPr>
      </w:pPr>
      <w:r>
        <w:rPr>
          <w:rFonts w:cs="Arial"/>
        </w:rPr>
        <w:t>Introduction</w:t>
      </w:r>
    </w:p>
    <w:p w14:paraId="60838FEA" w14:textId="77777777" w:rsidR="00E82C82" w:rsidRDefault="00E82C82">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3234EB56" w14:textId="77777777" w:rsidR="00E82C82" w:rsidRDefault="00E82C82">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3335083A" w14:textId="77777777" w:rsidR="00E82C82" w:rsidRDefault="00E82C82">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4896593" w14:textId="77777777" w:rsidR="00E82C82" w:rsidRDefault="00E82C82"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760A7D55" w14:textId="77777777" w:rsidR="00E82C82" w:rsidRDefault="00E82C82">
      <w:pPr>
        <w:spacing w:before="240" w:after="240"/>
        <w:rPr>
          <w:rFonts w:cs="Arial"/>
          <w:lang w:eastAsia="en-NZ"/>
        </w:rPr>
      </w:pPr>
      <w:r>
        <w:rPr>
          <w:rFonts w:cs="Arial"/>
          <w:lang w:eastAsia="en-NZ"/>
        </w:rPr>
        <w:t>The specifics of this audit included:</w:t>
      </w:r>
    </w:p>
    <w:p w14:paraId="0B772A48" w14:textId="77777777" w:rsidR="00E82C82" w:rsidRPr="009D18F5" w:rsidRDefault="00E82C82" w:rsidP="009D18F5">
      <w:pPr>
        <w:pBdr>
          <w:top w:val="single" w:sz="4" w:space="1" w:color="auto"/>
          <w:left w:val="single" w:sz="4" w:space="4" w:color="auto"/>
          <w:bottom w:val="single" w:sz="4" w:space="1" w:color="auto"/>
          <w:right w:val="single" w:sz="4" w:space="4" w:color="auto"/>
        </w:pBdr>
        <w:rPr>
          <w:rFonts w:cs="Arial"/>
        </w:rPr>
      </w:pPr>
    </w:p>
    <w:p w14:paraId="759DBE21" w14:textId="77777777" w:rsidR="00E82C82" w:rsidRPr="009418D4" w:rsidRDefault="00E82C82"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Heritage Lifecare Limited</w:t>
      </w:r>
      <w:bookmarkEnd w:id="4"/>
    </w:p>
    <w:p w14:paraId="3F93FE1C" w14:textId="77777777" w:rsidR="00E82C82" w:rsidRPr="009418D4" w:rsidRDefault="00E82C8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Coldstream Rest Home &amp; Hospital</w:t>
      </w:r>
      <w:bookmarkEnd w:id="5"/>
    </w:p>
    <w:p w14:paraId="2B885768" w14:textId="77777777" w:rsidR="00E82C82" w:rsidRPr="009418D4" w:rsidRDefault="00E82C8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288E0574" w14:textId="77777777" w:rsidR="00E82C82" w:rsidRPr="009418D4" w:rsidRDefault="00E82C8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16 April 2026</w:t>
      </w:r>
      <w:bookmarkEnd w:id="7"/>
      <w:r w:rsidRPr="009418D4">
        <w:rPr>
          <w:rFonts w:cs="Arial"/>
        </w:rPr>
        <w:tab/>
        <w:t xml:space="preserve">End date: </w:t>
      </w:r>
      <w:bookmarkStart w:id="8" w:name="AuditEndDate"/>
      <w:r>
        <w:rPr>
          <w:rFonts w:cs="Arial"/>
        </w:rPr>
        <w:t>17 April 2026</w:t>
      </w:r>
      <w:bookmarkEnd w:id="8"/>
    </w:p>
    <w:p w14:paraId="6B73F05B" w14:textId="77777777" w:rsidR="00E82C82" w:rsidRPr="009418D4" w:rsidRDefault="00E82C82"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9D8BC42" w14:textId="77777777" w:rsidR="00AF55A0" w:rsidRPr="009418D4" w:rsidRDefault="00E82C82"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50</w:t>
      </w:r>
      <w:bookmarkEnd w:id="10"/>
    </w:p>
    <w:p w14:paraId="6ABB0AB6" w14:textId="77777777" w:rsidR="00E82C82" w:rsidRDefault="00E82C82" w:rsidP="009D18F5">
      <w:pPr>
        <w:pBdr>
          <w:top w:val="single" w:sz="4" w:space="1" w:color="auto"/>
          <w:left w:val="single" w:sz="4" w:space="4" w:color="auto"/>
          <w:bottom w:val="single" w:sz="4" w:space="1" w:color="auto"/>
          <w:right w:val="single" w:sz="4" w:space="4" w:color="auto"/>
        </w:pBdr>
        <w:rPr>
          <w:rFonts w:cs="Arial"/>
          <w:lang w:eastAsia="en-NZ"/>
        </w:rPr>
      </w:pPr>
    </w:p>
    <w:p w14:paraId="2496E70C" w14:textId="77777777" w:rsidR="00E82C82" w:rsidRDefault="00E82C82">
      <w:pPr>
        <w:pStyle w:val="Heading1"/>
        <w:rPr>
          <w:rFonts w:cs="Arial"/>
        </w:rPr>
      </w:pPr>
      <w:r>
        <w:rPr>
          <w:rFonts w:cs="Arial"/>
        </w:rPr>
        <w:lastRenderedPageBreak/>
        <w:t>Executive summary of the audit</w:t>
      </w:r>
    </w:p>
    <w:p w14:paraId="4C2A85A9" w14:textId="77777777" w:rsidR="00E82C82" w:rsidRDefault="00E82C82">
      <w:pPr>
        <w:pStyle w:val="Heading2"/>
        <w:rPr>
          <w:rFonts w:cs="Arial"/>
        </w:rPr>
      </w:pPr>
      <w:r>
        <w:rPr>
          <w:rFonts w:cs="Arial"/>
        </w:rPr>
        <w:t>Introduction</w:t>
      </w:r>
    </w:p>
    <w:p w14:paraId="1656771E" w14:textId="77777777" w:rsidR="00E82C82" w:rsidRDefault="00E82C82">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E2481C2" w14:textId="77777777" w:rsidR="00E82C82" w:rsidRDefault="00E82C82"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992AA5F" w14:textId="77777777" w:rsidR="00E82C82" w:rsidRDefault="00E82C82"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A9ECF82" w14:textId="77777777" w:rsidR="00E82C82" w:rsidRDefault="00E82C82"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398B95A1" w14:textId="77777777" w:rsidR="00E82C82" w:rsidRDefault="00E82C82"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 xml:space="preserve">te tangata me te taiao </w:t>
      </w:r>
      <w:r>
        <w:rPr>
          <w:rFonts w:cs="Arial"/>
          <w:lang w:eastAsia="en-NZ"/>
        </w:rPr>
        <w:t>haumaru │ person-centred and safe environment</w:t>
      </w:r>
    </w:p>
    <w:p w14:paraId="3AF80E71" w14:textId="77777777" w:rsidR="00E82C82" w:rsidRDefault="00E82C82"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94ECD6E" w14:textId="77777777" w:rsidR="00E82C82" w:rsidRDefault="00E82C82"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F2BE0A2" w14:textId="77777777" w:rsidR="00E82C82" w:rsidRDefault="00E82C82">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1155815E" w14:textId="77777777" w:rsidR="00E82C82" w:rsidRDefault="00E82C82">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AF55A0" w14:paraId="70312898" w14:textId="77777777">
        <w:trPr>
          <w:cantSplit/>
          <w:tblHeader/>
        </w:trPr>
        <w:tc>
          <w:tcPr>
            <w:tcW w:w="1260" w:type="dxa"/>
            <w:tcBorders>
              <w:bottom w:val="single" w:sz="4" w:space="0" w:color="000000"/>
            </w:tcBorders>
            <w:vAlign w:val="center"/>
          </w:tcPr>
          <w:p w14:paraId="1850B6D0" w14:textId="77777777" w:rsidR="00E82C82" w:rsidRDefault="00E82C82">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6B81FDDC" w14:textId="77777777" w:rsidR="00E82C82" w:rsidRDefault="00E82C82">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74F4D8E1" w14:textId="77777777" w:rsidR="00E82C82" w:rsidRDefault="00E82C82">
            <w:pPr>
              <w:spacing w:before="60" w:after="60"/>
              <w:rPr>
                <w:rFonts w:eastAsia="Calibri"/>
                <w:b/>
                <w:szCs w:val="24"/>
              </w:rPr>
            </w:pPr>
            <w:r>
              <w:rPr>
                <w:rFonts w:eastAsia="Calibri"/>
                <w:b/>
                <w:szCs w:val="24"/>
              </w:rPr>
              <w:t>Definition</w:t>
            </w:r>
          </w:p>
        </w:tc>
      </w:tr>
      <w:tr w:rsidR="00AF55A0" w14:paraId="7966B161" w14:textId="77777777">
        <w:trPr>
          <w:cantSplit/>
          <w:trHeight w:val="964"/>
        </w:trPr>
        <w:tc>
          <w:tcPr>
            <w:tcW w:w="1260" w:type="dxa"/>
            <w:tcBorders>
              <w:bottom w:val="single" w:sz="4" w:space="0" w:color="000000"/>
            </w:tcBorders>
            <w:shd w:val="clear" w:color="0066FF" w:fill="0000FF"/>
            <w:vAlign w:val="center"/>
          </w:tcPr>
          <w:p w14:paraId="28EF4EF9" w14:textId="77777777" w:rsidR="00E82C82" w:rsidRDefault="00E82C82">
            <w:pPr>
              <w:spacing w:before="60" w:after="60"/>
              <w:rPr>
                <w:rFonts w:eastAsia="Calibri"/>
                <w:szCs w:val="24"/>
              </w:rPr>
            </w:pPr>
          </w:p>
        </w:tc>
        <w:tc>
          <w:tcPr>
            <w:tcW w:w="7095" w:type="dxa"/>
            <w:tcBorders>
              <w:bottom w:val="single" w:sz="4" w:space="0" w:color="000000"/>
            </w:tcBorders>
            <w:vAlign w:val="center"/>
          </w:tcPr>
          <w:p w14:paraId="7FB574C1" w14:textId="77777777" w:rsidR="00E82C82" w:rsidRDefault="00E82C82">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6F4D0932" w14:textId="4947A017" w:rsidR="00E82C82" w:rsidRDefault="00E82C82">
            <w:pPr>
              <w:spacing w:before="60" w:after="60"/>
              <w:ind w:left="50"/>
              <w:rPr>
                <w:rFonts w:eastAsia="Calibri"/>
                <w:szCs w:val="24"/>
              </w:rPr>
            </w:pPr>
            <w:r w:rsidRPr="00FB778F">
              <w:rPr>
                <w:rFonts w:eastAsia="Calibri"/>
                <w:szCs w:val="24"/>
              </w:rPr>
              <w:t xml:space="preserve">All subsections applicable to this service </w:t>
            </w:r>
            <w:r w:rsidR="00276B23">
              <w:rPr>
                <w:rFonts w:eastAsia="Calibri"/>
                <w:szCs w:val="24"/>
              </w:rPr>
              <w:t xml:space="preserve">are </w:t>
            </w:r>
            <w:r w:rsidRPr="00FB778F">
              <w:rPr>
                <w:rFonts w:eastAsia="Calibri"/>
                <w:szCs w:val="24"/>
              </w:rPr>
              <w:t>fully attained with some subsections exceeded</w:t>
            </w:r>
          </w:p>
        </w:tc>
      </w:tr>
      <w:tr w:rsidR="00AF55A0" w14:paraId="3B6051D9" w14:textId="77777777">
        <w:trPr>
          <w:cantSplit/>
          <w:trHeight w:val="964"/>
        </w:trPr>
        <w:tc>
          <w:tcPr>
            <w:tcW w:w="1260" w:type="dxa"/>
            <w:shd w:val="clear" w:color="33CC33" w:fill="00FF00"/>
            <w:vAlign w:val="center"/>
          </w:tcPr>
          <w:p w14:paraId="73AFDDEE" w14:textId="77777777" w:rsidR="00E82C82" w:rsidRDefault="00E82C82">
            <w:pPr>
              <w:spacing w:before="60" w:after="60"/>
              <w:rPr>
                <w:rFonts w:eastAsia="Calibri"/>
                <w:szCs w:val="24"/>
              </w:rPr>
            </w:pPr>
          </w:p>
        </w:tc>
        <w:tc>
          <w:tcPr>
            <w:tcW w:w="7095" w:type="dxa"/>
            <w:vAlign w:val="center"/>
          </w:tcPr>
          <w:p w14:paraId="3CE1F1DE" w14:textId="77777777" w:rsidR="00E82C82" w:rsidRDefault="00E82C82">
            <w:pPr>
              <w:spacing w:before="60" w:after="60"/>
              <w:ind w:left="50"/>
              <w:rPr>
                <w:rFonts w:eastAsia="Calibri"/>
                <w:szCs w:val="24"/>
              </w:rPr>
            </w:pPr>
            <w:r>
              <w:rPr>
                <w:rFonts w:eastAsia="Calibri"/>
                <w:szCs w:val="24"/>
              </w:rPr>
              <w:t>No short falls</w:t>
            </w:r>
          </w:p>
        </w:tc>
        <w:tc>
          <w:tcPr>
            <w:tcW w:w="7096" w:type="dxa"/>
            <w:vAlign w:val="center"/>
          </w:tcPr>
          <w:p w14:paraId="4308959C" w14:textId="3AB63593" w:rsidR="00E82C82" w:rsidRDefault="00E82C82">
            <w:pPr>
              <w:spacing w:before="60" w:after="60"/>
              <w:ind w:left="50"/>
              <w:rPr>
                <w:rFonts w:eastAsia="Calibri"/>
                <w:szCs w:val="24"/>
              </w:rPr>
            </w:pPr>
            <w:r w:rsidRPr="00FB778F">
              <w:rPr>
                <w:rFonts w:eastAsia="Calibri"/>
                <w:szCs w:val="24"/>
              </w:rPr>
              <w:t xml:space="preserve">Subsections applicable to this service </w:t>
            </w:r>
            <w:r w:rsidR="00276B23">
              <w:rPr>
                <w:rFonts w:eastAsia="Calibri"/>
                <w:szCs w:val="24"/>
              </w:rPr>
              <w:t xml:space="preserve">are </w:t>
            </w:r>
            <w:r w:rsidRPr="00FB778F">
              <w:rPr>
                <w:rFonts w:eastAsia="Calibri"/>
                <w:szCs w:val="24"/>
              </w:rPr>
              <w:t>fully attained</w:t>
            </w:r>
          </w:p>
        </w:tc>
      </w:tr>
      <w:tr w:rsidR="00AF55A0" w14:paraId="01A4330D" w14:textId="77777777">
        <w:trPr>
          <w:cantSplit/>
          <w:trHeight w:val="964"/>
        </w:trPr>
        <w:tc>
          <w:tcPr>
            <w:tcW w:w="1260" w:type="dxa"/>
            <w:tcBorders>
              <w:bottom w:val="single" w:sz="4" w:space="0" w:color="000000"/>
            </w:tcBorders>
            <w:shd w:val="clear" w:color="auto" w:fill="FFFF00"/>
            <w:vAlign w:val="center"/>
          </w:tcPr>
          <w:p w14:paraId="7930B2F1" w14:textId="77777777" w:rsidR="00E82C82" w:rsidRDefault="00E82C82">
            <w:pPr>
              <w:spacing w:before="60" w:after="60"/>
              <w:rPr>
                <w:rFonts w:eastAsia="Calibri"/>
                <w:szCs w:val="24"/>
              </w:rPr>
            </w:pPr>
          </w:p>
        </w:tc>
        <w:tc>
          <w:tcPr>
            <w:tcW w:w="7095" w:type="dxa"/>
            <w:vAlign w:val="center"/>
          </w:tcPr>
          <w:p w14:paraId="5C4DC1D5" w14:textId="77777777" w:rsidR="00E82C82" w:rsidRDefault="00E82C82">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2E11F301" w14:textId="4799F362" w:rsidR="00E82C82" w:rsidRDefault="00E82C82">
            <w:pPr>
              <w:spacing w:before="60" w:after="60"/>
              <w:ind w:left="50"/>
              <w:rPr>
                <w:rFonts w:eastAsia="Calibri"/>
                <w:szCs w:val="24"/>
              </w:rPr>
            </w:pPr>
            <w:r w:rsidRPr="00FB778F">
              <w:rPr>
                <w:rFonts w:eastAsia="Calibri"/>
                <w:szCs w:val="24"/>
              </w:rPr>
              <w:t xml:space="preserve">Some subsections applicable to this </w:t>
            </w:r>
            <w:r w:rsidR="00276B23">
              <w:rPr>
                <w:rFonts w:eastAsia="Calibri"/>
                <w:szCs w:val="24"/>
              </w:rPr>
              <w:t xml:space="preserve">are </w:t>
            </w:r>
            <w:r w:rsidRPr="00FB778F">
              <w:rPr>
                <w:rFonts w:eastAsia="Calibri"/>
                <w:szCs w:val="24"/>
              </w:rPr>
              <w:t>service partially attained and of low risk</w:t>
            </w:r>
          </w:p>
        </w:tc>
      </w:tr>
      <w:tr w:rsidR="00AF55A0" w14:paraId="7B4F4A09" w14:textId="77777777">
        <w:trPr>
          <w:cantSplit/>
          <w:trHeight w:val="964"/>
        </w:trPr>
        <w:tc>
          <w:tcPr>
            <w:tcW w:w="1260" w:type="dxa"/>
            <w:tcBorders>
              <w:bottom w:val="single" w:sz="4" w:space="0" w:color="000000"/>
            </w:tcBorders>
            <w:shd w:val="clear" w:color="auto" w:fill="FFC800"/>
            <w:vAlign w:val="center"/>
          </w:tcPr>
          <w:p w14:paraId="13472A5B" w14:textId="77777777" w:rsidR="00E82C82" w:rsidRDefault="00E82C82">
            <w:pPr>
              <w:spacing w:before="60" w:after="60"/>
              <w:rPr>
                <w:rFonts w:eastAsia="Calibri"/>
                <w:szCs w:val="24"/>
              </w:rPr>
            </w:pPr>
          </w:p>
        </w:tc>
        <w:tc>
          <w:tcPr>
            <w:tcW w:w="7095" w:type="dxa"/>
            <w:tcBorders>
              <w:bottom w:val="single" w:sz="4" w:space="0" w:color="000000"/>
            </w:tcBorders>
            <w:vAlign w:val="center"/>
          </w:tcPr>
          <w:p w14:paraId="2C30941E" w14:textId="77777777" w:rsidR="00E82C82" w:rsidRDefault="00E82C82">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5EAF0492" w14:textId="148C3B99" w:rsidR="00E82C82" w:rsidRDefault="00E82C82">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w:t>
            </w:r>
            <w:r w:rsidR="00276B23">
              <w:rPr>
                <w:rFonts w:eastAsia="Calibri"/>
                <w:szCs w:val="24"/>
              </w:rPr>
              <w:t xml:space="preserve">are </w:t>
            </w:r>
            <w:r>
              <w:rPr>
                <w:rFonts w:eastAsia="Calibri"/>
                <w:szCs w:val="24"/>
              </w:rPr>
              <w:t>partially attained and of medium or high risk and/or unattained and of low risk</w:t>
            </w:r>
          </w:p>
        </w:tc>
      </w:tr>
      <w:tr w:rsidR="00AF55A0" w14:paraId="0A1DBE55" w14:textId="77777777">
        <w:trPr>
          <w:cantSplit/>
          <w:trHeight w:val="964"/>
        </w:trPr>
        <w:tc>
          <w:tcPr>
            <w:tcW w:w="1260" w:type="dxa"/>
            <w:shd w:val="clear" w:color="auto" w:fill="FF0000"/>
            <w:vAlign w:val="center"/>
          </w:tcPr>
          <w:p w14:paraId="2BD8407E" w14:textId="77777777" w:rsidR="00E82C82" w:rsidRDefault="00E82C82">
            <w:pPr>
              <w:spacing w:before="60" w:after="60"/>
              <w:rPr>
                <w:rFonts w:eastAsia="Calibri"/>
                <w:szCs w:val="24"/>
              </w:rPr>
            </w:pPr>
          </w:p>
        </w:tc>
        <w:tc>
          <w:tcPr>
            <w:tcW w:w="7095" w:type="dxa"/>
            <w:vAlign w:val="center"/>
          </w:tcPr>
          <w:p w14:paraId="222EFA1E" w14:textId="77777777" w:rsidR="00E82C82" w:rsidRDefault="00E82C82">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7F3E0A4A" w14:textId="3C7A8531" w:rsidR="00E82C82" w:rsidRDefault="00E82C82">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sidR="00276B23">
              <w:rPr>
                <w:rFonts w:eastAsia="Calibri"/>
                <w:szCs w:val="24"/>
              </w:rPr>
              <w:t xml:space="preserve">are </w:t>
            </w:r>
            <w:r>
              <w:rPr>
                <w:rFonts w:eastAsia="Calibri"/>
                <w:szCs w:val="24"/>
              </w:rPr>
              <w:t>unattained and of moderate or high risk</w:t>
            </w:r>
          </w:p>
        </w:tc>
      </w:tr>
    </w:tbl>
    <w:p w14:paraId="321B89B0" w14:textId="77777777" w:rsidR="00E82C82" w:rsidRDefault="00E82C82">
      <w:pPr>
        <w:pStyle w:val="Heading2"/>
        <w:spacing w:after="0"/>
        <w:rPr>
          <w:rFonts w:cs="Arial"/>
        </w:rPr>
      </w:pPr>
      <w:r>
        <w:rPr>
          <w:rFonts w:cs="Arial"/>
        </w:rPr>
        <w:t>General overview of the audit</w:t>
      </w:r>
    </w:p>
    <w:p w14:paraId="657DF15D" w14:textId="77777777" w:rsidR="00E82C82" w:rsidRDefault="00E82C82">
      <w:pPr>
        <w:spacing w:before="240" w:line="276" w:lineRule="auto"/>
        <w:rPr>
          <w:rFonts w:eastAsia="Calibri"/>
        </w:rPr>
      </w:pPr>
      <w:bookmarkStart w:id="13" w:name="GeneralOverview"/>
      <w:r w:rsidRPr="00A4268A">
        <w:rPr>
          <w:rFonts w:eastAsia="Calibri"/>
        </w:rPr>
        <w:t>Coldstream Rest Home and Hospital provides rest home and hospital levels of care, and care for young people with disabilities, for up to 58 residents.  The service is operated by Heritage Lifecare Limited and is managed by the care home and village manager, who has extensive management experience, including in health, and has been in the role for 15 months. This person is supported by the clinical services manager, who has been in the role for six months.</w:t>
      </w:r>
    </w:p>
    <w:p w14:paraId="2BA1611E" w14:textId="77777777" w:rsidR="00AF55A0" w:rsidRPr="00A4268A" w:rsidRDefault="00E82C82">
      <w:pPr>
        <w:spacing w:before="240" w:line="276" w:lineRule="auto"/>
        <w:rPr>
          <w:rFonts w:eastAsia="Calibri"/>
        </w:rPr>
      </w:pPr>
      <w:r w:rsidRPr="00A4268A">
        <w:rPr>
          <w:rFonts w:eastAsia="Calibri"/>
        </w:rPr>
        <w:t>This certification audit was conducted against Ngā Paerewa Health and Disability Services Standard NZS 8134:2021 and the contracts held with Health New Zealand – Te Whatu Ora Waitaha Canterbury. The audit process included a review of policies and procedures, review of residents’ and staffs’ files, observations, and interviews with the manager, staff, residents, whānau members, and a general practitioner. Additionally, the community mental health nurse and the palliative care clinical nurse specialist were i</w:t>
      </w:r>
      <w:r w:rsidRPr="00A4268A">
        <w:rPr>
          <w:rFonts w:eastAsia="Calibri"/>
        </w:rPr>
        <w:t>nterviewed.</w:t>
      </w:r>
    </w:p>
    <w:p w14:paraId="691777B0" w14:textId="77777777" w:rsidR="00AF55A0" w:rsidRPr="00A4268A" w:rsidRDefault="00E82C82">
      <w:pPr>
        <w:spacing w:before="240" w:line="276" w:lineRule="auto"/>
        <w:rPr>
          <w:rFonts w:eastAsia="Calibri"/>
        </w:rPr>
      </w:pPr>
      <w:r w:rsidRPr="00A4268A">
        <w:rPr>
          <w:rFonts w:eastAsia="Calibri"/>
        </w:rPr>
        <w:t>No areas were identified as requiring improvement.</w:t>
      </w:r>
    </w:p>
    <w:bookmarkEnd w:id="13"/>
    <w:p w14:paraId="44579931" w14:textId="77777777" w:rsidR="00AF55A0" w:rsidRPr="00A4268A" w:rsidRDefault="00AF55A0">
      <w:pPr>
        <w:spacing w:before="240" w:line="276" w:lineRule="auto"/>
        <w:rPr>
          <w:rFonts w:eastAsia="Calibri"/>
        </w:rPr>
      </w:pPr>
    </w:p>
    <w:p w14:paraId="6F9CC91C" w14:textId="77777777" w:rsidR="00E82C82" w:rsidRDefault="00E82C82"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F55A0" w14:paraId="4199A4D7" w14:textId="77777777" w:rsidTr="00A4268A">
        <w:trPr>
          <w:cantSplit/>
        </w:trPr>
        <w:tc>
          <w:tcPr>
            <w:tcW w:w="10206" w:type="dxa"/>
            <w:vAlign w:val="center"/>
          </w:tcPr>
          <w:p w14:paraId="6CDC2EFB" w14:textId="77777777" w:rsidR="00E82C82" w:rsidRPr="00FB778F" w:rsidRDefault="00E82C82"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6033E1B" w14:textId="77777777" w:rsidR="00E82C82" w:rsidRPr="00621629" w:rsidRDefault="00E82C82"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5727370" w14:textId="77777777" w:rsidR="00E82C82" w:rsidRPr="00621629" w:rsidRDefault="00E82C82"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2C38387" w14:textId="099AE990" w:rsidR="00E82C82" w:rsidRPr="00621629" w:rsidRDefault="00E82C82" w:rsidP="008F3634">
            <w:pPr>
              <w:spacing w:before="60" w:after="60" w:line="276" w:lineRule="auto"/>
              <w:rPr>
                <w:rFonts w:eastAsia="Calibri"/>
              </w:rPr>
            </w:pPr>
            <w:bookmarkStart w:id="15" w:name="IndicatorDescription1_1"/>
            <w:bookmarkEnd w:id="15"/>
            <w:r>
              <w:t xml:space="preserve">Subsections applicable to this service </w:t>
            </w:r>
            <w:r w:rsidR="00276B23">
              <w:t xml:space="preserve">are </w:t>
            </w:r>
            <w:r>
              <w:t>fully attained.</w:t>
            </w:r>
          </w:p>
        </w:tc>
      </w:tr>
    </w:tbl>
    <w:p w14:paraId="3E559AEE" w14:textId="77777777" w:rsidR="00E82C82" w:rsidRDefault="00E82C82">
      <w:pPr>
        <w:spacing w:before="240" w:line="276" w:lineRule="auto"/>
        <w:rPr>
          <w:rFonts w:eastAsia="Calibri"/>
        </w:rPr>
      </w:pPr>
      <w:bookmarkStart w:id="16" w:name="ConsumerRights"/>
      <w:r w:rsidRPr="00A4268A">
        <w:rPr>
          <w:rFonts w:eastAsia="Calibri"/>
        </w:rPr>
        <w:t>Coldstream Rest Home and Hospital (Coldstream) provided an environment that supported residents’ rights and culturally safe care. There was a health plan that encapsulated care specifically directed at Māori, Pacific peoples, and other ethnicities. Coldstream works collaboratively with internal and external Māori supports to encourage a Māori worldview of health in service delivery. Residents of Māori heritage were provided with equitable and effective services based on Te Tiriti o Waitangi and the principl</w:t>
      </w:r>
      <w:r w:rsidRPr="00A4268A">
        <w:rPr>
          <w:rFonts w:eastAsia="Calibri"/>
        </w:rPr>
        <w:t>es of mana motuhake (self-determination), and this was confirmed by whānau and staff interviewed.</w:t>
      </w:r>
    </w:p>
    <w:p w14:paraId="75257998" w14:textId="77777777" w:rsidR="00AF55A0" w:rsidRPr="00A4268A" w:rsidRDefault="00E82C82">
      <w:pPr>
        <w:spacing w:before="240" w:line="276" w:lineRule="auto"/>
        <w:rPr>
          <w:rFonts w:eastAsia="Calibri"/>
        </w:rPr>
      </w:pPr>
      <w:r w:rsidRPr="00A4268A">
        <w:rPr>
          <w:rFonts w:eastAsia="Calibri"/>
        </w:rPr>
        <w:t>Systems and processes were in place to enable Pacific peoples to be provided with services that recognised their worldviews and were culturally safe.</w:t>
      </w:r>
    </w:p>
    <w:p w14:paraId="39B6B3F4" w14:textId="77777777" w:rsidR="00AF55A0" w:rsidRPr="00A4268A" w:rsidRDefault="00E82C82">
      <w:pPr>
        <w:spacing w:before="240" w:line="276" w:lineRule="auto"/>
        <w:rPr>
          <w:rFonts w:eastAsia="Calibri"/>
        </w:rPr>
      </w:pPr>
      <w:r w:rsidRPr="00A4268A">
        <w:rPr>
          <w:rFonts w:eastAsia="Calibri"/>
        </w:rPr>
        <w:t>Residents and their whānau had been informed of their rights according to the Code of Health and Disability Services Consumers’ Rights (the Code), and these were upheld. Personal identity, independence, privacy, and dignity were respected and supported. Staff reported they had participated in Te Tiriti o Waitangi training, and this was reflected in day-to-day service delivery.  Residents were safe from abuse.</w:t>
      </w:r>
    </w:p>
    <w:p w14:paraId="31227BAC" w14:textId="77777777" w:rsidR="00AF55A0" w:rsidRPr="00A4268A" w:rsidRDefault="00E82C82">
      <w:pPr>
        <w:spacing w:before="240" w:line="276" w:lineRule="auto"/>
        <w:rPr>
          <w:rFonts w:eastAsia="Calibri"/>
        </w:rPr>
      </w:pPr>
      <w:r w:rsidRPr="00A4268A">
        <w:rPr>
          <w:rFonts w:eastAsia="Calibri"/>
        </w:rPr>
        <w:t>Residents and whānau received information in an easy-to-understand format and felt listened to and included when making decisions about care and treatment.  Open communication was practised, and interpreter services were provided as needed.  Whānau and legal representatives were involved in decision-making that complied with the law. Advance directives are followed wherever possible.</w:t>
      </w:r>
    </w:p>
    <w:p w14:paraId="12EF3BC5" w14:textId="77777777" w:rsidR="00AF55A0" w:rsidRPr="00A4268A" w:rsidRDefault="00E82C82">
      <w:pPr>
        <w:spacing w:before="240" w:line="276" w:lineRule="auto"/>
        <w:rPr>
          <w:rFonts w:eastAsia="Calibri"/>
        </w:rPr>
      </w:pPr>
      <w:r w:rsidRPr="00A4268A">
        <w:rPr>
          <w:rFonts w:eastAsia="Calibri"/>
        </w:rPr>
        <w:t>Complaints are resolved promptly and effectively in collaboration with all parties involved. There are processes in place to ensure that the complaints process works equitably for Māori.</w:t>
      </w:r>
    </w:p>
    <w:bookmarkEnd w:id="16"/>
    <w:p w14:paraId="7ED4B693" w14:textId="77777777" w:rsidR="00AF55A0" w:rsidRPr="00A4268A" w:rsidRDefault="00AF55A0">
      <w:pPr>
        <w:spacing w:before="240" w:line="276" w:lineRule="auto"/>
        <w:rPr>
          <w:rFonts w:eastAsia="Calibri"/>
        </w:rPr>
      </w:pPr>
    </w:p>
    <w:p w14:paraId="416D2694" w14:textId="77777777" w:rsidR="00E82C82" w:rsidRDefault="00E82C82"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F55A0" w14:paraId="539C4F1D" w14:textId="77777777" w:rsidTr="00A4268A">
        <w:trPr>
          <w:cantSplit/>
        </w:trPr>
        <w:tc>
          <w:tcPr>
            <w:tcW w:w="10206" w:type="dxa"/>
            <w:vAlign w:val="center"/>
          </w:tcPr>
          <w:p w14:paraId="136DDB4D" w14:textId="77777777" w:rsidR="00E82C82" w:rsidRPr="00621629" w:rsidRDefault="00E82C82"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7882E326" w14:textId="77777777" w:rsidR="00E82C82" w:rsidRPr="00621629" w:rsidRDefault="00E82C82"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0512243" w14:textId="38EB1DC7" w:rsidR="00E82C82" w:rsidRPr="00621629" w:rsidRDefault="00E82C82" w:rsidP="00621629">
            <w:pPr>
              <w:spacing w:before="60" w:after="60" w:line="276" w:lineRule="auto"/>
              <w:rPr>
                <w:rFonts w:eastAsia="Calibri"/>
              </w:rPr>
            </w:pPr>
            <w:bookmarkStart w:id="18" w:name="IndicatorDescription1_2"/>
            <w:bookmarkEnd w:id="18"/>
            <w:r>
              <w:t xml:space="preserve">Subsections applicable to this service </w:t>
            </w:r>
            <w:r w:rsidR="00276B23">
              <w:t xml:space="preserve">are </w:t>
            </w:r>
            <w:r>
              <w:t>fully attained.</w:t>
            </w:r>
          </w:p>
        </w:tc>
      </w:tr>
    </w:tbl>
    <w:p w14:paraId="2E93DF28" w14:textId="77777777" w:rsidR="00E82C82" w:rsidRDefault="00E82C82">
      <w:pPr>
        <w:spacing w:before="240" w:line="276" w:lineRule="auto"/>
        <w:rPr>
          <w:rFonts w:eastAsia="Calibri"/>
        </w:rPr>
      </w:pPr>
      <w:bookmarkStart w:id="19" w:name="OrganisationalManagement"/>
      <w:r w:rsidRPr="00A4268A">
        <w:rPr>
          <w:rFonts w:eastAsia="Calibri"/>
        </w:rPr>
        <w:t>The organisation is governed by Heritage Lifecare Limited. The board of directors works with the manager at Coldstream to monitor organisational performance and ensure ongoing compliance. The governing body assumes accountability for delivering a high-quality service that is inclusive of, and sensitive to, the cultural needs of Māori. All directors are suitably experienced and qualified in governance and have completed education in cultural awareness, Te Tiriti o Waitangi and health equity.</w:t>
      </w:r>
    </w:p>
    <w:p w14:paraId="79E4D047" w14:textId="77777777" w:rsidR="00AF55A0" w:rsidRPr="00A4268A" w:rsidRDefault="00E82C82">
      <w:pPr>
        <w:spacing w:before="240" w:line="276" w:lineRule="auto"/>
        <w:rPr>
          <w:rFonts w:eastAsia="Calibri"/>
        </w:rPr>
      </w:pPr>
      <w:r w:rsidRPr="00A4268A">
        <w:rPr>
          <w:rFonts w:eastAsia="Calibri"/>
        </w:rPr>
        <w:t>Planning ensures the purpose, values, direction, scope, and goals for the organisation are defined. Service performance is monitored and reviewed at planned intervals.</w:t>
      </w:r>
    </w:p>
    <w:p w14:paraId="5A173053" w14:textId="77777777" w:rsidR="00AF55A0" w:rsidRPr="00A4268A" w:rsidRDefault="00E82C82">
      <w:pPr>
        <w:spacing w:before="240" w:line="276" w:lineRule="auto"/>
        <w:rPr>
          <w:rFonts w:eastAsia="Calibri"/>
        </w:rPr>
      </w:pPr>
      <w:r w:rsidRPr="00A4268A">
        <w:rPr>
          <w:rFonts w:eastAsia="Calibri"/>
        </w:rPr>
        <w:t>The quality and risk management systems are focused on improving service delivery and care. Residents and whānau provide regular feedback and staff are involved in quality activities. An integrated approach includes the collection and analysis of quality improvement data, identifying trends that leads to improvements. Actual and potential risks are identified and mitigated. Adverse events are documented with corrective actions implemented. The service complies with statutory and regulatory reporting obligat</w:t>
      </w:r>
      <w:r w:rsidRPr="00A4268A">
        <w:rPr>
          <w:rFonts w:eastAsia="Calibri"/>
        </w:rPr>
        <w:t>ions.</w:t>
      </w:r>
    </w:p>
    <w:p w14:paraId="46A5B5CC" w14:textId="77777777" w:rsidR="00AF55A0" w:rsidRPr="00A4268A" w:rsidRDefault="00E82C82">
      <w:pPr>
        <w:spacing w:before="240" w:line="276" w:lineRule="auto"/>
        <w:rPr>
          <w:rFonts w:eastAsia="Calibri"/>
        </w:rPr>
      </w:pPr>
      <w:r w:rsidRPr="00A4268A">
        <w:rPr>
          <w:rFonts w:eastAsia="Calibri"/>
        </w:rPr>
        <w:t>Staff are appointed, orientated, and managed using current good practice. Staff are suitably skilled and experienced. Staffing levels are sufficient to provide clinically and culturally appropriate care. A systematic approach to identify and deliver ongoing learning supports safe and equitable service delivery. Staff performance is monitored.</w:t>
      </w:r>
    </w:p>
    <w:p w14:paraId="5E3C1E30" w14:textId="77777777" w:rsidR="00AF55A0" w:rsidRPr="00A4268A" w:rsidRDefault="00E82C82">
      <w:pPr>
        <w:spacing w:before="240" w:line="276" w:lineRule="auto"/>
        <w:rPr>
          <w:rFonts w:eastAsia="Calibri"/>
        </w:rPr>
      </w:pPr>
      <w:r w:rsidRPr="00A4268A">
        <w:rPr>
          <w:rFonts w:eastAsia="Calibri"/>
        </w:rPr>
        <w:t>Residents’ information is accurately recorded, securely stored, and not on public display or accessible to unauthorised people.</w:t>
      </w:r>
    </w:p>
    <w:bookmarkEnd w:id="19"/>
    <w:p w14:paraId="435EF16D" w14:textId="77777777" w:rsidR="00AF55A0" w:rsidRPr="00A4268A" w:rsidRDefault="00AF55A0">
      <w:pPr>
        <w:spacing w:before="240" w:line="276" w:lineRule="auto"/>
        <w:rPr>
          <w:rFonts w:eastAsia="Calibri"/>
        </w:rPr>
      </w:pPr>
    </w:p>
    <w:p w14:paraId="2C60C235" w14:textId="77777777" w:rsidR="00E82C82" w:rsidRDefault="00E82C82"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F55A0" w14:paraId="0B7FFD8D" w14:textId="77777777" w:rsidTr="00A4268A">
        <w:trPr>
          <w:cantSplit/>
        </w:trPr>
        <w:tc>
          <w:tcPr>
            <w:tcW w:w="10206" w:type="dxa"/>
            <w:vAlign w:val="center"/>
          </w:tcPr>
          <w:p w14:paraId="17073C67" w14:textId="77777777" w:rsidR="00E82C82" w:rsidRPr="00621629" w:rsidRDefault="00E82C82"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0BA50A65" w14:textId="77777777" w:rsidR="00E82C82" w:rsidRPr="00621629" w:rsidRDefault="00E82C82"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58C8966" w14:textId="63E4AE55" w:rsidR="00E82C82" w:rsidRPr="00621629" w:rsidRDefault="00E82C82" w:rsidP="00621629">
            <w:pPr>
              <w:spacing w:before="60" w:after="60" w:line="276" w:lineRule="auto"/>
              <w:rPr>
                <w:rFonts w:eastAsia="Calibri"/>
              </w:rPr>
            </w:pPr>
            <w:bookmarkStart w:id="21" w:name="IndicatorDescription1_3"/>
            <w:bookmarkEnd w:id="21"/>
            <w:r>
              <w:t xml:space="preserve">Subsections applicable to this service </w:t>
            </w:r>
            <w:r w:rsidR="00276B23">
              <w:t xml:space="preserve">are </w:t>
            </w:r>
            <w:r>
              <w:t>fully attained.</w:t>
            </w:r>
          </w:p>
        </w:tc>
      </w:tr>
    </w:tbl>
    <w:p w14:paraId="482EC87D" w14:textId="77777777" w:rsidR="00E82C82" w:rsidRPr="005E14A4" w:rsidRDefault="00E82C82" w:rsidP="00621629">
      <w:pPr>
        <w:spacing w:before="240" w:line="276" w:lineRule="auto"/>
        <w:rPr>
          <w:rFonts w:eastAsia="Calibri"/>
        </w:rPr>
      </w:pPr>
      <w:bookmarkStart w:id="22" w:name="ContinuumOfServiceDelivery"/>
      <w:r w:rsidRPr="00A4268A">
        <w:rPr>
          <w:rFonts w:eastAsia="Calibri"/>
        </w:rPr>
        <w:t>When residents are admitted to Coldstream, a person-centred and whānau-centred approach is consistently adopted. Relevant, accurate and appropriate information is provided to prospective residents and their whānau at the point of admission to support informed decision-making and facilitate a smooth transition into the service.</w:t>
      </w:r>
    </w:p>
    <w:p w14:paraId="45CE3B14" w14:textId="77777777" w:rsidR="00AF55A0" w:rsidRPr="00A4268A" w:rsidRDefault="00E82C82" w:rsidP="00621629">
      <w:pPr>
        <w:spacing w:before="240" w:line="276" w:lineRule="auto"/>
        <w:rPr>
          <w:rFonts w:eastAsia="Calibri"/>
        </w:rPr>
      </w:pPr>
      <w:r w:rsidRPr="00A4268A">
        <w:rPr>
          <w:rFonts w:eastAsia="Calibri"/>
        </w:rPr>
        <w:t xml:space="preserve">Coldstream works in partnership with the residents and their whānau to assess, plan and evaluate care.  Care plans were individualised, based on comprehensive information, and accommodated any new problems that arise.  Files reviewed demonstrated that care met the needs of residents and whānau and was evaluated on a regular and timely basis. </w:t>
      </w:r>
    </w:p>
    <w:p w14:paraId="13BD35AD" w14:textId="77777777" w:rsidR="00AF55A0" w:rsidRPr="00A4268A" w:rsidRDefault="00E82C82" w:rsidP="00621629">
      <w:pPr>
        <w:spacing w:before="240" w:line="276" w:lineRule="auto"/>
        <w:rPr>
          <w:rFonts w:eastAsia="Calibri"/>
        </w:rPr>
      </w:pPr>
      <w:r w:rsidRPr="00A4268A">
        <w:rPr>
          <w:rFonts w:eastAsia="Calibri"/>
        </w:rPr>
        <w:t>Residents are supported to maintain and develop their interests and participate in meaningful community and social activities suitable to their age and stage of life.</w:t>
      </w:r>
    </w:p>
    <w:p w14:paraId="5CC0E54B" w14:textId="77777777" w:rsidR="00AF55A0" w:rsidRPr="00A4268A" w:rsidRDefault="00E82C82" w:rsidP="00621629">
      <w:pPr>
        <w:spacing w:before="240" w:line="276" w:lineRule="auto"/>
        <w:rPr>
          <w:rFonts w:eastAsia="Calibri"/>
        </w:rPr>
      </w:pPr>
      <w:r w:rsidRPr="00A4268A">
        <w:rPr>
          <w:rFonts w:eastAsia="Calibri"/>
        </w:rPr>
        <w:t xml:space="preserve">Medicines are safely managed and administered by staff who are competent to do so. </w:t>
      </w:r>
    </w:p>
    <w:p w14:paraId="6F2957F8" w14:textId="77777777" w:rsidR="00AF55A0" w:rsidRPr="00A4268A" w:rsidRDefault="00E82C82" w:rsidP="00621629">
      <w:pPr>
        <w:spacing w:before="240" w:line="276" w:lineRule="auto"/>
        <w:rPr>
          <w:rFonts w:eastAsia="Calibri"/>
        </w:rPr>
      </w:pPr>
      <w:r w:rsidRPr="00A4268A">
        <w:rPr>
          <w:rFonts w:eastAsia="Calibri"/>
        </w:rPr>
        <w:t xml:space="preserve">The food service meets the nutritional needs of the residents, with special cultural needs catered for. Food is safely managed.  </w:t>
      </w:r>
    </w:p>
    <w:p w14:paraId="2020AA40" w14:textId="77777777" w:rsidR="00AF55A0" w:rsidRPr="00A4268A" w:rsidRDefault="00E82C82" w:rsidP="00621629">
      <w:pPr>
        <w:spacing w:before="240" w:line="276" w:lineRule="auto"/>
        <w:rPr>
          <w:rFonts w:eastAsia="Calibri"/>
        </w:rPr>
      </w:pPr>
      <w:r w:rsidRPr="00A4268A">
        <w:rPr>
          <w:rFonts w:eastAsia="Calibri"/>
        </w:rPr>
        <w:t>Residents are referred or transferred to other health services as required.</w:t>
      </w:r>
    </w:p>
    <w:bookmarkEnd w:id="22"/>
    <w:p w14:paraId="2030151F" w14:textId="77777777" w:rsidR="00AF55A0" w:rsidRPr="00A4268A" w:rsidRDefault="00AF55A0" w:rsidP="00621629">
      <w:pPr>
        <w:spacing w:before="240" w:line="276" w:lineRule="auto"/>
        <w:rPr>
          <w:rFonts w:eastAsia="Calibri"/>
        </w:rPr>
      </w:pPr>
    </w:p>
    <w:p w14:paraId="6FA6FEC1" w14:textId="77777777" w:rsidR="00E82C82" w:rsidRDefault="00E82C82"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F55A0" w14:paraId="6EA2E47B" w14:textId="77777777" w:rsidTr="00A4268A">
        <w:trPr>
          <w:cantSplit/>
        </w:trPr>
        <w:tc>
          <w:tcPr>
            <w:tcW w:w="10206" w:type="dxa"/>
            <w:vAlign w:val="center"/>
          </w:tcPr>
          <w:p w14:paraId="748830AA" w14:textId="77777777" w:rsidR="00E82C82" w:rsidRPr="00621629" w:rsidRDefault="00E82C82"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7BFE205" w14:textId="77777777" w:rsidR="00E82C82" w:rsidRPr="00621629" w:rsidRDefault="00E82C82"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74EA1D4" w14:textId="382255F6" w:rsidR="00E82C82" w:rsidRPr="00621629" w:rsidRDefault="00E82C82" w:rsidP="00621629">
            <w:pPr>
              <w:spacing w:before="60" w:after="60" w:line="276" w:lineRule="auto"/>
              <w:rPr>
                <w:rFonts w:eastAsia="Calibri"/>
              </w:rPr>
            </w:pPr>
            <w:bookmarkStart w:id="24" w:name="IndicatorDescription1_4"/>
            <w:bookmarkEnd w:id="24"/>
            <w:r>
              <w:t xml:space="preserve">Subsections applicable to this service </w:t>
            </w:r>
            <w:r w:rsidR="00276B23">
              <w:t xml:space="preserve">are </w:t>
            </w:r>
            <w:r>
              <w:t>fully attained.</w:t>
            </w:r>
          </w:p>
        </w:tc>
      </w:tr>
    </w:tbl>
    <w:p w14:paraId="7A2431CD" w14:textId="77777777" w:rsidR="00E82C82" w:rsidRDefault="00E82C82">
      <w:pPr>
        <w:spacing w:before="240" w:line="276" w:lineRule="auto"/>
        <w:rPr>
          <w:rFonts w:eastAsia="Calibri"/>
        </w:rPr>
      </w:pPr>
      <w:bookmarkStart w:id="25" w:name="SafeAndAppropriateEnvironment"/>
      <w:r w:rsidRPr="00A4268A">
        <w:rPr>
          <w:rFonts w:eastAsia="Calibri"/>
        </w:rPr>
        <w:t>The facility meets the needs of residents and was clean and well maintained. There was a current building warrant of fitness. Electrical and biomedical equipment has been checked and tested as required. External areas are accessible, safe, provide shade and seating, and meet the needs of tāngata whaikaha (people with disabilities).</w:t>
      </w:r>
    </w:p>
    <w:p w14:paraId="59976DB2" w14:textId="77777777" w:rsidR="00AF55A0" w:rsidRPr="00A4268A" w:rsidRDefault="00E82C82">
      <w:pPr>
        <w:spacing w:before="240" w:line="276" w:lineRule="auto"/>
        <w:rPr>
          <w:rFonts w:eastAsia="Calibri"/>
        </w:rPr>
      </w:pPr>
      <w:r w:rsidRPr="00A4268A">
        <w:rPr>
          <w:rFonts w:eastAsia="Calibri"/>
        </w:rPr>
        <w:t>Staff are trained in emergency procedures, the use of emergency equipment and supplies, and attend regular fire drills. Staff, residents and whānau interviewed understood emergency and security arrangements. Security is maintained.</w:t>
      </w:r>
    </w:p>
    <w:bookmarkEnd w:id="25"/>
    <w:p w14:paraId="215838FB" w14:textId="77777777" w:rsidR="00AF55A0" w:rsidRPr="00A4268A" w:rsidRDefault="00AF55A0">
      <w:pPr>
        <w:spacing w:before="240" w:line="276" w:lineRule="auto"/>
        <w:rPr>
          <w:rFonts w:eastAsia="Calibri"/>
        </w:rPr>
      </w:pPr>
    </w:p>
    <w:p w14:paraId="508EBD90" w14:textId="77777777" w:rsidR="00E82C82" w:rsidRDefault="00E82C82"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F55A0" w14:paraId="4592B79F" w14:textId="77777777" w:rsidTr="00A4268A">
        <w:trPr>
          <w:cantSplit/>
        </w:trPr>
        <w:tc>
          <w:tcPr>
            <w:tcW w:w="10206" w:type="dxa"/>
            <w:vAlign w:val="center"/>
          </w:tcPr>
          <w:p w14:paraId="0F0B28FD" w14:textId="77777777" w:rsidR="00E82C82" w:rsidRPr="00621629" w:rsidRDefault="00E82C82"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A302610" w14:textId="77777777" w:rsidR="00E82C82" w:rsidRPr="00621629" w:rsidRDefault="00E82C82"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430F779" w14:textId="4442EA59" w:rsidR="00E82C82" w:rsidRPr="00621629" w:rsidRDefault="00E82C82" w:rsidP="00621629">
            <w:pPr>
              <w:spacing w:before="60" w:after="60" w:line="276" w:lineRule="auto"/>
              <w:rPr>
                <w:rFonts w:eastAsia="Calibri"/>
              </w:rPr>
            </w:pPr>
            <w:bookmarkStart w:id="27" w:name="IndicatorDescription2"/>
            <w:bookmarkEnd w:id="27"/>
            <w:r>
              <w:t xml:space="preserve">Subsections applicable to this service </w:t>
            </w:r>
            <w:r w:rsidR="00276B23">
              <w:t xml:space="preserve">are </w:t>
            </w:r>
            <w:r>
              <w:t>fully attained.</w:t>
            </w:r>
          </w:p>
        </w:tc>
      </w:tr>
    </w:tbl>
    <w:p w14:paraId="289B205C" w14:textId="77777777" w:rsidR="00E82C82" w:rsidRDefault="00E82C82">
      <w:pPr>
        <w:spacing w:before="240" w:line="276" w:lineRule="auto"/>
        <w:rPr>
          <w:rFonts w:eastAsia="Calibri"/>
        </w:rPr>
      </w:pPr>
      <w:bookmarkStart w:id="28" w:name="RestraintMinimisationAndSafePractice"/>
      <w:r w:rsidRPr="00A4268A">
        <w:rPr>
          <w:rFonts w:eastAsia="Calibri"/>
        </w:rPr>
        <w:t>The governing body oversees the implementation of the infection prevention and control programme, which is linked to the quality management system. Annual reviews of the programme were reported to the board, as were any significant infection events.</w:t>
      </w:r>
    </w:p>
    <w:p w14:paraId="62353BD7" w14:textId="77777777" w:rsidR="00AF55A0" w:rsidRPr="00A4268A" w:rsidRDefault="00E82C82">
      <w:pPr>
        <w:spacing w:before="240" w:line="276" w:lineRule="auto"/>
        <w:rPr>
          <w:rFonts w:eastAsia="Calibri"/>
        </w:rPr>
      </w:pPr>
      <w:r w:rsidRPr="00A4268A">
        <w:rPr>
          <w:rFonts w:eastAsia="Calibri"/>
        </w:rPr>
        <w:lastRenderedPageBreak/>
        <w:t xml:space="preserve">The governing body ensures the safety of residents and staff through planned infection prevention (IP) and antimicrobial stewardship (AMS) programmes that are appropriate to the size and complexity of the service.  An experienced and trained infection control coordinator leads the programme. </w:t>
      </w:r>
    </w:p>
    <w:p w14:paraId="2F459FD1" w14:textId="77777777" w:rsidR="00AF55A0" w:rsidRPr="00A4268A" w:rsidRDefault="00E82C82">
      <w:pPr>
        <w:spacing w:before="240" w:line="276" w:lineRule="auto"/>
        <w:rPr>
          <w:rFonts w:eastAsia="Calibri"/>
        </w:rPr>
      </w:pPr>
      <w:r w:rsidRPr="00A4268A">
        <w:rPr>
          <w:rFonts w:eastAsia="Calibri"/>
        </w:rPr>
        <w:t>The environment supports both prevention of infections and mitigation of their transmission.  Waste and hazardous substances were well managed.  There were safe and effective laundry services.</w:t>
      </w:r>
    </w:p>
    <w:bookmarkEnd w:id="28"/>
    <w:p w14:paraId="1D10E04E" w14:textId="77777777" w:rsidR="00AF55A0" w:rsidRPr="00A4268A" w:rsidRDefault="00AF55A0">
      <w:pPr>
        <w:spacing w:before="240" w:line="276" w:lineRule="auto"/>
        <w:rPr>
          <w:rFonts w:eastAsia="Calibri"/>
        </w:rPr>
      </w:pPr>
    </w:p>
    <w:p w14:paraId="2B79DFD6" w14:textId="77777777" w:rsidR="00E82C82" w:rsidRDefault="00E82C82"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F55A0" w14:paraId="2D835F63" w14:textId="77777777" w:rsidTr="00A4268A">
        <w:trPr>
          <w:cantSplit/>
        </w:trPr>
        <w:tc>
          <w:tcPr>
            <w:tcW w:w="10206" w:type="dxa"/>
            <w:vAlign w:val="center"/>
          </w:tcPr>
          <w:p w14:paraId="7D8CE3DD" w14:textId="77777777" w:rsidR="00E82C82" w:rsidRPr="00621629" w:rsidRDefault="00E82C82"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10E8E4C" w14:textId="77777777" w:rsidR="00E82C82" w:rsidRPr="00621629" w:rsidRDefault="00E82C82"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675BA92" w14:textId="1F2D7FE7" w:rsidR="00E82C82" w:rsidRPr="00621629" w:rsidRDefault="00E82C82" w:rsidP="00621629">
            <w:pPr>
              <w:spacing w:before="60" w:after="60" w:line="276" w:lineRule="auto"/>
              <w:rPr>
                <w:rFonts w:eastAsia="Calibri"/>
              </w:rPr>
            </w:pPr>
            <w:bookmarkStart w:id="30" w:name="IndicatorDescription3"/>
            <w:bookmarkEnd w:id="30"/>
            <w:r>
              <w:t xml:space="preserve">Subsections applicable to this service </w:t>
            </w:r>
            <w:r w:rsidR="00276B23">
              <w:t xml:space="preserve">are </w:t>
            </w:r>
            <w:r>
              <w:t>fully attained.</w:t>
            </w:r>
          </w:p>
        </w:tc>
      </w:tr>
    </w:tbl>
    <w:p w14:paraId="23EF2578" w14:textId="77777777" w:rsidR="00E82C82" w:rsidRDefault="00E82C82">
      <w:pPr>
        <w:spacing w:before="240" w:line="276" w:lineRule="auto"/>
        <w:rPr>
          <w:rFonts w:eastAsia="Calibri"/>
        </w:rPr>
      </w:pPr>
      <w:bookmarkStart w:id="31" w:name="InfectionPreventionAndControl"/>
      <w:r w:rsidRPr="00A4268A">
        <w:rPr>
          <w:rFonts w:eastAsia="Calibri"/>
        </w:rPr>
        <w:t>The service is a restraint-free environment. This is supported by the governing body and policies and procedures. There were no residents using restraint at the time of audit. A comprehensive assessment, approval, and monitoring process, with regular reviews, is in place should restraint use be required in the future.</w:t>
      </w:r>
    </w:p>
    <w:p w14:paraId="287D3188" w14:textId="77777777" w:rsidR="00AF55A0" w:rsidRPr="00A4268A" w:rsidRDefault="00E82C82">
      <w:pPr>
        <w:spacing w:before="240" w:line="276" w:lineRule="auto"/>
        <w:rPr>
          <w:rFonts w:eastAsia="Calibri"/>
        </w:rPr>
      </w:pPr>
      <w:r w:rsidRPr="00A4268A">
        <w:rPr>
          <w:rFonts w:eastAsia="Calibri"/>
        </w:rPr>
        <w:t>A suitably qualified restraint coordinator manages the process. Staff interviewed demonstrated a sound knowledge and understanding of providing the least restrictive practice, de-escalation techniques, alternative interventions to restraint, and restraint monitoring.</w:t>
      </w:r>
    </w:p>
    <w:bookmarkEnd w:id="31"/>
    <w:p w14:paraId="65E1E613" w14:textId="77777777" w:rsidR="00AF55A0" w:rsidRPr="00A4268A" w:rsidRDefault="00AF55A0">
      <w:pPr>
        <w:spacing w:before="240" w:line="276" w:lineRule="auto"/>
        <w:rPr>
          <w:rFonts w:eastAsia="Calibri"/>
        </w:rPr>
      </w:pPr>
    </w:p>
    <w:p w14:paraId="26446588" w14:textId="77777777" w:rsidR="00E82C82" w:rsidRDefault="00E82C82" w:rsidP="000E6E02">
      <w:pPr>
        <w:pStyle w:val="Heading2"/>
        <w:spacing w:before="0"/>
        <w:rPr>
          <w:rFonts w:cs="Arial"/>
        </w:rPr>
      </w:pPr>
      <w:r>
        <w:rPr>
          <w:rFonts w:cs="Arial"/>
        </w:rPr>
        <w:lastRenderedPageBreak/>
        <w:t>Summary of attainment</w:t>
      </w:r>
    </w:p>
    <w:p w14:paraId="28F7EB33" w14:textId="77777777" w:rsidR="00E82C82" w:rsidRDefault="00E82C82">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AF55A0" w14:paraId="6A547B2E" w14:textId="77777777">
        <w:tc>
          <w:tcPr>
            <w:tcW w:w="1384" w:type="dxa"/>
            <w:vAlign w:val="center"/>
          </w:tcPr>
          <w:p w14:paraId="4A06C05E" w14:textId="77777777" w:rsidR="00E82C82" w:rsidRDefault="00E82C82">
            <w:pPr>
              <w:keepNext/>
              <w:spacing w:before="60" w:after="60"/>
              <w:rPr>
                <w:rFonts w:cs="Arial"/>
                <w:b/>
                <w:sz w:val="20"/>
                <w:szCs w:val="20"/>
              </w:rPr>
            </w:pPr>
            <w:r>
              <w:rPr>
                <w:rFonts w:cs="Arial"/>
                <w:b/>
                <w:sz w:val="20"/>
                <w:szCs w:val="20"/>
              </w:rPr>
              <w:t>Attainment Rating</w:t>
            </w:r>
          </w:p>
        </w:tc>
        <w:tc>
          <w:tcPr>
            <w:tcW w:w="1701" w:type="dxa"/>
            <w:vAlign w:val="center"/>
          </w:tcPr>
          <w:p w14:paraId="000EC2E0" w14:textId="77777777" w:rsidR="00E82C82" w:rsidRDefault="00E82C82">
            <w:pPr>
              <w:keepNext/>
              <w:spacing w:before="60" w:after="60"/>
              <w:jc w:val="center"/>
              <w:rPr>
                <w:rFonts w:cs="Arial"/>
                <w:b/>
                <w:sz w:val="20"/>
                <w:szCs w:val="20"/>
              </w:rPr>
            </w:pPr>
            <w:r>
              <w:rPr>
                <w:rFonts w:cs="Arial"/>
                <w:b/>
                <w:sz w:val="20"/>
                <w:szCs w:val="20"/>
              </w:rPr>
              <w:t>Continuous Improvement</w:t>
            </w:r>
          </w:p>
          <w:p w14:paraId="5156ADFE" w14:textId="77777777" w:rsidR="00E82C82" w:rsidRDefault="00E82C82">
            <w:pPr>
              <w:keepNext/>
              <w:spacing w:before="60" w:after="60"/>
              <w:jc w:val="center"/>
              <w:rPr>
                <w:rFonts w:cs="Arial"/>
                <w:b/>
                <w:sz w:val="20"/>
                <w:szCs w:val="20"/>
              </w:rPr>
            </w:pPr>
            <w:r>
              <w:rPr>
                <w:rFonts w:cs="Arial"/>
                <w:b/>
                <w:sz w:val="20"/>
                <w:szCs w:val="20"/>
              </w:rPr>
              <w:t>(CI)</w:t>
            </w:r>
          </w:p>
        </w:tc>
        <w:tc>
          <w:tcPr>
            <w:tcW w:w="1843" w:type="dxa"/>
            <w:vAlign w:val="center"/>
          </w:tcPr>
          <w:p w14:paraId="055DBFF9" w14:textId="77777777" w:rsidR="00E82C82" w:rsidRDefault="00E82C82">
            <w:pPr>
              <w:keepNext/>
              <w:spacing w:before="60" w:after="60"/>
              <w:jc w:val="center"/>
              <w:rPr>
                <w:rFonts w:cs="Arial"/>
                <w:b/>
                <w:sz w:val="20"/>
                <w:szCs w:val="20"/>
              </w:rPr>
            </w:pPr>
            <w:r>
              <w:rPr>
                <w:rFonts w:cs="Arial"/>
                <w:b/>
                <w:sz w:val="20"/>
                <w:szCs w:val="20"/>
              </w:rPr>
              <w:t>Fully Attained</w:t>
            </w:r>
          </w:p>
          <w:p w14:paraId="789A5446" w14:textId="77777777" w:rsidR="00E82C82" w:rsidRDefault="00E82C82">
            <w:pPr>
              <w:keepNext/>
              <w:spacing w:before="60" w:after="60"/>
              <w:jc w:val="center"/>
              <w:rPr>
                <w:rFonts w:cs="Arial"/>
                <w:b/>
                <w:sz w:val="20"/>
                <w:szCs w:val="20"/>
              </w:rPr>
            </w:pPr>
            <w:r>
              <w:rPr>
                <w:rFonts w:cs="Arial"/>
                <w:b/>
                <w:sz w:val="20"/>
                <w:szCs w:val="20"/>
              </w:rPr>
              <w:t>(FA)</w:t>
            </w:r>
          </w:p>
        </w:tc>
        <w:tc>
          <w:tcPr>
            <w:tcW w:w="1843" w:type="dxa"/>
            <w:vAlign w:val="center"/>
          </w:tcPr>
          <w:p w14:paraId="539FF0B3" w14:textId="77777777" w:rsidR="00E82C82" w:rsidRDefault="00E82C82">
            <w:pPr>
              <w:keepNext/>
              <w:spacing w:before="60" w:after="60"/>
              <w:jc w:val="center"/>
              <w:rPr>
                <w:rFonts w:cs="Arial"/>
                <w:b/>
                <w:sz w:val="20"/>
                <w:szCs w:val="20"/>
              </w:rPr>
            </w:pPr>
            <w:r>
              <w:rPr>
                <w:rFonts w:cs="Arial"/>
                <w:b/>
                <w:sz w:val="20"/>
                <w:szCs w:val="20"/>
              </w:rPr>
              <w:t>Partially Attained Negligible Risk</w:t>
            </w:r>
          </w:p>
          <w:p w14:paraId="39E1D2D4" w14:textId="77777777" w:rsidR="00E82C82" w:rsidRDefault="00E82C82">
            <w:pPr>
              <w:keepNext/>
              <w:spacing w:before="60" w:after="60"/>
              <w:jc w:val="center"/>
              <w:rPr>
                <w:rFonts w:cs="Arial"/>
                <w:b/>
                <w:sz w:val="20"/>
                <w:szCs w:val="20"/>
              </w:rPr>
            </w:pPr>
            <w:r>
              <w:rPr>
                <w:rFonts w:cs="Arial"/>
                <w:b/>
                <w:sz w:val="20"/>
                <w:szCs w:val="20"/>
              </w:rPr>
              <w:t>(PA Negligible)</w:t>
            </w:r>
          </w:p>
        </w:tc>
        <w:tc>
          <w:tcPr>
            <w:tcW w:w="1842" w:type="dxa"/>
            <w:vAlign w:val="center"/>
          </w:tcPr>
          <w:p w14:paraId="2761D3A7" w14:textId="77777777" w:rsidR="00E82C82" w:rsidRDefault="00E82C82">
            <w:pPr>
              <w:keepNext/>
              <w:spacing w:before="60" w:after="60"/>
              <w:jc w:val="center"/>
              <w:rPr>
                <w:rFonts w:cs="Arial"/>
                <w:b/>
                <w:sz w:val="20"/>
                <w:szCs w:val="20"/>
              </w:rPr>
            </w:pPr>
            <w:r>
              <w:rPr>
                <w:rFonts w:cs="Arial"/>
                <w:b/>
                <w:sz w:val="20"/>
                <w:szCs w:val="20"/>
              </w:rPr>
              <w:t>Partially Attained Low Risk</w:t>
            </w:r>
          </w:p>
          <w:p w14:paraId="6F016FD4" w14:textId="77777777" w:rsidR="00E82C82" w:rsidRDefault="00E82C82">
            <w:pPr>
              <w:keepNext/>
              <w:spacing w:before="60" w:after="60"/>
              <w:jc w:val="center"/>
              <w:rPr>
                <w:rFonts w:cs="Arial"/>
                <w:b/>
                <w:sz w:val="20"/>
                <w:szCs w:val="20"/>
              </w:rPr>
            </w:pPr>
            <w:r>
              <w:rPr>
                <w:rFonts w:cs="Arial"/>
                <w:b/>
                <w:sz w:val="20"/>
                <w:szCs w:val="20"/>
              </w:rPr>
              <w:t>(PA Low)</w:t>
            </w:r>
          </w:p>
        </w:tc>
        <w:tc>
          <w:tcPr>
            <w:tcW w:w="1843" w:type="dxa"/>
            <w:vAlign w:val="center"/>
          </w:tcPr>
          <w:p w14:paraId="252C00C4" w14:textId="77777777" w:rsidR="00E82C82" w:rsidRDefault="00E82C82">
            <w:pPr>
              <w:keepNext/>
              <w:spacing w:before="60" w:after="60"/>
              <w:jc w:val="center"/>
              <w:rPr>
                <w:rFonts w:cs="Arial"/>
                <w:b/>
                <w:sz w:val="20"/>
                <w:szCs w:val="20"/>
              </w:rPr>
            </w:pPr>
            <w:r>
              <w:rPr>
                <w:rFonts w:cs="Arial"/>
                <w:b/>
                <w:sz w:val="20"/>
                <w:szCs w:val="20"/>
              </w:rPr>
              <w:t>Partially Attained Moderate Risk</w:t>
            </w:r>
          </w:p>
          <w:p w14:paraId="242636A5" w14:textId="77777777" w:rsidR="00E82C82" w:rsidRDefault="00E82C82">
            <w:pPr>
              <w:keepNext/>
              <w:spacing w:before="60" w:after="60"/>
              <w:jc w:val="center"/>
              <w:rPr>
                <w:rFonts w:cs="Arial"/>
                <w:b/>
                <w:sz w:val="20"/>
                <w:szCs w:val="20"/>
              </w:rPr>
            </w:pPr>
            <w:r>
              <w:rPr>
                <w:rFonts w:cs="Arial"/>
                <w:b/>
                <w:sz w:val="20"/>
                <w:szCs w:val="20"/>
              </w:rPr>
              <w:t>(PA Moderate)</w:t>
            </w:r>
          </w:p>
        </w:tc>
        <w:tc>
          <w:tcPr>
            <w:tcW w:w="1843" w:type="dxa"/>
            <w:vAlign w:val="center"/>
          </w:tcPr>
          <w:p w14:paraId="690B30CE" w14:textId="77777777" w:rsidR="00E82C82" w:rsidRDefault="00E82C82">
            <w:pPr>
              <w:keepNext/>
              <w:spacing w:before="60" w:after="60"/>
              <w:jc w:val="center"/>
              <w:rPr>
                <w:rFonts w:cs="Arial"/>
                <w:b/>
                <w:sz w:val="20"/>
                <w:szCs w:val="20"/>
              </w:rPr>
            </w:pPr>
            <w:r>
              <w:rPr>
                <w:rFonts w:cs="Arial"/>
                <w:b/>
                <w:sz w:val="20"/>
                <w:szCs w:val="20"/>
              </w:rPr>
              <w:t>Partially Attained High Risk</w:t>
            </w:r>
          </w:p>
          <w:p w14:paraId="6D5C3902" w14:textId="77777777" w:rsidR="00E82C82" w:rsidRDefault="00E82C82">
            <w:pPr>
              <w:keepNext/>
              <w:spacing w:before="60" w:after="60"/>
              <w:jc w:val="center"/>
              <w:rPr>
                <w:rFonts w:cs="Arial"/>
                <w:b/>
                <w:sz w:val="20"/>
                <w:szCs w:val="20"/>
              </w:rPr>
            </w:pPr>
            <w:r>
              <w:rPr>
                <w:rFonts w:cs="Arial"/>
                <w:b/>
                <w:sz w:val="20"/>
                <w:szCs w:val="20"/>
              </w:rPr>
              <w:t>(PA High)</w:t>
            </w:r>
          </w:p>
        </w:tc>
        <w:tc>
          <w:tcPr>
            <w:tcW w:w="1843" w:type="dxa"/>
            <w:vAlign w:val="center"/>
          </w:tcPr>
          <w:p w14:paraId="0603EA55" w14:textId="77777777" w:rsidR="00E82C82" w:rsidRDefault="00E82C82">
            <w:pPr>
              <w:keepNext/>
              <w:spacing w:before="60" w:after="60"/>
              <w:jc w:val="center"/>
              <w:rPr>
                <w:rFonts w:cs="Arial"/>
                <w:b/>
                <w:sz w:val="20"/>
                <w:szCs w:val="20"/>
              </w:rPr>
            </w:pPr>
            <w:r>
              <w:rPr>
                <w:rFonts w:cs="Arial"/>
                <w:b/>
                <w:sz w:val="20"/>
                <w:szCs w:val="20"/>
              </w:rPr>
              <w:t>Partially Attained Critical Risk</w:t>
            </w:r>
          </w:p>
          <w:p w14:paraId="5F4161DE" w14:textId="77777777" w:rsidR="00E82C82" w:rsidRDefault="00E82C82">
            <w:pPr>
              <w:keepNext/>
              <w:spacing w:before="60" w:after="60"/>
              <w:jc w:val="center"/>
              <w:rPr>
                <w:rFonts w:cs="Arial"/>
                <w:b/>
                <w:sz w:val="20"/>
                <w:szCs w:val="20"/>
              </w:rPr>
            </w:pPr>
            <w:r>
              <w:rPr>
                <w:rFonts w:cs="Arial"/>
                <w:b/>
                <w:sz w:val="20"/>
                <w:szCs w:val="20"/>
              </w:rPr>
              <w:t>(PA Critical)</w:t>
            </w:r>
          </w:p>
        </w:tc>
      </w:tr>
      <w:tr w:rsidR="00AF55A0" w14:paraId="71C0A317" w14:textId="77777777">
        <w:tc>
          <w:tcPr>
            <w:tcW w:w="1384" w:type="dxa"/>
            <w:vAlign w:val="center"/>
          </w:tcPr>
          <w:p w14:paraId="46068561" w14:textId="77777777" w:rsidR="00E82C82" w:rsidRDefault="00E82C82">
            <w:pPr>
              <w:keepNext/>
              <w:spacing w:before="60" w:after="60"/>
              <w:rPr>
                <w:rFonts w:cs="Arial"/>
                <w:b/>
                <w:sz w:val="20"/>
                <w:szCs w:val="20"/>
              </w:rPr>
            </w:pPr>
            <w:r>
              <w:rPr>
                <w:rFonts w:cs="Arial"/>
                <w:b/>
                <w:sz w:val="20"/>
                <w:szCs w:val="20"/>
              </w:rPr>
              <w:t>Subsection</w:t>
            </w:r>
          </w:p>
        </w:tc>
        <w:tc>
          <w:tcPr>
            <w:tcW w:w="1701" w:type="dxa"/>
            <w:vAlign w:val="center"/>
          </w:tcPr>
          <w:p w14:paraId="0337A2C6" w14:textId="77777777" w:rsidR="00E82C82" w:rsidRDefault="00E82C82"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86C32D1" w14:textId="77777777" w:rsidR="00E82C82" w:rsidRDefault="00E82C82"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39E627D6" w14:textId="77777777" w:rsidR="00E82C82" w:rsidRDefault="00E82C82">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D931825" w14:textId="77777777" w:rsidR="00E82C82" w:rsidRDefault="00E82C82"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1F122513" w14:textId="77777777" w:rsidR="00E82C82" w:rsidRDefault="00E82C82"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6251762" w14:textId="77777777" w:rsidR="00E82C82" w:rsidRDefault="00E82C82">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7FEB709" w14:textId="77777777" w:rsidR="00E82C82" w:rsidRDefault="00E82C82">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AF55A0" w14:paraId="15284982" w14:textId="77777777">
        <w:tc>
          <w:tcPr>
            <w:tcW w:w="1384" w:type="dxa"/>
            <w:vAlign w:val="center"/>
          </w:tcPr>
          <w:p w14:paraId="063DACDC" w14:textId="77777777" w:rsidR="00E82C82" w:rsidRDefault="00E82C82">
            <w:pPr>
              <w:keepNext/>
              <w:spacing w:before="60" w:after="60"/>
              <w:rPr>
                <w:rFonts w:cs="Arial"/>
                <w:b/>
                <w:sz w:val="20"/>
                <w:szCs w:val="20"/>
              </w:rPr>
            </w:pPr>
            <w:r>
              <w:rPr>
                <w:rFonts w:cs="Arial"/>
                <w:b/>
                <w:sz w:val="20"/>
                <w:szCs w:val="20"/>
              </w:rPr>
              <w:t>Criteria</w:t>
            </w:r>
          </w:p>
        </w:tc>
        <w:tc>
          <w:tcPr>
            <w:tcW w:w="1701" w:type="dxa"/>
            <w:vAlign w:val="center"/>
          </w:tcPr>
          <w:p w14:paraId="071D1F02" w14:textId="77777777" w:rsidR="00E82C82" w:rsidRDefault="00E82C82">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33B5437" w14:textId="77777777" w:rsidR="00E82C82" w:rsidRDefault="00E82C82"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161A7635" w14:textId="77777777" w:rsidR="00E82C82" w:rsidRDefault="00E82C82">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03599E3" w14:textId="77777777" w:rsidR="00E82C82" w:rsidRDefault="00E82C82"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735D60A5" w14:textId="77777777" w:rsidR="00E82C82" w:rsidRDefault="00E82C82"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0518935" w14:textId="77777777" w:rsidR="00E82C82" w:rsidRDefault="00E82C82">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309AC6B" w14:textId="77777777" w:rsidR="00E82C82" w:rsidRDefault="00E82C82">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598C263" w14:textId="77777777" w:rsidR="00E82C82" w:rsidRDefault="00E82C82">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AF55A0" w14:paraId="42C1120B" w14:textId="77777777">
        <w:tc>
          <w:tcPr>
            <w:tcW w:w="1384" w:type="dxa"/>
            <w:vAlign w:val="center"/>
          </w:tcPr>
          <w:p w14:paraId="106638B8" w14:textId="77777777" w:rsidR="00E82C82" w:rsidRDefault="00E82C82">
            <w:pPr>
              <w:keepNext/>
              <w:spacing w:before="60" w:after="60"/>
              <w:rPr>
                <w:rFonts w:cs="Arial"/>
                <w:b/>
                <w:sz w:val="20"/>
                <w:szCs w:val="20"/>
              </w:rPr>
            </w:pPr>
            <w:r>
              <w:rPr>
                <w:rFonts w:cs="Arial"/>
                <w:b/>
                <w:sz w:val="20"/>
                <w:szCs w:val="20"/>
              </w:rPr>
              <w:t>Attainment Rating</w:t>
            </w:r>
          </w:p>
        </w:tc>
        <w:tc>
          <w:tcPr>
            <w:tcW w:w="1701" w:type="dxa"/>
            <w:vAlign w:val="center"/>
          </w:tcPr>
          <w:p w14:paraId="3C9A9BC6" w14:textId="77777777" w:rsidR="00E82C82" w:rsidRDefault="00E82C82">
            <w:pPr>
              <w:keepNext/>
              <w:spacing w:before="60" w:after="60"/>
              <w:jc w:val="center"/>
              <w:rPr>
                <w:rFonts w:cs="Arial"/>
                <w:b/>
                <w:sz w:val="20"/>
                <w:szCs w:val="20"/>
              </w:rPr>
            </w:pPr>
            <w:r>
              <w:rPr>
                <w:rFonts w:cs="Arial"/>
                <w:b/>
                <w:sz w:val="20"/>
                <w:szCs w:val="20"/>
              </w:rPr>
              <w:t>Unattained Negligible Risk</w:t>
            </w:r>
          </w:p>
          <w:p w14:paraId="1256C5DC" w14:textId="77777777" w:rsidR="00E82C82" w:rsidRDefault="00E82C82">
            <w:pPr>
              <w:keepNext/>
              <w:spacing w:before="60" w:after="60"/>
              <w:jc w:val="center"/>
              <w:rPr>
                <w:rFonts w:cs="Arial"/>
                <w:b/>
                <w:sz w:val="20"/>
                <w:szCs w:val="20"/>
              </w:rPr>
            </w:pPr>
            <w:r>
              <w:rPr>
                <w:rFonts w:cs="Arial"/>
                <w:b/>
                <w:sz w:val="20"/>
                <w:szCs w:val="20"/>
              </w:rPr>
              <w:t>(UA Negligible)</w:t>
            </w:r>
          </w:p>
        </w:tc>
        <w:tc>
          <w:tcPr>
            <w:tcW w:w="1843" w:type="dxa"/>
            <w:vAlign w:val="center"/>
          </w:tcPr>
          <w:p w14:paraId="25F154FA" w14:textId="77777777" w:rsidR="00E82C82" w:rsidRDefault="00E82C82">
            <w:pPr>
              <w:keepNext/>
              <w:spacing w:before="60" w:after="60"/>
              <w:jc w:val="center"/>
              <w:rPr>
                <w:rFonts w:cs="Arial"/>
                <w:b/>
                <w:sz w:val="20"/>
                <w:szCs w:val="20"/>
              </w:rPr>
            </w:pPr>
            <w:r>
              <w:rPr>
                <w:rFonts w:cs="Arial"/>
                <w:b/>
                <w:sz w:val="20"/>
                <w:szCs w:val="20"/>
              </w:rPr>
              <w:t>Unattained Low Risk</w:t>
            </w:r>
          </w:p>
          <w:p w14:paraId="3655BC4F" w14:textId="77777777" w:rsidR="00E82C82" w:rsidRDefault="00E82C82">
            <w:pPr>
              <w:keepNext/>
              <w:spacing w:before="60" w:after="60"/>
              <w:jc w:val="center"/>
              <w:rPr>
                <w:rFonts w:cs="Arial"/>
                <w:b/>
                <w:sz w:val="20"/>
                <w:szCs w:val="20"/>
              </w:rPr>
            </w:pPr>
            <w:r>
              <w:rPr>
                <w:rFonts w:cs="Arial"/>
                <w:b/>
                <w:sz w:val="20"/>
                <w:szCs w:val="20"/>
              </w:rPr>
              <w:t>(UA Low)</w:t>
            </w:r>
          </w:p>
        </w:tc>
        <w:tc>
          <w:tcPr>
            <w:tcW w:w="1843" w:type="dxa"/>
            <w:vAlign w:val="center"/>
          </w:tcPr>
          <w:p w14:paraId="1225F31A" w14:textId="77777777" w:rsidR="00E82C82" w:rsidRDefault="00E82C82">
            <w:pPr>
              <w:keepNext/>
              <w:spacing w:before="60" w:after="60"/>
              <w:jc w:val="center"/>
              <w:rPr>
                <w:rFonts w:cs="Arial"/>
                <w:b/>
                <w:sz w:val="20"/>
                <w:szCs w:val="20"/>
              </w:rPr>
            </w:pPr>
            <w:r>
              <w:rPr>
                <w:rFonts w:cs="Arial"/>
                <w:b/>
                <w:sz w:val="20"/>
                <w:szCs w:val="20"/>
              </w:rPr>
              <w:t>Unattained Moderate Risk</w:t>
            </w:r>
          </w:p>
          <w:p w14:paraId="54EBDC19" w14:textId="77777777" w:rsidR="00E82C82" w:rsidRDefault="00E82C82">
            <w:pPr>
              <w:keepNext/>
              <w:spacing w:before="60" w:after="60"/>
              <w:jc w:val="center"/>
              <w:rPr>
                <w:rFonts w:cs="Arial"/>
                <w:b/>
                <w:sz w:val="20"/>
                <w:szCs w:val="20"/>
              </w:rPr>
            </w:pPr>
            <w:r>
              <w:rPr>
                <w:rFonts w:cs="Arial"/>
                <w:b/>
                <w:sz w:val="20"/>
                <w:szCs w:val="20"/>
              </w:rPr>
              <w:t>(UA Moderate)</w:t>
            </w:r>
          </w:p>
        </w:tc>
        <w:tc>
          <w:tcPr>
            <w:tcW w:w="1842" w:type="dxa"/>
            <w:vAlign w:val="center"/>
          </w:tcPr>
          <w:p w14:paraId="77679900" w14:textId="77777777" w:rsidR="00E82C82" w:rsidRDefault="00E82C82">
            <w:pPr>
              <w:keepNext/>
              <w:spacing w:before="60" w:after="60"/>
              <w:jc w:val="center"/>
              <w:rPr>
                <w:rFonts w:cs="Arial"/>
                <w:b/>
                <w:sz w:val="20"/>
                <w:szCs w:val="20"/>
              </w:rPr>
            </w:pPr>
            <w:r>
              <w:rPr>
                <w:rFonts w:cs="Arial"/>
                <w:b/>
                <w:sz w:val="20"/>
                <w:szCs w:val="20"/>
              </w:rPr>
              <w:t>Unattained High Risk</w:t>
            </w:r>
          </w:p>
          <w:p w14:paraId="5C6580BF" w14:textId="77777777" w:rsidR="00E82C82" w:rsidRDefault="00E82C82">
            <w:pPr>
              <w:keepNext/>
              <w:spacing w:before="60" w:after="60"/>
              <w:jc w:val="center"/>
              <w:rPr>
                <w:rFonts w:cs="Arial"/>
                <w:b/>
                <w:sz w:val="20"/>
                <w:szCs w:val="20"/>
              </w:rPr>
            </w:pPr>
            <w:r>
              <w:rPr>
                <w:rFonts w:cs="Arial"/>
                <w:b/>
                <w:sz w:val="20"/>
                <w:szCs w:val="20"/>
              </w:rPr>
              <w:t>(UA High)</w:t>
            </w:r>
          </w:p>
        </w:tc>
        <w:tc>
          <w:tcPr>
            <w:tcW w:w="1843" w:type="dxa"/>
            <w:vAlign w:val="center"/>
          </w:tcPr>
          <w:p w14:paraId="3D090105" w14:textId="77777777" w:rsidR="00E82C82" w:rsidRDefault="00E82C82">
            <w:pPr>
              <w:keepNext/>
              <w:spacing w:before="60" w:after="60"/>
              <w:jc w:val="center"/>
              <w:rPr>
                <w:rFonts w:cs="Arial"/>
                <w:b/>
                <w:sz w:val="20"/>
                <w:szCs w:val="20"/>
              </w:rPr>
            </w:pPr>
            <w:r>
              <w:rPr>
                <w:rFonts w:cs="Arial"/>
                <w:b/>
                <w:sz w:val="20"/>
                <w:szCs w:val="20"/>
              </w:rPr>
              <w:t>Unattained Critical Risk</w:t>
            </w:r>
          </w:p>
          <w:p w14:paraId="1D78EA4B" w14:textId="77777777" w:rsidR="00E82C82" w:rsidRDefault="00E82C82">
            <w:pPr>
              <w:keepNext/>
              <w:spacing w:before="60" w:after="60"/>
              <w:jc w:val="center"/>
              <w:rPr>
                <w:rFonts w:cs="Arial"/>
                <w:b/>
                <w:sz w:val="20"/>
                <w:szCs w:val="20"/>
              </w:rPr>
            </w:pPr>
            <w:r>
              <w:rPr>
                <w:rFonts w:cs="Arial"/>
                <w:b/>
                <w:sz w:val="20"/>
                <w:szCs w:val="20"/>
              </w:rPr>
              <w:t>(UA Critical)</w:t>
            </w:r>
          </w:p>
        </w:tc>
      </w:tr>
      <w:tr w:rsidR="00AF55A0" w14:paraId="60A291BC" w14:textId="77777777">
        <w:tc>
          <w:tcPr>
            <w:tcW w:w="1384" w:type="dxa"/>
            <w:vAlign w:val="center"/>
          </w:tcPr>
          <w:p w14:paraId="03DDFED3" w14:textId="77777777" w:rsidR="00E82C82" w:rsidRDefault="00E82C82">
            <w:pPr>
              <w:keepNext/>
              <w:spacing w:before="60" w:after="60"/>
              <w:rPr>
                <w:rFonts w:cs="Arial"/>
                <w:b/>
                <w:sz w:val="20"/>
                <w:szCs w:val="20"/>
              </w:rPr>
            </w:pPr>
            <w:r>
              <w:rPr>
                <w:rFonts w:cs="Arial"/>
                <w:b/>
                <w:sz w:val="20"/>
                <w:szCs w:val="20"/>
              </w:rPr>
              <w:t>Subsection</w:t>
            </w:r>
          </w:p>
        </w:tc>
        <w:tc>
          <w:tcPr>
            <w:tcW w:w="1701" w:type="dxa"/>
            <w:vAlign w:val="center"/>
          </w:tcPr>
          <w:p w14:paraId="76859B6C" w14:textId="77777777" w:rsidR="00E82C82" w:rsidRDefault="00E82C82">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EA875F7" w14:textId="77777777" w:rsidR="00E82C82" w:rsidRDefault="00E82C82">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FC28F20" w14:textId="77777777" w:rsidR="00E82C82" w:rsidRDefault="00E82C82">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5F984FD" w14:textId="77777777" w:rsidR="00E82C82" w:rsidRDefault="00E82C82">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506F8087" w14:textId="77777777" w:rsidR="00E82C82" w:rsidRDefault="00E82C82">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AF55A0" w14:paraId="475EFF6F" w14:textId="77777777">
        <w:tc>
          <w:tcPr>
            <w:tcW w:w="1384" w:type="dxa"/>
            <w:vAlign w:val="center"/>
          </w:tcPr>
          <w:p w14:paraId="57BDB934" w14:textId="77777777" w:rsidR="00E82C82" w:rsidRDefault="00E82C82">
            <w:pPr>
              <w:spacing w:before="60" w:after="60"/>
              <w:rPr>
                <w:rFonts w:cs="Arial"/>
                <w:b/>
                <w:sz w:val="20"/>
                <w:szCs w:val="20"/>
              </w:rPr>
            </w:pPr>
            <w:r>
              <w:rPr>
                <w:rFonts w:cs="Arial"/>
                <w:b/>
                <w:sz w:val="20"/>
                <w:szCs w:val="20"/>
              </w:rPr>
              <w:t>Criteria</w:t>
            </w:r>
          </w:p>
        </w:tc>
        <w:tc>
          <w:tcPr>
            <w:tcW w:w="1701" w:type="dxa"/>
            <w:vAlign w:val="center"/>
          </w:tcPr>
          <w:p w14:paraId="2476ECEA" w14:textId="77777777" w:rsidR="00E82C82" w:rsidRDefault="00E82C82">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16B8B81" w14:textId="77777777" w:rsidR="00E82C82" w:rsidRDefault="00E82C82">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5D373B6" w14:textId="77777777" w:rsidR="00E82C82" w:rsidRDefault="00E82C82">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C0AC829" w14:textId="77777777" w:rsidR="00E82C82" w:rsidRDefault="00E82C82">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4ADB754" w14:textId="77777777" w:rsidR="00E82C82" w:rsidRDefault="00E82C82">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27A3126" w14:textId="77777777" w:rsidR="00E82C82" w:rsidRDefault="00E82C82">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4BC40E4" w14:textId="77777777" w:rsidR="00E82C82" w:rsidRDefault="00E82C82">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05124C9D" w14:textId="77777777" w:rsidR="00E82C82" w:rsidRDefault="00E82C82">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A11D816" w14:textId="77777777" w:rsidR="00E82C82" w:rsidRDefault="00E82C82">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3"/>
        <w:gridCol w:w="1358"/>
        <w:gridCol w:w="6247"/>
      </w:tblGrid>
      <w:tr w:rsidR="00AF55A0" w14:paraId="0B44CF66" w14:textId="77777777">
        <w:tc>
          <w:tcPr>
            <w:tcW w:w="0" w:type="auto"/>
          </w:tcPr>
          <w:p w14:paraId="099B8E8D" w14:textId="77777777" w:rsidR="00E82C82" w:rsidRPr="00BE00C7" w:rsidRDefault="00E82C82"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FB8606F" w14:textId="77777777" w:rsidR="00E82C82" w:rsidRPr="00BE00C7" w:rsidRDefault="00E82C82"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F58586B" w14:textId="77777777" w:rsidR="00E82C82" w:rsidRPr="00BE00C7" w:rsidRDefault="00E82C82" w:rsidP="00BE00C7">
            <w:pPr>
              <w:pStyle w:val="OutcomeDescription"/>
              <w:spacing w:before="120" w:after="120"/>
              <w:rPr>
                <w:rFonts w:cs="Arial"/>
                <w:b/>
                <w:lang w:eastAsia="en-NZ"/>
              </w:rPr>
            </w:pPr>
            <w:r w:rsidRPr="00BE00C7">
              <w:rPr>
                <w:rFonts w:cs="Arial"/>
                <w:b/>
                <w:lang w:eastAsia="en-NZ"/>
              </w:rPr>
              <w:t>Audit Evidence</w:t>
            </w:r>
          </w:p>
        </w:tc>
      </w:tr>
      <w:tr w:rsidR="00AF55A0" w14:paraId="3ED9DAC0" w14:textId="77777777">
        <w:tc>
          <w:tcPr>
            <w:tcW w:w="0" w:type="auto"/>
          </w:tcPr>
          <w:p w14:paraId="69D53D51" w14:textId="77777777" w:rsidR="00E82C82" w:rsidRPr="00BE00C7" w:rsidRDefault="00E82C82" w:rsidP="00BE00C7">
            <w:pPr>
              <w:pStyle w:val="OutcomeDescription"/>
              <w:spacing w:before="120" w:after="120"/>
              <w:rPr>
                <w:rFonts w:cs="Arial"/>
                <w:lang w:eastAsia="en-NZ"/>
              </w:rPr>
            </w:pPr>
            <w:r w:rsidRPr="00BE00C7">
              <w:rPr>
                <w:rFonts w:cs="Arial"/>
                <w:lang w:eastAsia="en-NZ"/>
              </w:rPr>
              <w:t>Subsection 1.1: Pae ora healthy futures</w:t>
            </w:r>
          </w:p>
          <w:p w14:paraId="349E2E48" w14:textId="77777777" w:rsidR="00E82C82" w:rsidRPr="00BE00C7" w:rsidRDefault="00E82C82"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362628A" w14:textId="77777777" w:rsidR="00E82C82" w:rsidRPr="00BE00C7" w:rsidRDefault="00E82C82" w:rsidP="00BE00C7">
            <w:pPr>
              <w:pStyle w:val="OutcomeDescription"/>
              <w:spacing w:before="120" w:after="120"/>
              <w:rPr>
                <w:rFonts w:cs="Arial"/>
                <w:lang w:eastAsia="en-NZ"/>
              </w:rPr>
            </w:pPr>
          </w:p>
        </w:tc>
        <w:tc>
          <w:tcPr>
            <w:tcW w:w="0" w:type="auto"/>
          </w:tcPr>
          <w:p w14:paraId="606B0E90" w14:textId="77777777" w:rsidR="00E82C82" w:rsidRPr="00BE00C7" w:rsidRDefault="00E82C82" w:rsidP="00BE00C7">
            <w:pPr>
              <w:pStyle w:val="OutcomeDescription"/>
              <w:spacing w:before="120" w:after="120"/>
              <w:rPr>
                <w:rFonts w:cs="Arial"/>
                <w:lang w:eastAsia="en-NZ"/>
              </w:rPr>
            </w:pPr>
            <w:r w:rsidRPr="00BE00C7">
              <w:rPr>
                <w:rFonts w:cs="Arial"/>
                <w:lang w:eastAsia="en-NZ"/>
              </w:rPr>
              <w:t>FA</w:t>
            </w:r>
          </w:p>
        </w:tc>
        <w:tc>
          <w:tcPr>
            <w:tcW w:w="0" w:type="auto"/>
          </w:tcPr>
          <w:p w14:paraId="061AA0A1" w14:textId="77777777" w:rsidR="00E82C82" w:rsidRPr="00BE00C7" w:rsidRDefault="00E82C82" w:rsidP="00BE00C7">
            <w:pPr>
              <w:pStyle w:val="OutcomeDescription"/>
              <w:spacing w:before="120" w:after="120"/>
              <w:rPr>
                <w:rFonts w:cs="Arial"/>
                <w:lang w:eastAsia="en-NZ"/>
              </w:rPr>
            </w:pPr>
            <w:r w:rsidRPr="00BE00C7">
              <w:rPr>
                <w:rFonts w:cs="Arial"/>
                <w:lang w:eastAsia="en-NZ"/>
              </w:rPr>
              <w:t>Heritage Lifecare Limited (HLL) had a Māori Health Plan which guides care delivery for Māori using Te Whare Tapa Whā model, and by ensuring mana motuhake (self-determination) is respected. The plan has been developed with input from cultural advisers and can be used for residents who identify as Māori. A resident of Māori heritage was happy with the support provided.</w:t>
            </w:r>
          </w:p>
          <w:p w14:paraId="4690ECB2" w14:textId="77777777" w:rsidR="00E82C82" w:rsidRPr="00BE00C7" w:rsidRDefault="00E82C82" w:rsidP="00BE00C7">
            <w:pPr>
              <w:pStyle w:val="OutcomeDescription"/>
              <w:spacing w:before="120" w:after="120"/>
              <w:rPr>
                <w:rFonts w:cs="Arial"/>
                <w:lang w:eastAsia="en-NZ"/>
              </w:rPr>
            </w:pPr>
            <w:r w:rsidRPr="00BE00C7">
              <w:rPr>
                <w:rFonts w:cs="Arial"/>
                <w:lang w:eastAsia="en-NZ"/>
              </w:rPr>
              <w:t>Input from Māori is supported through the Māori Network Komiti, a group of Māori employees. The Komiti has a mandate to further assist the organisation in relation to its response to the Ngā Paerewa Health and Disability Services Standard NZ 8134:2021, and its Te Tiriti o Waitangi obligations. The Māori Network Komiti has a kaupapa Māori structure and involves people from the clinical leadership group, clinical service managers, site managers, registered nurses (RNs), and other care workers. The group provi</w:t>
            </w:r>
            <w:r w:rsidRPr="00BE00C7">
              <w:rPr>
                <w:rFonts w:cs="Arial"/>
                <w:lang w:eastAsia="en-NZ"/>
              </w:rPr>
              <w:t>des information through the clinical governance structure (the clinical advisory group) to the board. The service can access support through Te Whatu Ora – Health New Zealand Waitaha Canterbury through local Māori health providers and through its local iwi.</w:t>
            </w:r>
          </w:p>
          <w:p w14:paraId="40D548F2"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The staff recruitment policy is clear that recruitment will be non-discriminatory, and that cultural fit is one aspect of appointing staff. </w:t>
            </w:r>
            <w:r w:rsidRPr="00BE00C7">
              <w:rPr>
                <w:rFonts w:cs="Arial"/>
                <w:lang w:eastAsia="en-NZ"/>
              </w:rPr>
              <w:lastRenderedPageBreak/>
              <w:t xml:space="preserve">The service supports increasing Māori capacity by employing more Māori staff members across differing levels of the organisation, and this is outlined in its strategic plan and in policy documentation. Ethnicity data is gathered when staff are employed, and this data is analysed at a management level. Staff who identified as Māori are employed at all levels of the organisation, including in leadership and training roles, including at Coldstream. </w:t>
            </w:r>
          </w:p>
          <w:p w14:paraId="515C556A" w14:textId="77777777" w:rsidR="00E82C82" w:rsidRPr="00BE00C7" w:rsidRDefault="00E82C82" w:rsidP="00BE00C7">
            <w:pPr>
              <w:pStyle w:val="OutcomeDescription"/>
              <w:spacing w:before="120" w:after="120"/>
              <w:rPr>
                <w:rFonts w:cs="Arial"/>
                <w:lang w:eastAsia="en-NZ"/>
              </w:rPr>
            </w:pPr>
            <w:r w:rsidRPr="00BE00C7">
              <w:rPr>
                <w:rFonts w:cs="Arial"/>
                <w:lang w:eastAsia="en-NZ"/>
              </w:rPr>
              <w:t>Training on Te Tiriti o Waitangi is part of the HLL training programme, and this is implemented in the service. The training is geared to assist staff to understand the key elements of service provision for Māori and tāngata whaikaha, including mana motuhake, and providing equity in care services. Staff reported, and documentation confirmed, they have attended Te Tiriti o Waitangi and cultural safety training.</w:t>
            </w:r>
          </w:p>
          <w:p w14:paraId="2E42418F" w14:textId="77777777" w:rsidR="00E82C82" w:rsidRPr="00BE00C7" w:rsidRDefault="00E82C82" w:rsidP="00BE00C7">
            <w:pPr>
              <w:pStyle w:val="OutcomeDescription"/>
              <w:spacing w:before="120" w:after="120"/>
              <w:rPr>
                <w:rFonts w:cs="Arial"/>
                <w:lang w:eastAsia="en-NZ"/>
              </w:rPr>
            </w:pPr>
          </w:p>
        </w:tc>
      </w:tr>
      <w:tr w:rsidR="00AF55A0" w14:paraId="5E8EE34E" w14:textId="77777777">
        <w:tc>
          <w:tcPr>
            <w:tcW w:w="0" w:type="auto"/>
          </w:tcPr>
          <w:p w14:paraId="46A9BC62" w14:textId="77777777" w:rsidR="00E82C82" w:rsidRPr="00BE00C7" w:rsidRDefault="00E82C82"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78ACE420" w14:textId="77777777" w:rsidR="00E82C82" w:rsidRPr="00BE00C7" w:rsidRDefault="00E82C82"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BB88861" w14:textId="77777777" w:rsidR="00E82C82" w:rsidRPr="00BE00C7" w:rsidRDefault="00E82C82" w:rsidP="00BE00C7">
            <w:pPr>
              <w:pStyle w:val="OutcomeDescription"/>
              <w:spacing w:before="120" w:after="120"/>
              <w:rPr>
                <w:rFonts w:cs="Arial"/>
                <w:lang w:eastAsia="en-NZ"/>
              </w:rPr>
            </w:pPr>
          </w:p>
        </w:tc>
        <w:tc>
          <w:tcPr>
            <w:tcW w:w="0" w:type="auto"/>
          </w:tcPr>
          <w:p w14:paraId="1154A252" w14:textId="77777777" w:rsidR="00E82C82" w:rsidRPr="00BE00C7" w:rsidRDefault="00E82C82" w:rsidP="00BE00C7">
            <w:pPr>
              <w:pStyle w:val="OutcomeDescription"/>
              <w:spacing w:before="120" w:after="120"/>
              <w:rPr>
                <w:rFonts w:cs="Arial"/>
                <w:lang w:eastAsia="en-NZ"/>
              </w:rPr>
            </w:pPr>
            <w:r w:rsidRPr="00BE00C7">
              <w:rPr>
                <w:rFonts w:cs="Arial"/>
                <w:lang w:eastAsia="en-NZ"/>
              </w:rPr>
              <w:t>FA</w:t>
            </w:r>
          </w:p>
        </w:tc>
        <w:tc>
          <w:tcPr>
            <w:tcW w:w="0" w:type="auto"/>
          </w:tcPr>
          <w:p w14:paraId="76E3D64A" w14:textId="77777777" w:rsidR="00E82C82" w:rsidRPr="00BE00C7" w:rsidRDefault="00E82C82" w:rsidP="00BE00C7">
            <w:pPr>
              <w:pStyle w:val="OutcomeDescription"/>
              <w:spacing w:before="120" w:after="120"/>
              <w:rPr>
                <w:rFonts w:cs="Arial"/>
                <w:lang w:eastAsia="en-NZ"/>
              </w:rPr>
            </w:pPr>
            <w:r w:rsidRPr="00BE00C7">
              <w:rPr>
                <w:rFonts w:cs="Arial"/>
                <w:lang w:eastAsia="en-NZ"/>
              </w:rPr>
              <w:t>Heritage Lifecare understands the equity issues faced by Pacific peoples and can access guidance from people within the organisation around appropriate care and service for Pacific peoples. Two members of the executive team identify as Pacific peoples. They can assist the board to meet its Ngā Paerewa obligations to Pacific peoples.</w:t>
            </w:r>
          </w:p>
          <w:p w14:paraId="1DA0BF0F"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A Pacific Health Plan is in place that utilises the Fonofale model of care, documenting care requirements for Pacific peoples to ensure culturally appropriate services. The plan has been developed with input from cultural advisers. Coldstream has access to local Pacific communities.  </w:t>
            </w:r>
          </w:p>
          <w:p w14:paraId="3ACE64C3"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The staff recruitment policy is clear that recruitment will be non-discriminatory, and that cultural fit is one aspect of appointing staff. The service supports increasing Pacific capacity by employing more Pacific staff members across differing levels of the organisation, and this is outlined in its strategic plan and in policy documentation. Ethnicity data is gathered when staff are employed, and this data is analysed at a management level. There were residents and staff who identified as Pacific peoples </w:t>
            </w:r>
            <w:r w:rsidRPr="00BE00C7">
              <w:rPr>
                <w:rFonts w:cs="Arial"/>
                <w:lang w:eastAsia="en-NZ"/>
              </w:rPr>
              <w:t xml:space="preserve">in the service. Training on culturally specific care, including care for Pacific peoples, is part of the HLL </w:t>
            </w:r>
            <w:r w:rsidRPr="00BE00C7">
              <w:rPr>
                <w:rFonts w:cs="Arial"/>
                <w:lang w:eastAsia="en-NZ"/>
              </w:rPr>
              <w:lastRenderedPageBreak/>
              <w:t>training programme, and this is implemented in the service. The training is geared to assist staff to understand the key elements of service provision for Pacific peoples and providing equity in care services. Staff reported, and documentation confirmed, they have attended Te Tiriti o Waitangi and cultural safety training.</w:t>
            </w:r>
          </w:p>
          <w:p w14:paraId="1AFC5D2A" w14:textId="77777777" w:rsidR="00E82C82" w:rsidRPr="00BE00C7" w:rsidRDefault="00E82C82" w:rsidP="00BE00C7">
            <w:pPr>
              <w:pStyle w:val="OutcomeDescription"/>
              <w:spacing w:before="120" w:after="120"/>
              <w:rPr>
                <w:rFonts w:cs="Arial"/>
                <w:lang w:eastAsia="en-NZ"/>
              </w:rPr>
            </w:pPr>
          </w:p>
        </w:tc>
      </w:tr>
      <w:tr w:rsidR="00AF55A0" w14:paraId="6A776A6C" w14:textId="77777777">
        <w:tc>
          <w:tcPr>
            <w:tcW w:w="0" w:type="auto"/>
          </w:tcPr>
          <w:p w14:paraId="2AB31961" w14:textId="77777777" w:rsidR="00E82C82" w:rsidRPr="00BE00C7" w:rsidRDefault="00E82C82"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33E16340" w14:textId="77777777" w:rsidR="00E82C82" w:rsidRPr="00BE00C7" w:rsidRDefault="00E82C82"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r>
            <w:r w:rsidRPr="00BE00C7">
              <w:rPr>
                <w:rFonts w:cs="Arial"/>
                <w:lang w:eastAsia="en-NZ"/>
              </w:rP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8A94CE3" w14:textId="77777777" w:rsidR="00E82C82" w:rsidRPr="00BE00C7" w:rsidRDefault="00E82C82" w:rsidP="00BE00C7">
            <w:pPr>
              <w:pStyle w:val="OutcomeDescription"/>
              <w:spacing w:before="120" w:after="120"/>
              <w:rPr>
                <w:rFonts w:cs="Arial"/>
                <w:lang w:eastAsia="en-NZ"/>
              </w:rPr>
            </w:pPr>
          </w:p>
        </w:tc>
        <w:tc>
          <w:tcPr>
            <w:tcW w:w="0" w:type="auto"/>
          </w:tcPr>
          <w:p w14:paraId="41F79AF9" w14:textId="77777777" w:rsidR="00E82C82" w:rsidRPr="00BE00C7" w:rsidRDefault="00E82C82" w:rsidP="00BE00C7">
            <w:pPr>
              <w:pStyle w:val="OutcomeDescription"/>
              <w:spacing w:before="120" w:after="120"/>
              <w:rPr>
                <w:rFonts w:cs="Arial"/>
                <w:lang w:eastAsia="en-NZ"/>
              </w:rPr>
            </w:pPr>
            <w:r w:rsidRPr="00BE00C7">
              <w:rPr>
                <w:rFonts w:cs="Arial"/>
                <w:lang w:eastAsia="en-NZ"/>
              </w:rPr>
              <w:t>FA</w:t>
            </w:r>
          </w:p>
        </w:tc>
        <w:tc>
          <w:tcPr>
            <w:tcW w:w="0" w:type="auto"/>
          </w:tcPr>
          <w:p w14:paraId="53011B9F"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Staff interviewed at Coldstream demonstrated a clear understanding of the requirements and principles of the Code and were observed supporting residents in a manner consistent with their expressed wishes, preferences, and rights. Staff were able to describe how the Code is applied in everyday practice, including respect, informed choice, dignity, effective communication, and the recognition of Māori mana motuhake in care and decision-making. Education on the Code and its principles is provided to all staff </w:t>
            </w:r>
            <w:r w:rsidRPr="00BE00C7">
              <w:rPr>
                <w:rFonts w:cs="Arial"/>
                <w:lang w:eastAsia="en-NZ"/>
              </w:rPr>
              <w:t>during orientation, with opportunities for discussion and clarification to support consistent application in practice. Further education is provided for staff by a visiting advocate from the Nationwide Health and Disability Advocacy Service (Advocacy Service) and was seen to occur on the day of audit.</w:t>
            </w:r>
          </w:p>
          <w:p w14:paraId="6C8D8271"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Residents and whānau interviewed confirmed that they had been made aware of the Code and the Advocacy Service and reported being provided with appropriate opportunities to discuss and clarify their rights; this was further supported on the day of audit by a visit from an advocate from the Advocacy Service who provided education to residents and whānau. Ongoing opportunities to discuss the Code and related matters are provided through residents’ meetings, where time is allocated for questions, feedback, and </w:t>
            </w:r>
            <w:r w:rsidRPr="00BE00C7">
              <w:rPr>
                <w:rFonts w:cs="Arial"/>
                <w:lang w:eastAsia="en-NZ"/>
              </w:rPr>
              <w:t>discussion.</w:t>
            </w:r>
          </w:p>
          <w:p w14:paraId="0BD22789" w14:textId="77777777" w:rsidR="00E82C82" w:rsidRPr="00BE00C7" w:rsidRDefault="00E82C82" w:rsidP="00BE00C7">
            <w:pPr>
              <w:pStyle w:val="OutcomeDescription"/>
              <w:spacing w:before="120" w:after="120"/>
              <w:rPr>
                <w:rFonts w:cs="Arial"/>
                <w:lang w:eastAsia="en-NZ"/>
              </w:rPr>
            </w:pPr>
            <w:r w:rsidRPr="00BE00C7">
              <w:rPr>
                <w:rFonts w:cs="Arial"/>
                <w:lang w:eastAsia="en-NZ"/>
              </w:rPr>
              <w:t>Advocacy brochures were readily available in the reception area, alongside clear information about the Code in both te reo Māori and English, ensuring accessibility, cultural responsiveness, and respect for Māori rights and values.</w:t>
            </w:r>
          </w:p>
          <w:p w14:paraId="18435743" w14:textId="77777777" w:rsidR="00E82C82" w:rsidRPr="00BE00C7" w:rsidRDefault="00E82C82" w:rsidP="00BE00C7">
            <w:pPr>
              <w:pStyle w:val="OutcomeDescription"/>
              <w:spacing w:before="120" w:after="120"/>
              <w:rPr>
                <w:rFonts w:cs="Arial"/>
                <w:lang w:eastAsia="en-NZ"/>
              </w:rPr>
            </w:pPr>
          </w:p>
        </w:tc>
      </w:tr>
      <w:tr w:rsidR="00AF55A0" w14:paraId="7B94F983" w14:textId="77777777">
        <w:tc>
          <w:tcPr>
            <w:tcW w:w="0" w:type="auto"/>
          </w:tcPr>
          <w:p w14:paraId="023A9D36" w14:textId="77777777" w:rsidR="00E82C82" w:rsidRPr="00BE00C7" w:rsidRDefault="00E82C82" w:rsidP="00BE00C7">
            <w:pPr>
              <w:pStyle w:val="OutcomeDescription"/>
              <w:spacing w:before="120" w:after="120"/>
              <w:rPr>
                <w:rFonts w:cs="Arial"/>
                <w:lang w:eastAsia="en-NZ"/>
              </w:rPr>
            </w:pPr>
            <w:r w:rsidRPr="00BE00C7">
              <w:rPr>
                <w:rFonts w:cs="Arial"/>
                <w:lang w:eastAsia="en-NZ"/>
              </w:rPr>
              <w:t>Subsection 1.4: I am treated with respect</w:t>
            </w:r>
          </w:p>
          <w:p w14:paraId="1DADCA48" w14:textId="77777777" w:rsidR="00E82C82" w:rsidRPr="00BE00C7" w:rsidRDefault="00E82C82" w:rsidP="00BE00C7">
            <w:pPr>
              <w:pStyle w:val="OutcomeDescription"/>
              <w:spacing w:before="120" w:after="120"/>
              <w:rPr>
                <w:rFonts w:cs="Arial"/>
                <w:lang w:eastAsia="en-NZ"/>
              </w:rPr>
            </w:pPr>
            <w:r w:rsidRPr="00BE00C7">
              <w:rPr>
                <w:rFonts w:cs="Arial"/>
                <w:lang w:eastAsia="en-NZ"/>
              </w:rPr>
              <w:lastRenderedPageBreak/>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2F35DF56" w14:textId="77777777" w:rsidR="00E82C82" w:rsidRPr="00BE00C7" w:rsidRDefault="00E82C82" w:rsidP="00BE00C7">
            <w:pPr>
              <w:pStyle w:val="OutcomeDescription"/>
              <w:spacing w:before="120" w:after="120"/>
              <w:rPr>
                <w:rFonts w:cs="Arial"/>
                <w:lang w:eastAsia="en-NZ"/>
              </w:rPr>
            </w:pPr>
          </w:p>
        </w:tc>
        <w:tc>
          <w:tcPr>
            <w:tcW w:w="0" w:type="auto"/>
          </w:tcPr>
          <w:p w14:paraId="40C5B30B" w14:textId="77777777" w:rsidR="00E82C82" w:rsidRPr="00BE00C7" w:rsidRDefault="00E82C8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B728DCD"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Coldstream supports residents in a manner that is inclusive, culturally </w:t>
            </w:r>
            <w:r w:rsidRPr="00BE00C7">
              <w:rPr>
                <w:rFonts w:cs="Arial"/>
                <w:lang w:eastAsia="en-NZ"/>
              </w:rPr>
              <w:lastRenderedPageBreak/>
              <w:t xml:space="preserve">safe, and respectful of their identity, lived experiences, and personal preferences. Residents and whānau, including younger tāngata whaikaha (people with disabilities), confirmed that services were delivered in a way that had regard for their dignity, gender, privacy, confidentiality, sexual orientation, spirituality, values, beliefs, culture, religion, relationship status, and preferred level of interdependence. Residents reported that they were consulted about what is important to them and were provided </w:t>
            </w:r>
            <w:r w:rsidRPr="00BE00C7">
              <w:rPr>
                <w:rFonts w:cs="Arial"/>
                <w:lang w:eastAsia="en-NZ"/>
              </w:rPr>
              <w:t>with opportunities to share this information, which was then reflected in their care and support.</w:t>
            </w:r>
          </w:p>
          <w:p w14:paraId="74B6E562" w14:textId="77777777" w:rsidR="00E82C82" w:rsidRPr="00BE00C7" w:rsidRDefault="00E82C82" w:rsidP="00BE00C7">
            <w:pPr>
              <w:pStyle w:val="OutcomeDescription"/>
              <w:spacing w:before="120" w:after="120"/>
              <w:rPr>
                <w:rFonts w:cs="Arial"/>
                <w:lang w:eastAsia="en-NZ"/>
              </w:rPr>
            </w:pPr>
            <w:r w:rsidRPr="00BE00C7">
              <w:rPr>
                <w:rFonts w:cs="Arial"/>
                <w:lang w:eastAsia="en-NZ"/>
              </w:rPr>
              <w:t>Throughout the audit, staff were consistently observed to uphold residents’ privacy and dignity in everyday practice. All residents had a private room, and staff were observed routinely knocking on doors, seeking permission before entry, and communicating respectfully to maintain personal dignity and autonomy.</w:t>
            </w:r>
          </w:p>
          <w:p w14:paraId="278AE0CE"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Te reo Māori and tikanga Māori are promoted through bilingual signage, the use of te reo Māori language in the activities programme, and education of staff. Staff described undertaking training in Te Tiriti o Waitangi and tikanga Māori during orientation and were able to discuss how this was reflected in their day-to-day interactions and service delivery. </w:t>
            </w:r>
          </w:p>
          <w:p w14:paraId="15DF1096" w14:textId="77777777" w:rsidR="00E82C82" w:rsidRPr="00BE00C7" w:rsidRDefault="00E82C82" w:rsidP="00BE00C7">
            <w:pPr>
              <w:pStyle w:val="OutcomeDescription"/>
              <w:spacing w:before="120" w:after="120"/>
              <w:rPr>
                <w:rFonts w:cs="Arial"/>
                <w:lang w:eastAsia="en-NZ"/>
              </w:rPr>
            </w:pPr>
            <w:r w:rsidRPr="00BE00C7">
              <w:rPr>
                <w:rFonts w:cs="Arial"/>
                <w:lang w:eastAsia="en-NZ"/>
              </w:rPr>
              <w:t>The needs of younger tāngata whaikaha are appropriately identified and responded to, including enabling and supporting their participation in te ao Māori and visits to the local marae. Staff were observed speaking to residents in a respectful, supportive, and mana-enhancing manner, and residents and whānau interviewed reported feeling respected, listened to, and valued in their daily lives. This included younger persons with a physical disability.</w:t>
            </w:r>
          </w:p>
          <w:p w14:paraId="298C047D" w14:textId="77777777" w:rsidR="00E82C82" w:rsidRPr="00BE00C7" w:rsidRDefault="00E82C82" w:rsidP="00BE00C7">
            <w:pPr>
              <w:pStyle w:val="OutcomeDescription"/>
              <w:spacing w:before="120" w:after="120"/>
              <w:rPr>
                <w:rFonts w:cs="Arial"/>
                <w:lang w:eastAsia="en-NZ"/>
              </w:rPr>
            </w:pPr>
          </w:p>
        </w:tc>
      </w:tr>
      <w:tr w:rsidR="00AF55A0" w14:paraId="1A6CD2CD" w14:textId="77777777">
        <w:tc>
          <w:tcPr>
            <w:tcW w:w="0" w:type="auto"/>
          </w:tcPr>
          <w:p w14:paraId="1D350915" w14:textId="77777777" w:rsidR="00E82C82" w:rsidRPr="00BE00C7" w:rsidRDefault="00E82C82"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16AA3316" w14:textId="77777777" w:rsidR="00E82C82" w:rsidRPr="00BE00C7" w:rsidRDefault="00E82C82"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r>
            <w:r w:rsidRPr="00BE00C7">
              <w:rPr>
                <w:rFonts w:cs="Arial"/>
                <w:lang w:eastAsia="en-NZ"/>
              </w:rP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A769F46" w14:textId="77777777" w:rsidR="00E82C82" w:rsidRPr="00BE00C7" w:rsidRDefault="00E82C82" w:rsidP="00BE00C7">
            <w:pPr>
              <w:pStyle w:val="OutcomeDescription"/>
              <w:spacing w:before="120" w:after="120"/>
              <w:rPr>
                <w:rFonts w:cs="Arial"/>
                <w:lang w:eastAsia="en-NZ"/>
              </w:rPr>
            </w:pPr>
          </w:p>
        </w:tc>
        <w:tc>
          <w:tcPr>
            <w:tcW w:w="0" w:type="auto"/>
          </w:tcPr>
          <w:p w14:paraId="53C8F075" w14:textId="77777777" w:rsidR="00E82C82" w:rsidRPr="00BE00C7" w:rsidRDefault="00E82C8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EBDA2E7"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Staff interviewed at Coldstream demonstrated a clear understanding of the service’s policies and procedures relating to abuse and neglect, including the identification of potential signs, required actions, and reporting pathways. Staff confirmed they had received education on abuse and neglect and reported feeling confident and supported to raise and report any concerns. There were no examples of discrimination, coercion, harassment, abuse, or neglect identified </w:t>
            </w:r>
            <w:r w:rsidRPr="00BE00C7">
              <w:rPr>
                <w:rFonts w:cs="Arial"/>
                <w:lang w:eastAsia="en-NZ"/>
              </w:rPr>
              <w:lastRenderedPageBreak/>
              <w:t xml:space="preserve">during the audit through staff interviews, resident and whānau interviews, or documentation reviewed. </w:t>
            </w:r>
          </w:p>
          <w:p w14:paraId="2C1F4F10" w14:textId="77777777" w:rsidR="00E82C82" w:rsidRPr="00BE00C7" w:rsidRDefault="00E82C82" w:rsidP="00BE00C7">
            <w:pPr>
              <w:pStyle w:val="OutcomeDescription"/>
              <w:spacing w:before="120" w:after="120"/>
              <w:rPr>
                <w:rFonts w:cs="Arial"/>
                <w:lang w:eastAsia="en-NZ"/>
              </w:rPr>
            </w:pPr>
            <w:r w:rsidRPr="00BE00C7">
              <w:rPr>
                <w:rFonts w:cs="Arial"/>
                <w:lang w:eastAsia="en-NZ"/>
              </w:rPr>
              <w:t>All residents and whānau interviewed reported that they felt well cared for, supported, and safe within their environment at Coldstream. Residents’ personal property was clearly labelled on admission, and residents and whānau confirmed that belongings were treated with respect and safeguarded. Residents’ finances are protected, with appropriate safeguarding systems in place.</w:t>
            </w:r>
          </w:p>
          <w:p w14:paraId="4828D5CE"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Professional boundaries were consistently maintained by staff, who demonstrated an understanding of behaviours and practices that protect resident wellbeing and understood how to avoid any actions that could negatively impact residents. Staff interviewed felt safe and supported to raise concerns relating to institutional and systemic racism and were confident that any issues raised would be taken seriously and acted upon by management. </w:t>
            </w:r>
          </w:p>
          <w:p w14:paraId="619F1421" w14:textId="77777777" w:rsidR="00E82C82" w:rsidRPr="00BE00C7" w:rsidRDefault="00E82C82" w:rsidP="00BE00C7">
            <w:pPr>
              <w:pStyle w:val="OutcomeDescription"/>
              <w:spacing w:before="120" w:after="120"/>
              <w:rPr>
                <w:rFonts w:cs="Arial"/>
                <w:lang w:eastAsia="en-NZ"/>
              </w:rPr>
            </w:pPr>
            <w:r w:rsidRPr="00BE00C7">
              <w:rPr>
                <w:rFonts w:cs="Arial"/>
                <w:lang w:eastAsia="en-NZ"/>
              </w:rPr>
              <w:t>A strengths-based and holistic model of care was evident throughout the service, with the integration of Te Whare Tapa Whā to support wellbeing outcomes for Māori, recognising the physical, mental, spiritual, and whānau dimensions of health in everyday care and support.</w:t>
            </w:r>
          </w:p>
          <w:p w14:paraId="2ED41D17" w14:textId="77777777" w:rsidR="00E82C82" w:rsidRPr="00BE00C7" w:rsidRDefault="00E82C82" w:rsidP="00BE00C7">
            <w:pPr>
              <w:pStyle w:val="OutcomeDescription"/>
              <w:spacing w:before="120" w:after="120"/>
              <w:rPr>
                <w:rFonts w:cs="Arial"/>
                <w:lang w:eastAsia="en-NZ"/>
              </w:rPr>
            </w:pPr>
          </w:p>
        </w:tc>
      </w:tr>
      <w:tr w:rsidR="00AF55A0" w14:paraId="24C71AE4" w14:textId="77777777">
        <w:tc>
          <w:tcPr>
            <w:tcW w:w="0" w:type="auto"/>
          </w:tcPr>
          <w:p w14:paraId="5BDFB4F9" w14:textId="77777777" w:rsidR="00E82C82" w:rsidRPr="00BE00C7" w:rsidRDefault="00E82C82"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302E9EA2" w14:textId="77777777" w:rsidR="00E82C82" w:rsidRPr="00BE00C7" w:rsidRDefault="00E82C82"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07886F18" w14:textId="77777777" w:rsidR="00E82C82" w:rsidRPr="00BE00C7" w:rsidRDefault="00E82C82" w:rsidP="00BE00C7">
            <w:pPr>
              <w:pStyle w:val="OutcomeDescription"/>
              <w:spacing w:before="120" w:after="120"/>
              <w:rPr>
                <w:rFonts w:cs="Arial"/>
                <w:lang w:eastAsia="en-NZ"/>
              </w:rPr>
            </w:pPr>
          </w:p>
        </w:tc>
        <w:tc>
          <w:tcPr>
            <w:tcW w:w="0" w:type="auto"/>
          </w:tcPr>
          <w:p w14:paraId="181A8EB7" w14:textId="77777777" w:rsidR="00E82C82" w:rsidRPr="00BE00C7" w:rsidRDefault="00E82C82" w:rsidP="00BE00C7">
            <w:pPr>
              <w:pStyle w:val="OutcomeDescription"/>
              <w:spacing w:before="120" w:after="120"/>
              <w:rPr>
                <w:rFonts w:cs="Arial"/>
                <w:lang w:eastAsia="en-NZ"/>
              </w:rPr>
            </w:pPr>
            <w:r w:rsidRPr="00BE00C7">
              <w:rPr>
                <w:rFonts w:cs="Arial"/>
                <w:lang w:eastAsia="en-NZ"/>
              </w:rPr>
              <w:t>FA</w:t>
            </w:r>
          </w:p>
        </w:tc>
        <w:tc>
          <w:tcPr>
            <w:tcW w:w="0" w:type="auto"/>
          </w:tcPr>
          <w:p w14:paraId="4DE1AF49" w14:textId="77777777" w:rsidR="00E82C82" w:rsidRPr="00BE00C7" w:rsidRDefault="00E82C82" w:rsidP="00BE00C7">
            <w:pPr>
              <w:pStyle w:val="OutcomeDescription"/>
              <w:spacing w:before="120" w:after="120"/>
              <w:rPr>
                <w:rFonts w:cs="Arial"/>
                <w:lang w:eastAsia="en-NZ"/>
              </w:rPr>
            </w:pPr>
            <w:r w:rsidRPr="00BE00C7">
              <w:rPr>
                <w:rFonts w:cs="Arial"/>
                <w:lang w:eastAsia="en-NZ"/>
              </w:rPr>
              <w:t>Residents and whānau reported that communication at Coldstream was open, respectful, and effective, and that they felt listened to. All residents interviewed stated that information was provided to them in an easy-to-understand format, that staff communicated clearly, and that they felt heard when raising questions or concerns. Residents confirmed they have regular opportunities to express their views and provide feedback through resident meetings, and reported that staff were approachable, kind, and respon</w:t>
            </w:r>
            <w:r w:rsidRPr="00BE00C7">
              <w:rPr>
                <w:rFonts w:cs="Arial"/>
                <w:lang w:eastAsia="en-NZ"/>
              </w:rPr>
              <w:t>sive to their concerns.</w:t>
            </w:r>
          </w:p>
          <w:p w14:paraId="660E752F" w14:textId="77777777" w:rsidR="00E82C82" w:rsidRPr="00BE00C7" w:rsidRDefault="00E82C82" w:rsidP="00BE00C7">
            <w:pPr>
              <w:pStyle w:val="OutcomeDescription"/>
              <w:spacing w:before="120" w:after="120"/>
              <w:rPr>
                <w:rFonts w:cs="Arial"/>
                <w:lang w:eastAsia="en-NZ"/>
              </w:rPr>
            </w:pPr>
            <w:r w:rsidRPr="00BE00C7">
              <w:rPr>
                <w:rFonts w:cs="Arial"/>
                <w:lang w:eastAsia="en-NZ"/>
              </w:rPr>
              <w:t>Residents with a disability, including a younger person with a physical disability, confirmed that communication met their needs.</w:t>
            </w:r>
          </w:p>
          <w:p w14:paraId="53B27AF8"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Changes to residents’ health status were communicated to whānau in a timely manner, and whānau confirmed they were kept appropriately informed. Whānau also have opportunities to attend </w:t>
            </w:r>
            <w:r w:rsidRPr="00BE00C7">
              <w:rPr>
                <w:rFonts w:cs="Arial"/>
                <w:lang w:eastAsia="en-NZ"/>
              </w:rPr>
              <w:lastRenderedPageBreak/>
              <w:t>case conferences to discuss care and receive updates regarding care and service delivery. Where other agencies were involved in care, effective communication was evident, including with nurse or general practitioners, and relevant allied health professionals.</w:t>
            </w:r>
          </w:p>
          <w:p w14:paraId="01244F58" w14:textId="77777777" w:rsidR="00E82C82" w:rsidRPr="00BE00C7" w:rsidRDefault="00E82C82" w:rsidP="00BE00C7">
            <w:pPr>
              <w:pStyle w:val="OutcomeDescription"/>
              <w:spacing w:before="120" w:after="120"/>
              <w:rPr>
                <w:rFonts w:cs="Arial"/>
                <w:lang w:eastAsia="en-NZ"/>
              </w:rPr>
            </w:pPr>
            <w:r w:rsidRPr="00BE00C7">
              <w:rPr>
                <w:rFonts w:cs="Arial"/>
                <w:lang w:eastAsia="en-NZ"/>
              </w:rPr>
              <w:t>Examples of open and transparent communication were evident following adverse events and during the management of any complaints, demonstrating a commitment to partnership and accountability. Staff confirmed they receive education on effective and open communication as part of the education plan. In addition, a palliative care clinical nurse specialist who supports the facility provided education related to challenging behaviours and difficult conversations and communication and ethics in palliative care in</w:t>
            </w:r>
            <w:r w:rsidRPr="00BE00C7">
              <w:rPr>
                <w:rFonts w:cs="Arial"/>
                <w:lang w:eastAsia="en-NZ"/>
              </w:rPr>
              <w:t xml:space="preserve"> March 2026.</w:t>
            </w:r>
          </w:p>
          <w:p w14:paraId="69048EE0" w14:textId="77777777" w:rsidR="00E82C82" w:rsidRPr="00BE00C7" w:rsidRDefault="00E82C82" w:rsidP="00BE00C7">
            <w:pPr>
              <w:pStyle w:val="OutcomeDescription"/>
              <w:spacing w:before="120" w:after="120"/>
              <w:rPr>
                <w:rFonts w:cs="Arial"/>
                <w:lang w:eastAsia="en-NZ"/>
              </w:rPr>
            </w:pPr>
            <w:r w:rsidRPr="00BE00C7">
              <w:rPr>
                <w:rFonts w:cs="Arial"/>
                <w:lang w:eastAsia="en-NZ"/>
              </w:rPr>
              <w:t>Staff demonstrated knowledge of how to access interpreter services when required to support effective communication and informed participation.</w:t>
            </w:r>
          </w:p>
          <w:p w14:paraId="6EEA1225" w14:textId="77777777" w:rsidR="00E82C82" w:rsidRPr="00BE00C7" w:rsidRDefault="00E82C82" w:rsidP="00BE00C7">
            <w:pPr>
              <w:pStyle w:val="OutcomeDescription"/>
              <w:spacing w:before="120" w:after="120"/>
              <w:rPr>
                <w:rFonts w:cs="Arial"/>
                <w:lang w:eastAsia="en-NZ"/>
              </w:rPr>
            </w:pPr>
          </w:p>
        </w:tc>
      </w:tr>
      <w:tr w:rsidR="00AF55A0" w14:paraId="2581733C" w14:textId="77777777">
        <w:tc>
          <w:tcPr>
            <w:tcW w:w="0" w:type="auto"/>
          </w:tcPr>
          <w:p w14:paraId="055F63A4" w14:textId="77777777" w:rsidR="00E82C82" w:rsidRPr="00BE00C7" w:rsidRDefault="00E82C82"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377E30A4" w14:textId="77777777" w:rsidR="00E82C82" w:rsidRPr="00BE00C7" w:rsidRDefault="00E82C82"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F1CE7E7" w14:textId="77777777" w:rsidR="00E82C82" w:rsidRPr="00BE00C7" w:rsidRDefault="00E82C82" w:rsidP="00BE00C7">
            <w:pPr>
              <w:pStyle w:val="OutcomeDescription"/>
              <w:spacing w:before="120" w:after="120"/>
              <w:rPr>
                <w:rFonts w:cs="Arial"/>
                <w:lang w:eastAsia="en-NZ"/>
              </w:rPr>
            </w:pPr>
          </w:p>
        </w:tc>
        <w:tc>
          <w:tcPr>
            <w:tcW w:w="0" w:type="auto"/>
          </w:tcPr>
          <w:p w14:paraId="12F99171" w14:textId="77777777" w:rsidR="00E82C82" w:rsidRPr="00BE00C7" w:rsidRDefault="00E82C82" w:rsidP="00BE00C7">
            <w:pPr>
              <w:pStyle w:val="OutcomeDescription"/>
              <w:spacing w:before="120" w:after="120"/>
              <w:rPr>
                <w:rFonts w:cs="Arial"/>
                <w:lang w:eastAsia="en-NZ"/>
              </w:rPr>
            </w:pPr>
            <w:r w:rsidRPr="00BE00C7">
              <w:rPr>
                <w:rFonts w:cs="Arial"/>
                <w:lang w:eastAsia="en-NZ"/>
              </w:rPr>
              <w:t>FA</w:t>
            </w:r>
          </w:p>
        </w:tc>
        <w:tc>
          <w:tcPr>
            <w:tcW w:w="0" w:type="auto"/>
          </w:tcPr>
          <w:p w14:paraId="0B4D4DBB" w14:textId="77777777" w:rsidR="00E82C82" w:rsidRPr="00BE00C7" w:rsidRDefault="00E82C82" w:rsidP="00BE00C7">
            <w:pPr>
              <w:pStyle w:val="OutcomeDescription"/>
              <w:spacing w:before="120" w:after="120"/>
              <w:rPr>
                <w:rFonts w:cs="Arial"/>
                <w:lang w:eastAsia="en-NZ"/>
              </w:rPr>
            </w:pPr>
            <w:r w:rsidRPr="00BE00C7">
              <w:rPr>
                <w:rFonts w:cs="Arial"/>
                <w:lang w:eastAsia="en-NZ"/>
              </w:rPr>
              <w:t>Residents and/or their legal representatives were provided with the information necessary to make informed decisions about care and support, in a manner that was clear, accessible, and culturally appropriate. Residents interviewed reported feeling empowered to actively participate in decision-making about care, and that their views and preferences were respected. With the consent of the resident, whānau were included in decision-making and were enabled to do so through access to quality information, advice,</w:t>
            </w:r>
            <w:r w:rsidRPr="00BE00C7">
              <w:rPr>
                <w:rFonts w:cs="Arial"/>
                <w:lang w:eastAsia="en-NZ"/>
              </w:rPr>
              <w:t xml:space="preserve"> and relevant resources. </w:t>
            </w:r>
          </w:p>
          <w:p w14:paraId="2FABC2D2" w14:textId="77777777" w:rsidR="00E82C82" w:rsidRPr="00BE00C7" w:rsidRDefault="00E82C82" w:rsidP="00BE00C7">
            <w:pPr>
              <w:pStyle w:val="OutcomeDescription"/>
              <w:spacing w:before="120" w:after="120"/>
              <w:rPr>
                <w:rFonts w:cs="Arial"/>
                <w:lang w:eastAsia="en-NZ"/>
              </w:rPr>
            </w:pPr>
            <w:r w:rsidRPr="00BE00C7">
              <w:rPr>
                <w:rFonts w:cs="Arial"/>
                <w:lang w:eastAsia="en-NZ"/>
              </w:rPr>
              <w:t>Where a resident was unable to make informed choices, an enduring power of attorney (EPOA) or welfare guardian was appropriately appointed in accordance with the law, and all relevant legal documentation was available, current, and accessible within the resident’s record. Residents were still supported to be involved in decisions wherever possible, even when a legal representative was acting on their behalf.</w:t>
            </w:r>
          </w:p>
          <w:p w14:paraId="6B5DBB7E"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Nursing and care staff interviewed demonstrated a clear understanding of the principles and practice of informed consent, </w:t>
            </w:r>
            <w:r w:rsidRPr="00BE00C7">
              <w:rPr>
                <w:rFonts w:cs="Arial"/>
                <w:lang w:eastAsia="en-NZ"/>
              </w:rPr>
              <w:lastRenderedPageBreak/>
              <w:t xml:space="preserve">supported by organisational policies aligned with the Code and appropriate tikanga guidelines. Verbal consent was observed to be obtained for day-to-day cares. </w:t>
            </w:r>
          </w:p>
          <w:p w14:paraId="05EEBC60" w14:textId="77777777" w:rsidR="00E82C82" w:rsidRPr="00BE00C7" w:rsidRDefault="00E82C82" w:rsidP="00BE00C7">
            <w:pPr>
              <w:pStyle w:val="OutcomeDescription"/>
              <w:spacing w:before="120" w:after="120"/>
              <w:rPr>
                <w:rFonts w:cs="Arial"/>
                <w:lang w:eastAsia="en-NZ"/>
              </w:rPr>
            </w:pPr>
            <w:r w:rsidRPr="00BE00C7">
              <w:rPr>
                <w:rFonts w:cs="Arial"/>
                <w:lang w:eastAsia="en-NZ"/>
              </w:rPr>
              <w:t>Residents were enabled to exercise their right to supported decision-making and to make informed choices in accordance with the Code. Advance care planning was appropriately recorded in residents’ files where relevant. Shared goals of care discussions were undertaken with residents and whānau and documented in the resident record where applicable.</w:t>
            </w:r>
          </w:p>
          <w:p w14:paraId="32BD5C0F" w14:textId="77777777" w:rsidR="00E82C82" w:rsidRPr="00BE00C7" w:rsidRDefault="00E82C82" w:rsidP="00BE00C7">
            <w:pPr>
              <w:pStyle w:val="OutcomeDescription"/>
              <w:spacing w:before="120" w:after="120"/>
              <w:rPr>
                <w:rFonts w:cs="Arial"/>
                <w:lang w:eastAsia="en-NZ"/>
              </w:rPr>
            </w:pPr>
          </w:p>
        </w:tc>
      </w:tr>
      <w:tr w:rsidR="00AF55A0" w14:paraId="31B187E8" w14:textId="77777777">
        <w:tc>
          <w:tcPr>
            <w:tcW w:w="0" w:type="auto"/>
          </w:tcPr>
          <w:p w14:paraId="722E78B8" w14:textId="77777777" w:rsidR="00E82C82" w:rsidRPr="00BE00C7" w:rsidRDefault="00E82C82"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7BDA2652" w14:textId="77777777" w:rsidR="00E82C82" w:rsidRPr="00BE00C7" w:rsidRDefault="00E82C82"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AFD252D" w14:textId="77777777" w:rsidR="00E82C82" w:rsidRPr="00BE00C7" w:rsidRDefault="00E82C82" w:rsidP="00BE00C7">
            <w:pPr>
              <w:pStyle w:val="OutcomeDescription"/>
              <w:spacing w:before="120" w:after="120"/>
              <w:rPr>
                <w:rFonts w:cs="Arial"/>
                <w:lang w:eastAsia="en-NZ"/>
              </w:rPr>
            </w:pPr>
          </w:p>
        </w:tc>
        <w:tc>
          <w:tcPr>
            <w:tcW w:w="0" w:type="auto"/>
          </w:tcPr>
          <w:p w14:paraId="5C882642" w14:textId="77777777" w:rsidR="00E82C82" w:rsidRPr="00BE00C7" w:rsidRDefault="00E82C82" w:rsidP="00BE00C7">
            <w:pPr>
              <w:pStyle w:val="OutcomeDescription"/>
              <w:spacing w:before="120" w:after="120"/>
              <w:rPr>
                <w:rFonts w:cs="Arial"/>
                <w:lang w:eastAsia="en-NZ"/>
              </w:rPr>
            </w:pPr>
            <w:r w:rsidRPr="00BE00C7">
              <w:rPr>
                <w:rFonts w:cs="Arial"/>
                <w:lang w:eastAsia="en-NZ"/>
              </w:rPr>
              <w:t>FA</w:t>
            </w:r>
          </w:p>
        </w:tc>
        <w:tc>
          <w:tcPr>
            <w:tcW w:w="0" w:type="auto"/>
          </w:tcPr>
          <w:p w14:paraId="6E309601"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This meets the requirements of the Code. </w:t>
            </w:r>
          </w:p>
          <w:p w14:paraId="58F79102"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Residents and whānau understood their right to make a complaint and knew how to do so. The complaint policy and associated forms, along with a collection box, were available at reception. The information is provided to residents and whānau on admission. The Code is available in te reo Māori and English. </w:t>
            </w:r>
          </w:p>
          <w:p w14:paraId="2C82E241" w14:textId="77777777" w:rsidR="00E82C82" w:rsidRPr="00BE00C7" w:rsidRDefault="00E82C82" w:rsidP="00BE00C7">
            <w:pPr>
              <w:pStyle w:val="OutcomeDescription"/>
              <w:spacing w:before="120" w:after="120"/>
              <w:rPr>
                <w:rFonts w:cs="Arial"/>
                <w:lang w:eastAsia="en-NZ"/>
              </w:rPr>
            </w:pPr>
            <w:r w:rsidRPr="00BE00C7">
              <w:rPr>
                <w:rFonts w:cs="Arial"/>
                <w:lang w:eastAsia="en-NZ"/>
              </w:rPr>
              <w:t>The care home and village manager (CHVM) is responsible for complaints management and follow-up. One anonymous complaint had been received from an external source since the previous audit. No other complaints were received from external sources. Minor concerns are logged in the complaints register.</w:t>
            </w:r>
          </w:p>
          <w:p w14:paraId="342E9A00"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A review of the complaints register showed that actions taken, through to an agreed resolution, are documented and completed within the required timeframes. All complaints had been closed. Complainants had been informed of findings following investigation where relevant. </w:t>
            </w:r>
          </w:p>
          <w:p w14:paraId="7AD6C94A" w14:textId="77777777" w:rsidR="00E82C82" w:rsidRPr="00BE00C7" w:rsidRDefault="00E82C82" w:rsidP="00BE00C7">
            <w:pPr>
              <w:pStyle w:val="OutcomeDescription"/>
              <w:spacing w:before="120" w:after="120"/>
              <w:rPr>
                <w:rFonts w:cs="Arial"/>
                <w:lang w:eastAsia="en-NZ"/>
              </w:rPr>
            </w:pPr>
            <w:r w:rsidRPr="00BE00C7">
              <w:rPr>
                <w:rFonts w:cs="Arial"/>
                <w:lang w:eastAsia="en-NZ"/>
              </w:rPr>
              <w:t>Staff reported they knew what to do should they receive a complaint.</w:t>
            </w:r>
          </w:p>
          <w:p w14:paraId="1CF50D2D" w14:textId="77777777" w:rsidR="00E82C82" w:rsidRPr="00BE00C7" w:rsidRDefault="00E82C82" w:rsidP="00BE00C7">
            <w:pPr>
              <w:pStyle w:val="OutcomeDescription"/>
              <w:spacing w:before="120" w:after="120"/>
              <w:rPr>
                <w:rFonts w:cs="Arial"/>
                <w:lang w:eastAsia="en-NZ"/>
              </w:rPr>
            </w:pPr>
            <w:r w:rsidRPr="00BE00C7">
              <w:rPr>
                <w:rFonts w:cs="Arial"/>
                <w:lang w:eastAsia="en-NZ"/>
              </w:rPr>
              <w:t>The CHVM advised, and documentation evidenced, that there was a process in place to manage any complaints from Māori using hui, appropriate tikanga, and cultural support.</w:t>
            </w:r>
          </w:p>
          <w:p w14:paraId="00074367" w14:textId="77777777" w:rsidR="00E82C82" w:rsidRPr="00BE00C7" w:rsidRDefault="00E82C82" w:rsidP="00BE00C7">
            <w:pPr>
              <w:pStyle w:val="OutcomeDescription"/>
              <w:spacing w:before="120" w:after="120"/>
              <w:rPr>
                <w:rFonts w:cs="Arial"/>
                <w:lang w:eastAsia="en-NZ"/>
              </w:rPr>
            </w:pPr>
          </w:p>
        </w:tc>
      </w:tr>
      <w:tr w:rsidR="00AF55A0" w14:paraId="0198E8A6" w14:textId="77777777">
        <w:tc>
          <w:tcPr>
            <w:tcW w:w="0" w:type="auto"/>
          </w:tcPr>
          <w:p w14:paraId="02B79FAF" w14:textId="77777777" w:rsidR="00E82C82" w:rsidRPr="00BE00C7" w:rsidRDefault="00E82C82" w:rsidP="00BE00C7">
            <w:pPr>
              <w:pStyle w:val="OutcomeDescription"/>
              <w:spacing w:before="120" w:after="120"/>
              <w:rPr>
                <w:rFonts w:cs="Arial"/>
                <w:lang w:eastAsia="en-NZ"/>
              </w:rPr>
            </w:pPr>
            <w:r w:rsidRPr="00BE00C7">
              <w:rPr>
                <w:rFonts w:cs="Arial"/>
                <w:lang w:eastAsia="en-NZ"/>
              </w:rPr>
              <w:lastRenderedPageBreak/>
              <w:t>Subsection 2.1: Governance</w:t>
            </w:r>
          </w:p>
          <w:p w14:paraId="5975B9DD" w14:textId="77777777" w:rsidR="00E82C82" w:rsidRPr="00BE00C7" w:rsidRDefault="00E82C82"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4684375" w14:textId="77777777" w:rsidR="00E82C82" w:rsidRPr="00BE00C7" w:rsidRDefault="00E82C82" w:rsidP="00BE00C7">
            <w:pPr>
              <w:pStyle w:val="OutcomeDescription"/>
              <w:spacing w:before="120" w:after="120"/>
              <w:rPr>
                <w:rFonts w:cs="Arial"/>
                <w:lang w:eastAsia="en-NZ"/>
              </w:rPr>
            </w:pPr>
          </w:p>
        </w:tc>
        <w:tc>
          <w:tcPr>
            <w:tcW w:w="0" w:type="auto"/>
          </w:tcPr>
          <w:p w14:paraId="7EF0A6C2" w14:textId="77777777" w:rsidR="00E82C82" w:rsidRPr="00BE00C7" w:rsidRDefault="00E82C82" w:rsidP="00BE00C7">
            <w:pPr>
              <w:pStyle w:val="OutcomeDescription"/>
              <w:spacing w:before="120" w:after="120"/>
              <w:rPr>
                <w:rFonts w:cs="Arial"/>
                <w:lang w:eastAsia="en-NZ"/>
              </w:rPr>
            </w:pPr>
            <w:r w:rsidRPr="00BE00C7">
              <w:rPr>
                <w:rFonts w:cs="Arial"/>
                <w:lang w:eastAsia="en-NZ"/>
              </w:rPr>
              <w:t>FA</w:t>
            </w:r>
          </w:p>
        </w:tc>
        <w:tc>
          <w:tcPr>
            <w:tcW w:w="0" w:type="auto"/>
          </w:tcPr>
          <w:p w14:paraId="713A56B6" w14:textId="77777777" w:rsidR="00E82C82" w:rsidRPr="00BE00C7" w:rsidRDefault="00E82C82" w:rsidP="00BE00C7">
            <w:pPr>
              <w:pStyle w:val="OutcomeDescription"/>
              <w:spacing w:before="120" w:after="120"/>
              <w:rPr>
                <w:rFonts w:cs="Arial"/>
                <w:lang w:eastAsia="en-NZ"/>
              </w:rPr>
            </w:pPr>
            <w:r w:rsidRPr="00BE00C7">
              <w:rPr>
                <w:rFonts w:cs="Arial"/>
                <w:lang w:eastAsia="en-NZ"/>
              </w:rPr>
              <w:t>The governing body assumes accountability for delivering a high-quality service through supporting meaningful inclusion of Māori and Pacific peoples in governance groups, honouring Te Tiriti o Waitangi, and being focused on improving outcomes for Māori, Pacific peoples, and tāngata whaikaha. Heritage Lifecare has a legal team who monitor changes to legislative and clinical requirements and have access to domestic and international legal advice.</w:t>
            </w:r>
          </w:p>
          <w:p w14:paraId="661D763B" w14:textId="77777777" w:rsidR="00E82C82" w:rsidRPr="00BE00C7" w:rsidRDefault="00E82C82" w:rsidP="00BE00C7">
            <w:pPr>
              <w:pStyle w:val="OutcomeDescription"/>
              <w:spacing w:before="120" w:after="120"/>
              <w:rPr>
                <w:rFonts w:cs="Arial"/>
                <w:lang w:eastAsia="en-NZ"/>
              </w:rPr>
            </w:pPr>
            <w:r w:rsidRPr="00BE00C7">
              <w:rPr>
                <w:rFonts w:cs="Arial"/>
                <w:lang w:eastAsia="en-NZ"/>
              </w:rPr>
              <w:t>Information garnered from these sources translates into policy and procedure. Equity for Māori, Pacific peoples, and tāngata whaikaha is addressed through the policy documentation and enabled through choice and control over supports and the removal of barriers that prevent access to information (eg, information in other languages for the Code of Rights, infection prevention and control). Heritage Lifecare also utilises the skills of staff and senior managers and supports them in making sure barriers to equi</w:t>
            </w:r>
            <w:r w:rsidRPr="00BE00C7">
              <w:rPr>
                <w:rFonts w:cs="Arial"/>
                <w:lang w:eastAsia="en-NZ"/>
              </w:rPr>
              <w:t>table service delivery are surmounted.</w:t>
            </w:r>
          </w:p>
          <w:p w14:paraId="134DA7DA" w14:textId="77777777" w:rsidR="00E82C82" w:rsidRPr="00BE00C7" w:rsidRDefault="00E82C82" w:rsidP="00BE00C7">
            <w:pPr>
              <w:pStyle w:val="OutcomeDescription"/>
              <w:spacing w:before="120" w:after="120"/>
              <w:rPr>
                <w:rFonts w:cs="Arial"/>
                <w:lang w:eastAsia="en-NZ"/>
              </w:rPr>
            </w:pPr>
            <w:r w:rsidRPr="00BE00C7">
              <w:rPr>
                <w:rFonts w:cs="Arial"/>
                <w:lang w:eastAsia="en-NZ"/>
              </w:rPr>
              <w:t>Heritage Lifecare has a strategic plan in place that outlines the organisation’s structure, purpose, values, scope, direction, performance, and goals. The plan incorporates the Ngā Paerewa Standard in relation to antimicrobial stewardship (AMS) and restraint elimination across ethnicity. Ethnicity data is collected to support equitable service delivery.</w:t>
            </w:r>
          </w:p>
          <w:p w14:paraId="252D17AF" w14:textId="77777777" w:rsidR="00E82C82" w:rsidRPr="00BE00C7" w:rsidRDefault="00E82C82" w:rsidP="00BE00C7">
            <w:pPr>
              <w:pStyle w:val="OutcomeDescription"/>
              <w:spacing w:before="120" w:after="120"/>
              <w:rPr>
                <w:rFonts w:cs="Arial"/>
                <w:lang w:eastAsia="en-NZ"/>
              </w:rPr>
            </w:pPr>
            <w:r w:rsidRPr="00BE00C7">
              <w:rPr>
                <w:rFonts w:cs="Arial"/>
                <w:lang w:eastAsia="en-NZ"/>
              </w:rPr>
              <w:t>The 2025 Coldstream business plan, reviewed quarterly, describes annual and longer-term objectives, and was sighted. The 2026 quality goals were also sighted. The care home and village manager, who has been in the role for fifteen months, has eight years’ experience in health care management, and general business management. The CHVM also manages a local Heritage Lifecare facility, spending two to three days at each facility depending on need.  A clinical services manager (CSM) oversees the clinical care pr</w:t>
            </w:r>
            <w:r w:rsidRPr="00BE00C7">
              <w:rPr>
                <w:rFonts w:cs="Arial"/>
                <w:lang w:eastAsia="en-NZ"/>
              </w:rPr>
              <w:t xml:space="preserve">ovided at Coldstream. This person, who has six years of aged care experience, has been in the role for six months. Support is provided by the regional clinical quality manager (RCQM) and the regional business manager (RBM). The RBM was on site during the audit. </w:t>
            </w:r>
          </w:p>
          <w:p w14:paraId="4DF264F9"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Governance and the senior leadership team commit to quality and risk via policy and processes, and through feedback mechanisms. </w:t>
            </w:r>
            <w:r w:rsidRPr="00BE00C7">
              <w:rPr>
                <w:rFonts w:cs="Arial"/>
                <w:lang w:eastAsia="en-NZ"/>
              </w:rPr>
              <w:lastRenderedPageBreak/>
              <w:t>This includes receiving regular information from each of its care facilities. The HLL reporting structure relies on information from its strategic plan to inform facility-based business plans. Internal data collection (eg, adverse events, infections, audits, and complaints) is aggregated and corrective actions (at facility and organisation level as applicable) actioned. Feedback is made to the clinical governance group and to the board. Changes are made to business and/or the strategic plans as required.</w:t>
            </w:r>
          </w:p>
          <w:p w14:paraId="67187A79" w14:textId="77777777" w:rsidR="00E82C82" w:rsidRPr="00BE00C7" w:rsidRDefault="00E82C82" w:rsidP="00BE00C7">
            <w:pPr>
              <w:pStyle w:val="OutcomeDescription"/>
              <w:spacing w:before="120" w:after="120"/>
              <w:rPr>
                <w:rFonts w:cs="Arial"/>
                <w:lang w:eastAsia="en-NZ"/>
              </w:rPr>
            </w:pPr>
            <w:r w:rsidRPr="00BE00C7">
              <w:rPr>
                <w:rFonts w:cs="Arial"/>
                <w:lang w:eastAsia="en-NZ"/>
              </w:rPr>
              <w:t>Job/role descriptions are in place for all positions, including senior positions. These specify the requirements for the position and key performance indicators (KPIs) to assess performance. Heritage Lifecare uses an interview panel for senior managers. Recruiting and retaining people is a focus for HLL, the organisation looks for the ‘right people in the right place’ and aims to keep them in place for a longer period to promote stability. It also uses feedback from cultural advisers, including the Māori Ne</w:t>
            </w:r>
            <w:r w:rsidRPr="00BE00C7">
              <w:rPr>
                <w:rFonts w:cs="Arial"/>
                <w:lang w:eastAsia="en-NZ"/>
              </w:rPr>
              <w:t>twork Komiti, to inform workforce planning, sensitive and appropriate collection and use of ethnicity data, and how it can support its ethnically diverse staff.</w:t>
            </w:r>
          </w:p>
          <w:p w14:paraId="311F61E1"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The CHVM reports to the regional business manager (RBM). The RBM reported that adequate information to monitor performance was provided, and that they were well informed on progress, quality and risk. </w:t>
            </w:r>
          </w:p>
          <w:p w14:paraId="1BFABA20" w14:textId="77777777" w:rsidR="00E82C82" w:rsidRPr="00BE00C7" w:rsidRDefault="00E82C82" w:rsidP="00BE00C7">
            <w:pPr>
              <w:pStyle w:val="OutcomeDescription"/>
              <w:spacing w:before="120" w:after="120"/>
              <w:rPr>
                <w:rFonts w:cs="Arial"/>
                <w:lang w:eastAsia="en-NZ"/>
              </w:rPr>
            </w:pPr>
            <w:r w:rsidRPr="00BE00C7">
              <w:rPr>
                <w:rFonts w:cs="Arial"/>
                <w:lang w:eastAsia="en-NZ"/>
              </w:rPr>
              <w:t>Heritage Lifecare supports people to participate locally through resident meetings and satisfaction surveys. There is also a staff satisfaction survey for a wider view of how residents and staff are being supported. Results of both are used to improve services.</w:t>
            </w:r>
          </w:p>
          <w:p w14:paraId="7CC318BD" w14:textId="77777777" w:rsidR="00E82C82" w:rsidRPr="00BE00C7" w:rsidRDefault="00E82C82" w:rsidP="00BE00C7">
            <w:pPr>
              <w:pStyle w:val="OutcomeDescription"/>
              <w:spacing w:before="120" w:after="120"/>
              <w:rPr>
                <w:rFonts w:cs="Arial"/>
                <w:lang w:eastAsia="en-NZ"/>
              </w:rPr>
            </w:pPr>
            <w:r w:rsidRPr="00BE00C7">
              <w:rPr>
                <w:rFonts w:cs="Arial"/>
                <w:lang w:eastAsia="en-NZ"/>
              </w:rPr>
              <w:t>Directors of HLL have undertaken the e-learning education on Te Tiriti, health equity, and cultural safety provided by Manatū Hauora.</w:t>
            </w:r>
          </w:p>
          <w:p w14:paraId="639916ED" w14:textId="77777777" w:rsidR="00E82C82" w:rsidRPr="00BE00C7" w:rsidRDefault="00E82C82" w:rsidP="00BE00C7">
            <w:pPr>
              <w:pStyle w:val="OutcomeDescription"/>
              <w:spacing w:before="120" w:after="120"/>
              <w:rPr>
                <w:rFonts w:cs="Arial"/>
                <w:lang w:eastAsia="en-NZ"/>
              </w:rPr>
            </w:pPr>
            <w:r w:rsidRPr="00BE00C7">
              <w:rPr>
                <w:rFonts w:cs="Arial"/>
                <w:lang w:eastAsia="en-NZ"/>
              </w:rPr>
              <w:t>The clinical governance structure in place is appropriate to the size and complexity of the service. The clinical team, guided by the clinical advisory group and the CSM, discuss clinical indicators including medication errors, complaints, compliments, training, and infections. Meeting minutes were sighted.</w:t>
            </w:r>
          </w:p>
          <w:p w14:paraId="03115D24"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The service holds contracts with Te Whatu Ora Waitaha Canterbury (Te Whatu Ora) for age-related residential care (ARRC), respite, palliative care, rest home, hospital, and long-term support – chronic </w:t>
            </w:r>
            <w:r w:rsidRPr="00BE00C7">
              <w:rPr>
                <w:rFonts w:cs="Arial"/>
                <w:lang w:eastAsia="en-NZ"/>
              </w:rPr>
              <w:lastRenderedPageBreak/>
              <w:t>health conditions (LTSCHC), for up to 58 residents.</w:t>
            </w:r>
          </w:p>
          <w:p w14:paraId="4C2ED5CA"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Contracts are also held with Manatū Hauora for young people with a disability (YPD).  </w:t>
            </w:r>
          </w:p>
          <w:p w14:paraId="3BCC8A91"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Fifty residents were receiving services under the contracts on the day of the audit. Twenty-six residents were receiving rest home level of care under the ARRC contract, including one resident on the respite contract and one receiving care on a compulsory treatment order.  Fifteen residents were receiving hospital level of care under the ARRC contract. </w:t>
            </w:r>
          </w:p>
          <w:p w14:paraId="30ECA189" w14:textId="77777777" w:rsidR="00E82C82" w:rsidRPr="00BE00C7" w:rsidRDefault="00E82C82" w:rsidP="00BE00C7">
            <w:pPr>
              <w:pStyle w:val="OutcomeDescription"/>
              <w:spacing w:before="120" w:after="120"/>
              <w:rPr>
                <w:rFonts w:cs="Arial"/>
                <w:lang w:eastAsia="en-NZ"/>
              </w:rPr>
            </w:pPr>
            <w:r w:rsidRPr="00BE00C7">
              <w:rPr>
                <w:rFonts w:cs="Arial"/>
                <w:lang w:eastAsia="en-NZ"/>
              </w:rPr>
              <w:t>Four residents were receiving care under the long-term support – chronic health conditions contract (LTSCHC): two receiving hospital level of care, and two receiving rest home level of care.</w:t>
            </w:r>
          </w:p>
          <w:p w14:paraId="00FDDBD7" w14:textId="77777777" w:rsidR="00E82C82" w:rsidRPr="00BE00C7" w:rsidRDefault="00E82C82" w:rsidP="00BE00C7">
            <w:pPr>
              <w:pStyle w:val="OutcomeDescription"/>
              <w:spacing w:before="120" w:after="120"/>
              <w:rPr>
                <w:rFonts w:cs="Arial"/>
                <w:lang w:eastAsia="en-NZ"/>
              </w:rPr>
            </w:pPr>
            <w:r w:rsidRPr="00BE00C7">
              <w:rPr>
                <w:rFonts w:cs="Arial"/>
                <w:lang w:eastAsia="en-NZ"/>
              </w:rPr>
              <w:t>Four residents were receiving care under the YPD contract: two receiving hospital level of care, and two receiving rest home level of care.  One resident was receiving end-of-life care. Thirty-five beds are certified as dual-purpose beds.</w:t>
            </w:r>
          </w:p>
          <w:p w14:paraId="3CB83368" w14:textId="77777777" w:rsidR="00E82C82" w:rsidRPr="00BE00C7" w:rsidRDefault="00E82C82" w:rsidP="00BE00C7">
            <w:pPr>
              <w:pStyle w:val="OutcomeDescription"/>
              <w:spacing w:before="120" w:after="120"/>
              <w:rPr>
                <w:rFonts w:cs="Arial"/>
                <w:lang w:eastAsia="en-NZ"/>
              </w:rPr>
            </w:pPr>
          </w:p>
        </w:tc>
      </w:tr>
      <w:tr w:rsidR="00AF55A0" w14:paraId="74749258" w14:textId="77777777">
        <w:tc>
          <w:tcPr>
            <w:tcW w:w="0" w:type="auto"/>
          </w:tcPr>
          <w:p w14:paraId="6221EB97" w14:textId="77777777" w:rsidR="00E82C82" w:rsidRPr="00BE00C7" w:rsidRDefault="00E82C82"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A57DE0B" w14:textId="77777777" w:rsidR="00E82C82" w:rsidRPr="00BE00C7" w:rsidRDefault="00E82C82"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7EE174D" w14:textId="77777777" w:rsidR="00E82C82" w:rsidRPr="00BE00C7" w:rsidRDefault="00E82C82" w:rsidP="00BE00C7">
            <w:pPr>
              <w:pStyle w:val="OutcomeDescription"/>
              <w:spacing w:before="120" w:after="120"/>
              <w:rPr>
                <w:rFonts w:cs="Arial"/>
                <w:lang w:eastAsia="en-NZ"/>
              </w:rPr>
            </w:pPr>
          </w:p>
        </w:tc>
        <w:tc>
          <w:tcPr>
            <w:tcW w:w="0" w:type="auto"/>
          </w:tcPr>
          <w:p w14:paraId="7400AD80" w14:textId="77777777" w:rsidR="00E82C82" w:rsidRPr="00BE00C7" w:rsidRDefault="00E82C82" w:rsidP="00BE00C7">
            <w:pPr>
              <w:pStyle w:val="OutcomeDescription"/>
              <w:spacing w:before="120" w:after="120"/>
              <w:rPr>
                <w:rFonts w:cs="Arial"/>
                <w:lang w:eastAsia="en-NZ"/>
              </w:rPr>
            </w:pPr>
            <w:r w:rsidRPr="00BE00C7">
              <w:rPr>
                <w:rFonts w:cs="Arial"/>
                <w:lang w:eastAsia="en-NZ"/>
              </w:rPr>
              <w:t>FA</w:t>
            </w:r>
          </w:p>
        </w:tc>
        <w:tc>
          <w:tcPr>
            <w:tcW w:w="0" w:type="auto"/>
          </w:tcPr>
          <w:p w14:paraId="590D011B"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The organisation has a planned quality and risk system that reflects the principles of continuous quality improvement. This includes the management of incidents, accidents, and hazards, the monitoring of clinical incidents such as falls, pressure injuries, infections, wounds, and medication errors, complaints, audit activities, and policies and procedures. </w:t>
            </w:r>
          </w:p>
          <w:p w14:paraId="62F06184" w14:textId="77777777" w:rsidR="00E82C82" w:rsidRPr="00BE00C7" w:rsidRDefault="00E82C82" w:rsidP="00BE00C7">
            <w:pPr>
              <w:pStyle w:val="OutcomeDescription"/>
              <w:spacing w:before="120" w:after="120"/>
              <w:rPr>
                <w:rFonts w:cs="Arial"/>
                <w:lang w:eastAsia="en-NZ"/>
              </w:rPr>
            </w:pPr>
            <w:r w:rsidRPr="00BE00C7">
              <w:rPr>
                <w:rFonts w:cs="Arial"/>
                <w:lang w:eastAsia="en-NZ"/>
              </w:rPr>
              <w:t>Residents and staff contribute to quality improvement through the ability to give feedback at meetings and in surveys. The CHVM reported that residents have three-monthly meetings facilitated by an independent advocate. Additionally, residents and their whānau meet monthly.</w:t>
            </w:r>
          </w:p>
          <w:p w14:paraId="3AD9F6B2"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A residents’ satisfaction survey completed during August 2025 showed that residents were moderately satisfied with the level of care provided. An action plan was sighted. The CHVM reported, and evidence confirmed, that residents were informed of the outcome at the residents’ meeting. </w:t>
            </w:r>
          </w:p>
          <w:p w14:paraId="56D9DA29" w14:textId="77777777" w:rsidR="00E82C82" w:rsidRPr="00BE00C7" w:rsidRDefault="00E82C82" w:rsidP="00BE00C7">
            <w:pPr>
              <w:pStyle w:val="OutcomeDescription"/>
              <w:spacing w:before="120" w:after="120"/>
              <w:rPr>
                <w:rFonts w:cs="Arial"/>
                <w:lang w:eastAsia="en-NZ"/>
              </w:rPr>
            </w:pPr>
            <w:r w:rsidRPr="00BE00C7">
              <w:rPr>
                <w:rFonts w:cs="Arial"/>
                <w:lang w:eastAsia="en-NZ"/>
              </w:rPr>
              <w:lastRenderedPageBreak/>
              <w:t>The last staff survey completed during August 2025 evidenced that staff were moderately satisfied. The CHVM reported that staff were informed of the results at a roadshow led by staff from Heritage Lifecare management. Discussions followed. A follow-up survey was conducted during February 2026 and the results are being analysed.</w:t>
            </w:r>
          </w:p>
          <w:p w14:paraId="7E934C61" w14:textId="77777777" w:rsidR="00E82C82" w:rsidRPr="00BE00C7" w:rsidRDefault="00E82C82" w:rsidP="00BE00C7">
            <w:pPr>
              <w:pStyle w:val="OutcomeDescription"/>
              <w:spacing w:before="120" w:after="120"/>
              <w:rPr>
                <w:rFonts w:cs="Arial"/>
                <w:lang w:eastAsia="en-NZ"/>
              </w:rPr>
            </w:pPr>
            <w:r w:rsidRPr="00BE00C7">
              <w:rPr>
                <w:rFonts w:cs="Arial"/>
                <w:lang w:eastAsia="en-NZ"/>
              </w:rPr>
              <w:t>Young people with disabilities have input into quality improvements to the service through activities, outings, annual surveys, and monthly resident meetings. The CHVM reported that young people have access to an electronic tablet and to Wi-Fi.</w:t>
            </w:r>
          </w:p>
          <w:p w14:paraId="73E61E3F"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A sample of quality and risk-related meeting minutes was reviewed and confirmed there have been regular reviews and analysis of quality indicators, and that related information is reported and discussed. This was confirmed by staff at interview. </w:t>
            </w:r>
          </w:p>
          <w:p w14:paraId="5E233E36"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Trends are graphed and displayed on notice boards in public and staff areas. </w:t>
            </w:r>
          </w:p>
          <w:p w14:paraId="09168A0B"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The CHVM is responsible for quality. Quality improvement initiatives include reducing the number of infections and falls through staff training and awareness, and improving the residents’ dining experience. </w:t>
            </w:r>
          </w:p>
          <w:p w14:paraId="40BA751A"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contractual requirements, and were current. </w:t>
            </w:r>
          </w:p>
          <w:p w14:paraId="4C2B4D9F"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The 2026 internal audit schedule was sighted. A sample of completed audits was sighted. Comprehensive relevant corrective actions are developed and implemented to address any shortfalls. Progress against quality outcomes is evaluated. </w:t>
            </w:r>
          </w:p>
          <w:p w14:paraId="344DAB2C" w14:textId="77777777" w:rsidR="00E82C82" w:rsidRPr="00BE00C7" w:rsidRDefault="00E82C82" w:rsidP="00BE00C7">
            <w:pPr>
              <w:pStyle w:val="OutcomeDescription"/>
              <w:spacing w:before="120" w:after="120"/>
              <w:rPr>
                <w:rFonts w:cs="Arial"/>
                <w:lang w:eastAsia="en-NZ"/>
              </w:rPr>
            </w:pPr>
            <w:r w:rsidRPr="00BE00C7">
              <w:rPr>
                <w:rFonts w:cs="Arial"/>
                <w:lang w:eastAsia="en-NZ"/>
              </w:rPr>
              <w:t>The CHVM understood the processes for the identification of external and internal risks, documentation, monitoring, review, and reporting of risks, including health and safety risks, the lift, cybersecurity, and development of mitigation strategies. Staff reported at interview that they knew to report risks. Potential inequities are identified and addressed through training, care planning, and communicating with the resident. The risk register was current and sighted.</w:t>
            </w:r>
          </w:p>
          <w:p w14:paraId="22AC8BBB"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Staff document adverse and near-miss events in line with the National Adverse Events Reporting Policy. A sample of incidents </w:t>
            </w:r>
            <w:r w:rsidRPr="00BE00C7">
              <w:rPr>
                <w:rFonts w:cs="Arial"/>
                <w:lang w:eastAsia="en-NZ"/>
              </w:rPr>
              <w:lastRenderedPageBreak/>
              <w:t>forms reviewed showed these were fully completed, incidents were investigated, action plans developed, and any corrective actions followed up in a timely manner.</w:t>
            </w:r>
          </w:p>
          <w:p w14:paraId="5079491E"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The CSM understood and has complied with essential notification reporting requirements. Five Section 31 notifications completed since the last audit were sighted. One related to the change of CS, and one related to a false fire alarm. One related to a resident leaving the property unescorted. Strategies, including intentional observations, were put in place to minimise the risk of this reoccurring. </w:t>
            </w:r>
          </w:p>
          <w:p w14:paraId="57F6E8FA" w14:textId="77777777" w:rsidR="00E82C82" w:rsidRPr="00BE00C7" w:rsidRDefault="00E82C82" w:rsidP="00BE00C7">
            <w:pPr>
              <w:pStyle w:val="OutcomeDescription"/>
              <w:spacing w:before="120" w:after="120"/>
              <w:rPr>
                <w:rFonts w:cs="Arial"/>
                <w:lang w:eastAsia="en-NZ"/>
              </w:rPr>
            </w:pPr>
            <w:r w:rsidRPr="00BE00C7">
              <w:rPr>
                <w:rFonts w:cs="Arial"/>
                <w:lang w:eastAsia="en-NZ"/>
              </w:rPr>
              <w:t>The CSM was aware of reporting to the Health Quality &amp; Safety Commission. Five reports relating to pressure injuries were sighted.  The CMS reported that there were no pressure injuries at the time of the audit.</w:t>
            </w:r>
          </w:p>
          <w:p w14:paraId="365499EF"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Staff are supported to deliver high-quality health care to residents who identify as Māori through, for example, training, including cultural safety training, cultural assessments, care planning, handover, and communicating with the resident and whānau. Staff reported they are learning te reo Māori and gave examples of tikanga. </w:t>
            </w:r>
          </w:p>
          <w:p w14:paraId="66A23ADE" w14:textId="77777777" w:rsidR="00E82C82" w:rsidRPr="00BE00C7" w:rsidRDefault="00E82C82" w:rsidP="00BE00C7">
            <w:pPr>
              <w:pStyle w:val="OutcomeDescription"/>
              <w:spacing w:before="120" w:after="120"/>
              <w:rPr>
                <w:rFonts w:cs="Arial"/>
                <w:lang w:eastAsia="en-NZ"/>
              </w:rPr>
            </w:pPr>
            <w:r w:rsidRPr="00BE00C7">
              <w:rPr>
                <w:rFonts w:cs="Arial"/>
                <w:lang w:eastAsia="en-NZ"/>
              </w:rPr>
              <w:t>Critical analysis of organisational practices to improve health equity is occurring, with appropriate follow-up and reporting. The CSM reported, and evidence was sighted, of critical analysis of practices. The CSM reported that pressure injury rates had been high in the past; however, with additional training and awareness, this had been addressed.  Rates of infection were low compared to other Heritage facilities. The CSM described actions to mitigate the risk and reduce the rates. Graphs and narratives we</w:t>
            </w:r>
            <w:r w:rsidRPr="00BE00C7">
              <w:rPr>
                <w:rFonts w:cs="Arial"/>
                <w:lang w:eastAsia="en-NZ"/>
              </w:rPr>
              <w:t>re sighted.</w:t>
            </w:r>
          </w:p>
          <w:p w14:paraId="78B936B4" w14:textId="77777777" w:rsidR="00E82C82" w:rsidRPr="00BE00C7" w:rsidRDefault="00E82C82" w:rsidP="00BE00C7">
            <w:pPr>
              <w:pStyle w:val="OutcomeDescription"/>
              <w:spacing w:before="120" w:after="120"/>
              <w:rPr>
                <w:rFonts w:cs="Arial"/>
                <w:lang w:eastAsia="en-NZ"/>
              </w:rPr>
            </w:pPr>
          </w:p>
        </w:tc>
      </w:tr>
      <w:tr w:rsidR="00AF55A0" w14:paraId="2B479EAC" w14:textId="77777777">
        <w:tc>
          <w:tcPr>
            <w:tcW w:w="0" w:type="auto"/>
          </w:tcPr>
          <w:p w14:paraId="371F3D05" w14:textId="77777777" w:rsidR="00E82C82" w:rsidRPr="00BE00C7" w:rsidRDefault="00E82C82"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474B6D1" w14:textId="77777777" w:rsidR="00E82C82" w:rsidRPr="00BE00C7" w:rsidRDefault="00E82C82"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 xml:space="preserve">As service providers: We ensure our day-to-day operation is managed </w:t>
            </w:r>
            <w:r w:rsidRPr="00BE00C7">
              <w:rPr>
                <w:rFonts w:cs="Arial"/>
                <w:lang w:eastAsia="en-NZ"/>
              </w:rPr>
              <w:lastRenderedPageBreak/>
              <w:t>to deliver effective person-centred and whānau-centred services.</w:t>
            </w:r>
          </w:p>
          <w:p w14:paraId="4C964D23" w14:textId="77777777" w:rsidR="00E82C82" w:rsidRPr="00BE00C7" w:rsidRDefault="00E82C82" w:rsidP="00BE00C7">
            <w:pPr>
              <w:pStyle w:val="OutcomeDescription"/>
              <w:spacing w:before="120" w:after="120"/>
              <w:rPr>
                <w:rFonts w:cs="Arial"/>
                <w:lang w:eastAsia="en-NZ"/>
              </w:rPr>
            </w:pPr>
          </w:p>
        </w:tc>
        <w:tc>
          <w:tcPr>
            <w:tcW w:w="0" w:type="auto"/>
          </w:tcPr>
          <w:p w14:paraId="3D1A100E" w14:textId="77777777" w:rsidR="00E82C82" w:rsidRPr="00BE00C7" w:rsidRDefault="00E82C8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BE6C8D9" w14:textId="77777777" w:rsidR="00E82C82" w:rsidRPr="00BE00C7" w:rsidRDefault="00E82C82"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A Safe Rostering tool was used. The facility adjusts staffing levels to meet the changing needs of residents. A review of four weekly rosters confirmed adequate cover had been provided, with staff replaced in any unplanned absence. A multidisciplinary team (MDT) approach ensures all aspects of service delivery are met. Residen</w:t>
            </w:r>
            <w:r w:rsidRPr="00BE00C7">
              <w:rPr>
                <w:rFonts w:cs="Arial"/>
                <w:lang w:eastAsia="en-NZ"/>
              </w:rPr>
              <w:t xml:space="preserve">ts and </w:t>
            </w:r>
            <w:r w:rsidRPr="00BE00C7">
              <w:rPr>
                <w:rFonts w:cs="Arial"/>
                <w:lang w:eastAsia="en-NZ"/>
              </w:rPr>
              <w:lastRenderedPageBreak/>
              <w:t>whānau reported there were adequate staff.</w:t>
            </w:r>
          </w:p>
          <w:p w14:paraId="4FB3E58D" w14:textId="77777777" w:rsidR="00E82C82" w:rsidRPr="00BE00C7" w:rsidRDefault="00E82C82" w:rsidP="00BE00C7">
            <w:pPr>
              <w:pStyle w:val="OutcomeDescription"/>
              <w:spacing w:before="120" w:after="120"/>
              <w:rPr>
                <w:rFonts w:cs="Arial"/>
                <w:lang w:eastAsia="en-NZ"/>
              </w:rPr>
            </w:pPr>
            <w:r w:rsidRPr="00BE00C7">
              <w:rPr>
                <w:rFonts w:cs="Arial"/>
                <w:lang w:eastAsia="en-NZ"/>
              </w:rPr>
              <w:t>There is always at least one staff member on duty who has a current first aid certificate, and there is 24/7 RN coverage in the hospital. There are staff who have worked in this care home for between one month and at least 15 years. An after-hours on-call system is in place, with the CSM and CHVM sharing the role to provide support 24/7. Staff reported that good access to advice is available when needed.</w:t>
            </w:r>
          </w:p>
          <w:p w14:paraId="437A3F52"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The CHVM described the recruitment process, which ensures staff have the skills, attitudes, qualifications, experience, attributes, and referee and police vetting checks to meet the needs of the people being supported. </w:t>
            </w:r>
          </w:p>
          <w:p w14:paraId="43DBF23F" w14:textId="77777777" w:rsidR="00E82C82" w:rsidRPr="00BE00C7" w:rsidRDefault="00E82C82" w:rsidP="00BE00C7">
            <w:pPr>
              <w:pStyle w:val="OutcomeDescription"/>
              <w:spacing w:before="120" w:after="120"/>
              <w:rPr>
                <w:rFonts w:cs="Arial"/>
                <w:lang w:eastAsia="en-NZ"/>
              </w:rPr>
            </w:pPr>
            <w:r w:rsidRPr="00BE00C7">
              <w:rPr>
                <w:rFonts w:cs="Arial"/>
                <w:lang w:eastAsia="en-NZ"/>
              </w:rPr>
              <w:t>Continuing education is planned on an annual basis and includes mandatory training requirements. Staff reported at interview, and documentation confirmed, that staff have received training to care for residents receiving end-of-life care, pressure injuries, bullying, manual handling and hoisting, syringe driver, fire evacuation, restraint-free training, medication, and the code of rights.</w:t>
            </w:r>
          </w:p>
          <w:p w14:paraId="67E94356"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The CHVM reported, and staff confirmed, that staff hold Level 2, 3 and 4 New Zealand Qualifications Authority (NZQA) education qualifications to meet the requirements of the provider’s agreements with Health New Zealand – Te Whatu Ora. Staff reported attending training. </w:t>
            </w:r>
          </w:p>
          <w:p w14:paraId="7AC91C05" w14:textId="77777777" w:rsidR="00E82C82" w:rsidRPr="00BE00C7" w:rsidRDefault="00E82C82" w:rsidP="00BE00C7">
            <w:pPr>
              <w:pStyle w:val="OutcomeDescription"/>
              <w:spacing w:before="120" w:after="120"/>
              <w:rPr>
                <w:rFonts w:cs="Arial"/>
                <w:lang w:eastAsia="en-NZ"/>
              </w:rPr>
            </w:pPr>
            <w:r w:rsidRPr="00BE00C7">
              <w:rPr>
                <w:rFonts w:cs="Arial"/>
                <w:lang w:eastAsia="en-NZ"/>
              </w:rPr>
              <w:t>Evidence was sighted that staff had completed the training competencies required by the Heritage Lifecare policy in full, including confirmation of knowledge and completion of the practical observation of competency where this is a requirement. Staff confirmed the training at interview.</w:t>
            </w:r>
          </w:p>
          <w:p w14:paraId="1044ED98"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Meetings are held with the residents and their whānau to discuss and sign care plans. Residents’ meetings are held monthly and are an opportunity for people to discuss and express opinions on aspects of the service. Minutes evidenced that people were satisfied with the meals, and that they knew how to make a complaint should they need to. </w:t>
            </w:r>
          </w:p>
          <w:p w14:paraId="3F5BAAC6"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The collection and sharing of high-quality Māori health information </w:t>
            </w:r>
            <w:r w:rsidRPr="00BE00C7">
              <w:rPr>
                <w:rFonts w:cs="Arial"/>
                <w:lang w:eastAsia="en-NZ"/>
              </w:rPr>
              <w:lastRenderedPageBreak/>
              <w:t>across the service is through policy and procedure, resources, appropriate care planning using relevant models of care, resident and whānau engagement, and through staff education.</w:t>
            </w:r>
          </w:p>
          <w:p w14:paraId="3AB33D81"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The CHVM reported that, where health equity expertise is not available, external agencies are contacted to support in the development of health equity expertise for health care and support workers. For example, Te Whatu Ora gerontology staff, palliative care, and wound care. </w:t>
            </w:r>
          </w:p>
          <w:p w14:paraId="094B53F6" w14:textId="77777777" w:rsidR="00E82C82" w:rsidRPr="00BE00C7" w:rsidRDefault="00E82C82" w:rsidP="00BE00C7">
            <w:pPr>
              <w:pStyle w:val="OutcomeDescription"/>
              <w:spacing w:before="120" w:after="120"/>
              <w:rPr>
                <w:rFonts w:cs="Arial"/>
                <w:lang w:eastAsia="en-NZ"/>
              </w:rPr>
            </w:pPr>
            <w:r w:rsidRPr="00BE00C7">
              <w:rPr>
                <w:rFonts w:cs="Arial"/>
                <w:lang w:eastAsia="en-NZ"/>
              </w:rPr>
              <w:t>Staff reported feeling well supported and safe in the workplace. There are policies and procedures in place around wellness, bullying and harassment. An employee assistance programme (EAP) is available to staff who may require extra support.</w:t>
            </w:r>
          </w:p>
          <w:p w14:paraId="29E0AC88" w14:textId="77777777" w:rsidR="00E82C82" w:rsidRPr="00BE00C7" w:rsidRDefault="00E82C82" w:rsidP="00BE00C7">
            <w:pPr>
              <w:pStyle w:val="OutcomeDescription"/>
              <w:spacing w:before="120" w:after="120"/>
              <w:rPr>
                <w:rFonts w:cs="Arial"/>
                <w:lang w:eastAsia="en-NZ"/>
              </w:rPr>
            </w:pPr>
          </w:p>
        </w:tc>
      </w:tr>
      <w:tr w:rsidR="00AF55A0" w14:paraId="7101300C" w14:textId="77777777">
        <w:tc>
          <w:tcPr>
            <w:tcW w:w="0" w:type="auto"/>
          </w:tcPr>
          <w:p w14:paraId="759EE7F9" w14:textId="77777777" w:rsidR="00E82C82" w:rsidRPr="00BE00C7" w:rsidRDefault="00E82C82"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C364433" w14:textId="77777777" w:rsidR="00E82C82" w:rsidRPr="00BE00C7" w:rsidRDefault="00E82C82"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8E34565" w14:textId="77777777" w:rsidR="00E82C82" w:rsidRPr="00BE00C7" w:rsidRDefault="00E82C82" w:rsidP="00BE00C7">
            <w:pPr>
              <w:pStyle w:val="OutcomeDescription"/>
              <w:spacing w:before="120" w:after="120"/>
              <w:rPr>
                <w:rFonts w:cs="Arial"/>
                <w:lang w:eastAsia="en-NZ"/>
              </w:rPr>
            </w:pPr>
          </w:p>
        </w:tc>
        <w:tc>
          <w:tcPr>
            <w:tcW w:w="0" w:type="auto"/>
          </w:tcPr>
          <w:p w14:paraId="41EA310C" w14:textId="77777777" w:rsidR="00E82C82" w:rsidRPr="00BE00C7" w:rsidRDefault="00E82C82" w:rsidP="00BE00C7">
            <w:pPr>
              <w:pStyle w:val="OutcomeDescription"/>
              <w:spacing w:before="120" w:after="120"/>
              <w:rPr>
                <w:rFonts w:cs="Arial"/>
                <w:lang w:eastAsia="en-NZ"/>
              </w:rPr>
            </w:pPr>
            <w:r w:rsidRPr="00BE00C7">
              <w:rPr>
                <w:rFonts w:cs="Arial"/>
                <w:lang w:eastAsia="en-NZ"/>
              </w:rPr>
              <w:t>FA</w:t>
            </w:r>
          </w:p>
        </w:tc>
        <w:tc>
          <w:tcPr>
            <w:tcW w:w="0" w:type="auto"/>
          </w:tcPr>
          <w:p w14:paraId="50686EDA"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eight staff records reviewed confirmed the organisation’s policies are being consistently implemented. </w:t>
            </w:r>
          </w:p>
          <w:p w14:paraId="517184B3" w14:textId="77777777" w:rsidR="00E82C82" w:rsidRPr="00BE00C7" w:rsidRDefault="00E82C82" w:rsidP="00BE00C7">
            <w:pPr>
              <w:pStyle w:val="OutcomeDescription"/>
              <w:spacing w:before="120" w:after="120"/>
              <w:rPr>
                <w:rFonts w:cs="Arial"/>
                <w:lang w:eastAsia="en-NZ"/>
              </w:rPr>
            </w:pPr>
            <w:r w:rsidRPr="00BE00C7">
              <w:rPr>
                <w:rFonts w:cs="Arial"/>
                <w:lang w:eastAsia="en-NZ"/>
              </w:rPr>
              <w:t>Position descriptions were documented and were sighted in the files reviewed. Qualifications were validated prior to employment and then checked and documented annually. Current annual practicing certificates were sighted for the nine RNs, five pharmacists, the dietitian, the physiotherapist, nine general practitioners, and the podiatrist. The DT’s Level 4 NZQA certificate was sighted.</w:t>
            </w:r>
          </w:p>
          <w:p w14:paraId="0AFCA943"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Staff reported that the orientation programme prepared them well and includes all necessary components relevant to the role. Staff described their orientation and that they are buddied with an experienced staff member for as long as necessary to ensure competency. Evidence of this was seen in files reviewed. </w:t>
            </w:r>
          </w:p>
          <w:p w14:paraId="19F627D7"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Staff confirmed that performance is reviewed and discussed during and after orientation, and annually thereafter. Completed reviews were sighted. Information held about staff is accurate, relevant, secure, stored, and archived confidentially. </w:t>
            </w:r>
          </w:p>
          <w:p w14:paraId="136314F0"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Electronic data is username- and password-protected. Information is available only to those authorised to use it. Ethnicity data is recorded </w:t>
            </w:r>
            <w:r w:rsidRPr="00BE00C7">
              <w:rPr>
                <w:rFonts w:cs="Arial"/>
                <w:lang w:eastAsia="en-NZ"/>
              </w:rPr>
              <w:lastRenderedPageBreak/>
              <w:t>and used in accordance with Health Information Standards Organisation (HISO) requirements.</w:t>
            </w:r>
          </w:p>
          <w:p w14:paraId="5B26E6A5" w14:textId="77777777" w:rsidR="00E82C82" w:rsidRPr="00BE00C7" w:rsidRDefault="00E82C82" w:rsidP="00BE00C7">
            <w:pPr>
              <w:pStyle w:val="OutcomeDescription"/>
              <w:spacing w:before="120" w:after="120"/>
              <w:rPr>
                <w:rFonts w:cs="Arial"/>
                <w:lang w:eastAsia="en-NZ"/>
              </w:rPr>
            </w:pPr>
            <w:r w:rsidRPr="00BE00C7">
              <w:rPr>
                <w:rFonts w:cs="Arial"/>
                <w:lang w:eastAsia="en-NZ"/>
              </w:rPr>
              <w:t>Debrief for staff is outlined in policy. The CSM described, and the CHVM confirmed, two examples of staff being debriefed to ensure wellness.</w:t>
            </w:r>
          </w:p>
          <w:p w14:paraId="7E6B2F44" w14:textId="77777777" w:rsidR="00E82C82" w:rsidRPr="00BE00C7" w:rsidRDefault="00E82C82" w:rsidP="00BE00C7">
            <w:pPr>
              <w:pStyle w:val="OutcomeDescription"/>
              <w:spacing w:before="120" w:after="120"/>
              <w:rPr>
                <w:rFonts w:cs="Arial"/>
                <w:lang w:eastAsia="en-NZ"/>
              </w:rPr>
            </w:pPr>
          </w:p>
        </w:tc>
      </w:tr>
      <w:tr w:rsidR="00AF55A0" w14:paraId="5F4AB91D" w14:textId="77777777">
        <w:tc>
          <w:tcPr>
            <w:tcW w:w="0" w:type="auto"/>
          </w:tcPr>
          <w:p w14:paraId="559D2F60" w14:textId="77777777" w:rsidR="00E82C82" w:rsidRPr="00BE00C7" w:rsidRDefault="00E82C82" w:rsidP="00BE00C7">
            <w:pPr>
              <w:pStyle w:val="OutcomeDescription"/>
              <w:spacing w:before="120" w:after="120"/>
              <w:rPr>
                <w:rFonts w:cs="Arial"/>
                <w:lang w:eastAsia="en-NZ"/>
              </w:rPr>
            </w:pPr>
            <w:r w:rsidRPr="00BE00C7">
              <w:rPr>
                <w:rFonts w:cs="Arial"/>
                <w:lang w:eastAsia="en-NZ"/>
              </w:rPr>
              <w:lastRenderedPageBreak/>
              <w:t>Subsection 2.5: Information</w:t>
            </w:r>
          </w:p>
          <w:p w14:paraId="0A2F48D3" w14:textId="77777777" w:rsidR="00E82C82" w:rsidRPr="00BE00C7" w:rsidRDefault="00E82C82"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53097D0D" w14:textId="77777777" w:rsidR="00E82C82" w:rsidRPr="00BE00C7" w:rsidRDefault="00E82C82" w:rsidP="00BE00C7">
            <w:pPr>
              <w:pStyle w:val="OutcomeDescription"/>
              <w:spacing w:before="120" w:after="120"/>
              <w:rPr>
                <w:rFonts w:cs="Arial"/>
                <w:lang w:eastAsia="en-NZ"/>
              </w:rPr>
            </w:pPr>
          </w:p>
        </w:tc>
        <w:tc>
          <w:tcPr>
            <w:tcW w:w="0" w:type="auto"/>
          </w:tcPr>
          <w:p w14:paraId="2E0F309E" w14:textId="77777777" w:rsidR="00E82C82" w:rsidRPr="00BE00C7" w:rsidRDefault="00E82C82" w:rsidP="00BE00C7">
            <w:pPr>
              <w:pStyle w:val="OutcomeDescription"/>
              <w:spacing w:before="120" w:after="120"/>
              <w:rPr>
                <w:rFonts w:cs="Arial"/>
                <w:lang w:eastAsia="en-NZ"/>
              </w:rPr>
            </w:pPr>
            <w:r w:rsidRPr="00BE00C7">
              <w:rPr>
                <w:rFonts w:cs="Arial"/>
                <w:lang w:eastAsia="en-NZ"/>
              </w:rPr>
              <w:t>FA</w:t>
            </w:r>
          </w:p>
        </w:tc>
        <w:tc>
          <w:tcPr>
            <w:tcW w:w="0" w:type="auto"/>
          </w:tcPr>
          <w:p w14:paraId="17C8EF86"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The service maintains quality records that comply with relevant legislation, health information standards, and professional guidelines. Most information is held electronically and is username- and password-protected. Any paper-based records are held securely and available only to authorised users. Information is accessible for all those who need it. </w:t>
            </w:r>
          </w:p>
          <w:p w14:paraId="12999E28"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All necessary demographic, personal, clinical and health information was fully completed in the staff and residents’ files sampled for review. Clinical notes were current, integrated and legible, and met current documentation standards. </w:t>
            </w:r>
          </w:p>
          <w:p w14:paraId="2A551A08"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Files for residents and staff are held securely for the required period before being destroyed. </w:t>
            </w:r>
          </w:p>
          <w:p w14:paraId="1DD472E9" w14:textId="77777777" w:rsidR="00E82C82" w:rsidRPr="00BE00C7" w:rsidRDefault="00E82C82" w:rsidP="00BE00C7">
            <w:pPr>
              <w:pStyle w:val="OutcomeDescription"/>
              <w:spacing w:before="120" w:after="120"/>
              <w:rPr>
                <w:rFonts w:cs="Arial"/>
                <w:lang w:eastAsia="en-NZ"/>
              </w:rPr>
            </w:pPr>
            <w:r w:rsidRPr="00BE00C7">
              <w:rPr>
                <w:rFonts w:cs="Arial"/>
                <w:lang w:eastAsia="en-NZ"/>
              </w:rPr>
              <w:t>Coldstream is not responsible for National Health Index registration of people receiving services.</w:t>
            </w:r>
          </w:p>
          <w:p w14:paraId="7A490B7D" w14:textId="77777777" w:rsidR="00E82C82" w:rsidRPr="00BE00C7" w:rsidRDefault="00E82C82" w:rsidP="00BE00C7">
            <w:pPr>
              <w:pStyle w:val="OutcomeDescription"/>
              <w:spacing w:before="120" w:after="120"/>
              <w:rPr>
                <w:rFonts w:cs="Arial"/>
                <w:lang w:eastAsia="en-NZ"/>
              </w:rPr>
            </w:pPr>
          </w:p>
        </w:tc>
      </w:tr>
      <w:tr w:rsidR="00AF55A0" w14:paraId="06CF7D88" w14:textId="77777777">
        <w:tc>
          <w:tcPr>
            <w:tcW w:w="0" w:type="auto"/>
          </w:tcPr>
          <w:p w14:paraId="50AC6D5E" w14:textId="77777777" w:rsidR="00E82C82" w:rsidRPr="00BE00C7" w:rsidRDefault="00E82C82" w:rsidP="00BE00C7">
            <w:pPr>
              <w:pStyle w:val="OutcomeDescription"/>
              <w:spacing w:before="120" w:after="120"/>
              <w:rPr>
                <w:rFonts w:cs="Arial"/>
                <w:lang w:eastAsia="en-NZ"/>
              </w:rPr>
            </w:pPr>
            <w:r w:rsidRPr="00BE00C7">
              <w:rPr>
                <w:rFonts w:cs="Arial"/>
                <w:lang w:eastAsia="en-NZ"/>
              </w:rPr>
              <w:t>Subsection 3.1: Entry and declining entry</w:t>
            </w:r>
          </w:p>
          <w:p w14:paraId="01EC9534" w14:textId="77777777" w:rsidR="00E82C82" w:rsidRPr="00BE00C7" w:rsidRDefault="00E82C82"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w:t>
            </w:r>
            <w:r w:rsidRPr="00BE00C7">
              <w:rPr>
                <w:rFonts w:cs="Arial"/>
                <w:lang w:eastAsia="en-NZ"/>
              </w:rPr>
              <w:lastRenderedPageBreak/>
              <w:t>person and whānau.</w:t>
            </w:r>
          </w:p>
          <w:p w14:paraId="6C24AE80" w14:textId="77777777" w:rsidR="00E82C82" w:rsidRPr="00BE00C7" w:rsidRDefault="00E82C82" w:rsidP="00BE00C7">
            <w:pPr>
              <w:pStyle w:val="OutcomeDescription"/>
              <w:spacing w:before="120" w:after="120"/>
              <w:rPr>
                <w:rFonts w:cs="Arial"/>
                <w:lang w:eastAsia="en-NZ"/>
              </w:rPr>
            </w:pPr>
          </w:p>
        </w:tc>
        <w:tc>
          <w:tcPr>
            <w:tcW w:w="0" w:type="auto"/>
          </w:tcPr>
          <w:p w14:paraId="564750B3" w14:textId="77777777" w:rsidR="00E82C82" w:rsidRPr="00BE00C7" w:rsidRDefault="00E82C8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8EFB8AD"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Residents are welcomed into Coldstream when their required level of care has been assessed and confirmed by the local Needs Assessment and Service Coordination (NASC) agency. Files reviewed met contractual requirements.  Residents enter the service based on documented entry criteria available to the community and understood by staff.  The entry process meets the needs of residents. </w:t>
            </w:r>
          </w:p>
          <w:p w14:paraId="6F8C698F"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A comprehensive welcome pack is provided to all residents on admission, containing information about all facility entry processes, services, and expectations. Residents and whānau interviewed were satisfied with the admission process and the information that had </w:t>
            </w:r>
            <w:r w:rsidRPr="00BE00C7">
              <w:rPr>
                <w:rFonts w:cs="Arial"/>
                <w:lang w:eastAsia="en-NZ"/>
              </w:rPr>
              <w:lastRenderedPageBreak/>
              <w:t xml:space="preserve">been made available to them on admission.  </w:t>
            </w:r>
          </w:p>
          <w:p w14:paraId="78BA934C" w14:textId="77777777" w:rsidR="00E82C82" w:rsidRPr="00BE00C7" w:rsidRDefault="00E82C82" w:rsidP="00BE00C7">
            <w:pPr>
              <w:pStyle w:val="OutcomeDescription"/>
              <w:spacing w:before="120" w:after="120"/>
              <w:rPr>
                <w:rFonts w:cs="Arial"/>
                <w:lang w:eastAsia="en-NZ"/>
              </w:rPr>
            </w:pPr>
            <w:r w:rsidRPr="00BE00C7">
              <w:rPr>
                <w:rFonts w:cs="Arial"/>
                <w:lang w:eastAsia="en-NZ"/>
              </w:rPr>
              <w:t>Where a prospective resident is declined entry, clear and documented processes are in place for communicating the decision in a timely manner. Related data is documented and analysed, including decline rates for Māori.</w:t>
            </w:r>
          </w:p>
          <w:p w14:paraId="28B1D0A8" w14:textId="77777777" w:rsidR="00E82C82" w:rsidRPr="00BE00C7" w:rsidRDefault="00E82C82" w:rsidP="00BE00C7">
            <w:pPr>
              <w:pStyle w:val="OutcomeDescription"/>
              <w:spacing w:before="120" w:after="120"/>
              <w:rPr>
                <w:rFonts w:cs="Arial"/>
                <w:lang w:eastAsia="en-NZ"/>
              </w:rPr>
            </w:pPr>
            <w:r w:rsidRPr="00BE00C7">
              <w:rPr>
                <w:rFonts w:cs="Arial"/>
                <w:lang w:eastAsia="en-NZ"/>
              </w:rPr>
              <w:t>Coldstream has established relationships with local Māori, including those at Hakatere Marae, to support Māori residents when they are admitted. Māori interviewed confirmed they feel supported at Coldstream and that their needs are being met.</w:t>
            </w:r>
          </w:p>
          <w:p w14:paraId="489E9539" w14:textId="77777777" w:rsidR="00E82C82" w:rsidRPr="00BE00C7" w:rsidRDefault="00E82C82" w:rsidP="00BE00C7">
            <w:pPr>
              <w:pStyle w:val="OutcomeDescription"/>
              <w:spacing w:before="120" w:after="120"/>
              <w:rPr>
                <w:rFonts w:cs="Arial"/>
                <w:lang w:eastAsia="en-NZ"/>
              </w:rPr>
            </w:pPr>
          </w:p>
        </w:tc>
      </w:tr>
      <w:tr w:rsidR="00AF55A0" w14:paraId="6FB93AE6" w14:textId="77777777">
        <w:tc>
          <w:tcPr>
            <w:tcW w:w="0" w:type="auto"/>
          </w:tcPr>
          <w:p w14:paraId="610F8B5E" w14:textId="77777777" w:rsidR="00E82C82" w:rsidRPr="00BE00C7" w:rsidRDefault="00E82C82"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2C62817F" w14:textId="77777777" w:rsidR="00E82C82" w:rsidRPr="00BE00C7" w:rsidRDefault="00E82C82"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A0EB1A3" w14:textId="77777777" w:rsidR="00E82C82" w:rsidRPr="00BE00C7" w:rsidRDefault="00E82C82" w:rsidP="00BE00C7">
            <w:pPr>
              <w:pStyle w:val="OutcomeDescription"/>
              <w:spacing w:before="120" w:after="120"/>
              <w:rPr>
                <w:rFonts w:cs="Arial"/>
                <w:lang w:eastAsia="en-NZ"/>
              </w:rPr>
            </w:pPr>
          </w:p>
        </w:tc>
        <w:tc>
          <w:tcPr>
            <w:tcW w:w="0" w:type="auto"/>
          </w:tcPr>
          <w:p w14:paraId="00C1A584" w14:textId="77777777" w:rsidR="00E82C82" w:rsidRPr="00BE00C7" w:rsidRDefault="00E82C82" w:rsidP="00BE00C7">
            <w:pPr>
              <w:pStyle w:val="OutcomeDescription"/>
              <w:spacing w:before="120" w:after="120"/>
              <w:rPr>
                <w:rFonts w:cs="Arial"/>
                <w:lang w:eastAsia="en-NZ"/>
              </w:rPr>
            </w:pPr>
            <w:r w:rsidRPr="00BE00C7">
              <w:rPr>
                <w:rFonts w:cs="Arial"/>
                <w:lang w:eastAsia="en-NZ"/>
              </w:rPr>
              <w:t>FA</w:t>
            </w:r>
          </w:p>
        </w:tc>
        <w:tc>
          <w:tcPr>
            <w:tcW w:w="0" w:type="auto"/>
          </w:tcPr>
          <w:p w14:paraId="1FF770A1"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The multidisciplinary team works in partnership with the resident and whānau to support wellbeing and optimise quality of life.  Ten resident files were reviewed, four receiving rest home care and six hospital-level care. Files included residents receiving care under the ARRC contract, a younger person with a physical disability funded by Disability Support Services, and residents being cared for under the long-term support contract for chronic health conditions. The files included residents who identified </w:t>
            </w:r>
            <w:r w:rsidRPr="00BE00C7">
              <w:rPr>
                <w:rFonts w:cs="Arial"/>
                <w:lang w:eastAsia="en-NZ"/>
              </w:rPr>
              <w:t>as Māori and Pacific peoples, residents with wounds, residents with diabetes, residents with compromised mobility, residents with input from the mental health team, residents who smoke, residents recently transferred to an acute facility, a resident receiving end-of-life care, and residents with complex co-morbidities.</w:t>
            </w:r>
          </w:p>
          <w:p w14:paraId="72A88264" w14:textId="77777777" w:rsidR="00E82C82" w:rsidRPr="00BE00C7" w:rsidRDefault="00E82C82" w:rsidP="00BE00C7">
            <w:pPr>
              <w:pStyle w:val="OutcomeDescription"/>
              <w:spacing w:before="120" w:after="120"/>
              <w:rPr>
                <w:rFonts w:cs="Arial"/>
                <w:lang w:eastAsia="en-NZ"/>
              </w:rPr>
            </w:pPr>
            <w:r w:rsidRPr="00BE00C7">
              <w:rPr>
                <w:rFonts w:cs="Arial"/>
                <w:lang w:eastAsia="en-NZ"/>
              </w:rPr>
              <w:t>The files verified that a care plan, based on the provider’s model of care, was developed by a registered nurse following a comprehensive assessment, including consideration of the person’s lived experience, cultural needs, values, beliefs and preferences, and which considered wider service integration, where required.  Care planning for a Māori resident and a Pacific resident demonstrated culturally sensitive interventions, goals, activities, and evaluation. Interview confirmed residents and whānau were ha</w:t>
            </w:r>
            <w:r w:rsidRPr="00BE00C7">
              <w:rPr>
                <w:rFonts w:cs="Arial"/>
                <w:lang w:eastAsia="en-NZ"/>
              </w:rPr>
              <w:t xml:space="preserve">ppy their cultural needs were being met. Early warning signs and risks, with a focus on prevention or escalation for appropriate interventions, are recorded. </w:t>
            </w:r>
          </w:p>
          <w:p w14:paraId="459F1A9F"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Assessments were based on a comprehensive range of clinical assessments and included resident and whānau input as applicable.  </w:t>
            </w:r>
            <w:r w:rsidRPr="00BE00C7">
              <w:rPr>
                <w:rFonts w:cs="Arial"/>
                <w:lang w:eastAsia="en-NZ"/>
              </w:rPr>
              <w:lastRenderedPageBreak/>
              <w:t>Historic deficits were identified relating to timeframes for the initial assessment, medical or nurse practitioner assessment, initial care plan, long-term care plan, and scheduled review. However, corrective action planning was implemented, and timeframes now meet contractual and policy requirements.  All care plans reviewed were comprehensive, contained goals and interventions, and evaluations were documented. Staff demonstrated understanding of how to support Māori and whānau to identify their own pae or</w:t>
            </w:r>
            <w:r w:rsidRPr="00BE00C7">
              <w:rPr>
                <w:rFonts w:cs="Arial"/>
                <w:lang w:eastAsia="en-NZ"/>
              </w:rPr>
              <w:t>a outcomes within the care planning process. This was verified through sampling of resident records and interviews with clinical staff, residents, and whānau.</w:t>
            </w:r>
          </w:p>
          <w:p w14:paraId="03CD115E" w14:textId="77777777" w:rsidR="00E82C82" w:rsidRPr="00BE00C7" w:rsidRDefault="00E82C82"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Where progress is different to that expected, changes are made to the care plan in collaboration with the resident and/or whānau. Short-term care planning was used for short-term needs and there was evidence of regular review occurring. Residents and whānau confirmed active involvement in the process.</w:t>
            </w:r>
          </w:p>
          <w:p w14:paraId="6D200130"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Tāngata whaikaha participate in service development through assessments including ‘About Me’, ‘Pastoral Care’ and ‘Life History’.  Examples of choices and control over service delivery were discussed with staff, tāngata whaikaha, and whānau.  Tāngata whaikaha and whānau can independently access information.  A younger person with a physical disability interviewed was very complimentary about the care received at Coldstream. </w:t>
            </w:r>
          </w:p>
          <w:p w14:paraId="7FDA778F" w14:textId="77777777" w:rsidR="00E82C82" w:rsidRPr="00BE00C7" w:rsidRDefault="00E82C82" w:rsidP="00BE00C7">
            <w:pPr>
              <w:pStyle w:val="OutcomeDescription"/>
              <w:spacing w:before="120" w:after="120"/>
              <w:rPr>
                <w:rFonts w:cs="Arial"/>
                <w:lang w:eastAsia="en-NZ"/>
              </w:rPr>
            </w:pPr>
            <w:r w:rsidRPr="00BE00C7">
              <w:rPr>
                <w:rFonts w:cs="Arial"/>
                <w:lang w:eastAsia="en-NZ"/>
              </w:rPr>
              <w:t>A nurse practitioner was interviewed and stated that nurses had the required skills and knowledge, and the standard of care was improving under the guidance of the clinical services manager. This was also confirmed by a visiting community mental health nurse and in a telephone interview with a palliative care clinical nurse specialist.</w:t>
            </w:r>
          </w:p>
          <w:p w14:paraId="4C86F030" w14:textId="06EA1E42" w:rsidR="00E82C82" w:rsidRPr="00BE00C7" w:rsidRDefault="00E82C82" w:rsidP="00276B23">
            <w:pPr>
              <w:pStyle w:val="OutcomeDescription"/>
              <w:spacing w:before="120" w:after="120"/>
              <w:rPr>
                <w:rFonts w:cs="Arial"/>
                <w:lang w:eastAsia="en-NZ"/>
              </w:rPr>
            </w:pPr>
          </w:p>
        </w:tc>
      </w:tr>
      <w:tr w:rsidR="00AF55A0" w14:paraId="4A65343A" w14:textId="77777777">
        <w:tc>
          <w:tcPr>
            <w:tcW w:w="0" w:type="auto"/>
          </w:tcPr>
          <w:p w14:paraId="3015851D" w14:textId="77777777" w:rsidR="00E82C82" w:rsidRPr="00BE00C7" w:rsidRDefault="00E82C82"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4A0713E" w14:textId="77777777" w:rsidR="00E82C82" w:rsidRPr="00BE00C7" w:rsidRDefault="00E82C82"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 xml:space="preserve">Te Tiriti: Service providers support Māori community initiatives and </w:t>
            </w:r>
            <w:r w:rsidRPr="00BE00C7">
              <w:rPr>
                <w:rFonts w:cs="Arial"/>
                <w:lang w:eastAsia="en-NZ"/>
              </w:rPr>
              <w:lastRenderedPageBreak/>
              <w:t>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5A252AD8" w14:textId="77777777" w:rsidR="00E82C82" w:rsidRPr="00BE00C7" w:rsidRDefault="00E82C82" w:rsidP="00BE00C7">
            <w:pPr>
              <w:pStyle w:val="OutcomeDescription"/>
              <w:spacing w:before="120" w:after="120"/>
              <w:rPr>
                <w:rFonts w:cs="Arial"/>
                <w:lang w:eastAsia="en-NZ"/>
              </w:rPr>
            </w:pPr>
          </w:p>
        </w:tc>
        <w:tc>
          <w:tcPr>
            <w:tcW w:w="0" w:type="auto"/>
          </w:tcPr>
          <w:p w14:paraId="5EE979B5" w14:textId="77777777" w:rsidR="00E82C82" w:rsidRPr="00BE00C7" w:rsidRDefault="00E82C8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DEEFB68"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The activities programme at Coldstream supported residents to maintain and develop their interests and was appropriate to their age, abilities, and stage of life. The programme was led by a qualified </w:t>
            </w:r>
            <w:r w:rsidRPr="00BE00C7">
              <w:rPr>
                <w:rFonts w:cs="Arial"/>
                <w:lang w:eastAsia="en-NZ"/>
              </w:rPr>
              <w:lastRenderedPageBreak/>
              <w:t xml:space="preserve">diversional therapist who is supported by an activities coordinator.  They demonstrated strong engagement with residents and effective programme planning. The activities programme was comprehensive and varied, including group and one-to-one activities, spiritual activities such as church services, and a range of indoor and outdoor recreation including walking groups and outings. </w:t>
            </w:r>
          </w:p>
          <w:p w14:paraId="142F98C7"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Activity assessments and individual plans identified residents’ personal interests and considered their identity, preferences, and ordinary patterns of life. One-to-one sessions were available for residents who were less socially inclined or who preferred individual engagement. Both individual and group activities reflected residents’ goals and interests and supported participation in normal community life. </w:t>
            </w:r>
          </w:p>
          <w:p w14:paraId="0104D586"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Staff discussed opportunities for Māori and whānau to participate in te ao Māori, and community initiatives are responsive to the needs of Māori. The service has established connections with Hakatere Marae to ensure residents stay connected, and the programme included weekly visits to the marae by residents. Other cultural activities, including participation in Māori Language Week, and celebrating Matariki and Waitangi Day, were occurring. </w:t>
            </w:r>
          </w:p>
          <w:p w14:paraId="3180373E" w14:textId="77777777" w:rsidR="00E82C82" w:rsidRPr="00BE00C7" w:rsidRDefault="00E82C82" w:rsidP="00BE00C7">
            <w:pPr>
              <w:pStyle w:val="OutcomeDescription"/>
              <w:spacing w:before="120" w:after="120"/>
              <w:rPr>
                <w:rFonts w:cs="Arial"/>
                <w:lang w:eastAsia="en-NZ"/>
              </w:rPr>
            </w:pPr>
            <w:r w:rsidRPr="00BE00C7">
              <w:rPr>
                <w:rFonts w:cs="Arial"/>
                <w:lang w:eastAsia="en-NZ"/>
              </w:rPr>
              <w:t>Feedback on the activities programme is regularly sought through resident feedback mechanisms and residents’ meetings. Residents were observed to have a positive rapport with the activities team and those interviewed confirmed that the activities programme met their needs, including younger residents with a physical disability.</w:t>
            </w:r>
          </w:p>
          <w:p w14:paraId="1ED41CE5" w14:textId="77777777" w:rsidR="00E82C82" w:rsidRPr="00BE00C7" w:rsidRDefault="00E82C82" w:rsidP="00BE00C7">
            <w:pPr>
              <w:pStyle w:val="OutcomeDescription"/>
              <w:spacing w:before="120" w:after="120"/>
              <w:rPr>
                <w:rFonts w:cs="Arial"/>
                <w:lang w:eastAsia="en-NZ"/>
              </w:rPr>
            </w:pPr>
          </w:p>
        </w:tc>
      </w:tr>
      <w:tr w:rsidR="00AF55A0" w14:paraId="6E4E4CA4" w14:textId="77777777">
        <w:tc>
          <w:tcPr>
            <w:tcW w:w="0" w:type="auto"/>
          </w:tcPr>
          <w:p w14:paraId="27916BA7" w14:textId="77777777" w:rsidR="00E82C82" w:rsidRPr="00BE00C7" w:rsidRDefault="00E82C82" w:rsidP="00BE00C7">
            <w:pPr>
              <w:pStyle w:val="OutcomeDescription"/>
              <w:spacing w:before="120" w:after="120"/>
              <w:rPr>
                <w:rFonts w:cs="Arial"/>
                <w:lang w:eastAsia="en-NZ"/>
              </w:rPr>
            </w:pPr>
            <w:r w:rsidRPr="00BE00C7">
              <w:rPr>
                <w:rFonts w:cs="Arial"/>
                <w:lang w:eastAsia="en-NZ"/>
              </w:rPr>
              <w:t>Subsection 3.4: My medication</w:t>
            </w:r>
          </w:p>
          <w:p w14:paraId="10DBA7E8" w14:textId="77777777" w:rsidR="00E82C82" w:rsidRPr="00BE00C7" w:rsidRDefault="00E82C82"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5C538A3" w14:textId="77777777" w:rsidR="00E82C82" w:rsidRPr="00BE00C7" w:rsidRDefault="00E82C82" w:rsidP="00BE00C7">
            <w:pPr>
              <w:pStyle w:val="OutcomeDescription"/>
              <w:spacing w:before="120" w:after="120"/>
              <w:rPr>
                <w:rFonts w:cs="Arial"/>
                <w:lang w:eastAsia="en-NZ"/>
              </w:rPr>
            </w:pPr>
          </w:p>
        </w:tc>
        <w:tc>
          <w:tcPr>
            <w:tcW w:w="0" w:type="auto"/>
          </w:tcPr>
          <w:p w14:paraId="0A1A9864" w14:textId="77777777" w:rsidR="00E82C82" w:rsidRPr="00BE00C7" w:rsidRDefault="00E82C8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954D945" w14:textId="77777777" w:rsidR="00E82C82" w:rsidRPr="00BE00C7" w:rsidRDefault="00E82C82" w:rsidP="00BE00C7">
            <w:pPr>
              <w:pStyle w:val="OutcomeDescription"/>
              <w:spacing w:before="120" w:after="120"/>
              <w:rPr>
                <w:rFonts w:cs="Arial"/>
                <w:lang w:eastAsia="en-NZ"/>
              </w:rPr>
            </w:pPr>
            <w:r w:rsidRPr="00BE00C7">
              <w:rPr>
                <w:rFonts w:cs="Arial"/>
                <w:lang w:eastAsia="en-NZ"/>
              </w:rPr>
              <w:t>The medication management policy was up to date and aligned with the Medicines Care Guide for Residential Aged Care and current best practice. A safe system for medicine management, utilising an electronic medication management system, was observed on the day of audit. All staff who administer medicines were appropriately trained, assessed as competent, and authorised to perform this function.</w:t>
            </w:r>
          </w:p>
          <w:p w14:paraId="071FF49A"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Medicines, including controlled drugs, were stored securely in accordance with regulatory and policy requirements. Required stock </w:t>
            </w:r>
            <w:r w:rsidRPr="00BE00C7">
              <w:rPr>
                <w:rFonts w:cs="Arial"/>
                <w:lang w:eastAsia="en-NZ"/>
              </w:rPr>
              <w:lastRenderedPageBreak/>
              <w:t xml:space="preserve">checks had been completed as scheduled, and medicines were stored within the recommended temperature range, with monitoring records available. All medicines sighted during the audit were within current use-by dates. </w:t>
            </w:r>
          </w:p>
          <w:p w14:paraId="6FF764D3" w14:textId="77777777" w:rsidR="00E82C82" w:rsidRPr="00BE00C7" w:rsidRDefault="00E82C82" w:rsidP="00BE00C7">
            <w:pPr>
              <w:pStyle w:val="OutcomeDescription"/>
              <w:spacing w:before="120" w:after="120"/>
              <w:rPr>
                <w:rFonts w:cs="Arial"/>
                <w:lang w:eastAsia="en-NZ"/>
              </w:rPr>
            </w:pPr>
            <w:r w:rsidRPr="00BE00C7">
              <w:rPr>
                <w:rFonts w:cs="Arial"/>
                <w:lang w:eastAsia="en-NZ"/>
              </w:rPr>
              <w:t>Prescribing practices met requirements. Medicine reconciliation occurs. Medicine-related allergies or sensitivities were clearly documented, and any adverse events were responded to appropriately and in a timely manner. Over-the-counter medications and supplements were considered and documented by the prescriber as part of each resident’s overall medication regimen. The required three-monthly medical or nurse practitioner medication review was consistently recorded on the medicine chart. Standing orders are</w:t>
            </w:r>
            <w:r w:rsidRPr="00BE00C7">
              <w:rPr>
                <w:rFonts w:cs="Arial"/>
                <w:lang w:eastAsia="en-NZ"/>
              </w:rPr>
              <w:t xml:space="preserve"> not used at Coldstream.</w:t>
            </w:r>
          </w:p>
          <w:p w14:paraId="00E3EB4B"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There were no residents self-administering medications at the time of audit. This was discussed with the registered nurse, who described appropriate processes for this to be safely facilitated when required.  </w:t>
            </w:r>
          </w:p>
          <w:p w14:paraId="42C63A71" w14:textId="77777777" w:rsidR="00E82C82" w:rsidRPr="00BE00C7" w:rsidRDefault="00E82C82" w:rsidP="00BE00C7">
            <w:pPr>
              <w:pStyle w:val="OutcomeDescription"/>
              <w:spacing w:before="120" w:after="120"/>
              <w:rPr>
                <w:rFonts w:cs="Arial"/>
                <w:lang w:eastAsia="en-NZ"/>
              </w:rPr>
            </w:pPr>
            <w:r w:rsidRPr="00BE00C7">
              <w:rPr>
                <w:rFonts w:cs="Arial"/>
                <w:lang w:eastAsia="en-NZ"/>
              </w:rPr>
              <w:t>Residents, including Māori residents, and their whānau are supported to understand their medications, with education provided by clinical staff as required.</w:t>
            </w:r>
          </w:p>
          <w:p w14:paraId="49BCE29C" w14:textId="77777777" w:rsidR="00E82C82" w:rsidRPr="00BE00C7" w:rsidRDefault="00E82C82" w:rsidP="00BE00C7">
            <w:pPr>
              <w:pStyle w:val="OutcomeDescription"/>
              <w:spacing w:before="120" w:after="120"/>
              <w:rPr>
                <w:rFonts w:cs="Arial"/>
                <w:lang w:eastAsia="en-NZ"/>
              </w:rPr>
            </w:pPr>
          </w:p>
        </w:tc>
      </w:tr>
      <w:tr w:rsidR="00AF55A0" w14:paraId="01F9A2F1" w14:textId="77777777">
        <w:tc>
          <w:tcPr>
            <w:tcW w:w="0" w:type="auto"/>
          </w:tcPr>
          <w:p w14:paraId="4CDF24D7" w14:textId="77777777" w:rsidR="00E82C82" w:rsidRPr="00BE00C7" w:rsidRDefault="00E82C82" w:rsidP="00BE00C7">
            <w:pPr>
              <w:pStyle w:val="OutcomeDescription"/>
              <w:spacing w:before="120" w:after="120"/>
              <w:rPr>
                <w:rFonts w:cs="Arial"/>
                <w:lang w:eastAsia="en-NZ"/>
              </w:rPr>
            </w:pPr>
            <w:r w:rsidRPr="00BE00C7">
              <w:rPr>
                <w:rFonts w:cs="Arial"/>
                <w:lang w:eastAsia="en-NZ"/>
              </w:rPr>
              <w:t>Subsection 3.5: Nutrition to support wellbeing</w:t>
            </w:r>
          </w:p>
          <w:p w14:paraId="27953049" w14:textId="77777777" w:rsidR="00E82C82" w:rsidRPr="00BE00C7" w:rsidRDefault="00E82C82"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16A34BE" w14:textId="77777777" w:rsidR="00E82C82" w:rsidRPr="00BE00C7" w:rsidRDefault="00E82C82" w:rsidP="00BE00C7">
            <w:pPr>
              <w:pStyle w:val="OutcomeDescription"/>
              <w:spacing w:before="120" w:after="120"/>
              <w:rPr>
                <w:rFonts w:cs="Arial"/>
                <w:lang w:eastAsia="en-NZ"/>
              </w:rPr>
            </w:pPr>
          </w:p>
        </w:tc>
        <w:tc>
          <w:tcPr>
            <w:tcW w:w="0" w:type="auto"/>
          </w:tcPr>
          <w:p w14:paraId="027616CC" w14:textId="77777777" w:rsidR="00E82C82" w:rsidRPr="00BE00C7" w:rsidRDefault="00E82C82" w:rsidP="00BE00C7">
            <w:pPr>
              <w:pStyle w:val="OutcomeDescription"/>
              <w:spacing w:before="120" w:after="120"/>
              <w:rPr>
                <w:rFonts w:cs="Arial"/>
                <w:lang w:eastAsia="en-NZ"/>
              </w:rPr>
            </w:pPr>
            <w:r w:rsidRPr="00BE00C7">
              <w:rPr>
                <w:rFonts w:cs="Arial"/>
                <w:lang w:eastAsia="en-NZ"/>
              </w:rPr>
              <w:t>FA</w:t>
            </w:r>
          </w:p>
        </w:tc>
        <w:tc>
          <w:tcPr>
            <w:tcW w:w="0" w:type="auto"/>
          </w:tcPr>
          <w:p w14:paraId="07554550" w14:textId="77777777" w:rsidR="00E82C82" w:rsidRPr="00BE00C7" w:rsidRDefault="00E82C82" w:rsidP="00BE00C7">
            <w:pPr>
              <w:pStyle w:val="OutcomeDescription"/>
              <w:spacing w:before="120" w:after="120"/>
              <w:rPr>
                <w:rFonts w:cs="Arial"/>
                <w:lang w:eastAsia="en-NZ"/>
              </w:rPr>
            </w:pPr>
            <w:r w:rsidRPr="00BE00C7">
              <w:rPr>
                <w:rFonts w:cs="Arial"/>
                <w:lang w:eastAsia="en-NZ"/>
              </w:rPr>
              <w:t>The food service was aligned with recognised nutritional guidelines for people receiving aged residential care. The menu had been reviewed by a qualified dietitian within the last two years, and documentation confirmed that recommendations from this review had been implemented.</w:t>
            </w:r>
          </w:p>
          <w:p w14:paraId="6D50C030" w14:textId="77777777" w:rsidR="00E82C82" w:rsidRPr="00BE00C7" w:rsidRDefault="00E82C82" w:rsidP="00BE00C7">
            <w:pPr>
              <w:pStyle w:val="OutcomeDescription"/>
              <w:spacing w:before="120" w:after="120"/>
              <w:rPr>
                <w:rFonts w:cs="Arial"/>
                <w:lang w:eastAsia="en-NZ"/>
              </w:rPr>
            </w:pPr>
            <w:r w:rsidRPr="00BE00C7">
              <w:rPr>
                <w:rFonts w:cs="Arial"/>
                <w:lang w:eastAsia="en-NZ"/>
              </w:rPr>
              <w:t>All aspects of food management complied with current legislation and best-practice guidelines. The service operates under an approved food safety plan and registration with an expiry date of 2 March 2027, with evidence of ongoing monitoring and compliance.</w:t>
            </w:r>
          </w:p>
          <w:p w14:paraId="4DE9F620"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Each resident received a comprehensive nutritional assessment on admission. Personal food preferences, special dietary requirements, intolerances or allergies and modified texture needs were identified and accommodated within the daily meal plan. Māori residents and their whānau have access to menu options that reflect te ao Māori, </w:t>
            </w:r>
            <w:r w:rsidRPr="00BE00C7">
              <w:rPr>
                <w:rFonts w:cs="Arial"/>
                <w:lang w:eastAsia="en-NZ"/>
              </w:rPr>
              <w:lastRenderedPageBreak/>
              <w:t>and individual cultural food preferences can be catered for as required.</w:t>
            </w:r>
          </w:p>
          <w:p w14:paraId="23940E8E"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Residents and their whānau had opportunities to be involved in the preparation of food, where appropriate to the service, as part of the activities programme. </w:t>
            </w:r>
          </w:p>
          <w:p w14:paraId="01FF2AC4" w14:textId="77777777" w:rsidR="00E82C82" w:rsidRPr="00BE00C7" w:rsidRDefault="00E82C82" w:rsidP="00BE00C7">
            <w:pPr>
              <w:pStyle w:val="OutcomeDescription"/>
              <w:spacing w:before="120" w:after="120"/>
              <w:rPr>
                <w:rFonts w:cs="Arial"/>
                <w:lang w:eastAsia="en-NZ"/>
              </w:rPr>
            </w:pPr>
            <w:r w:rsidRPr="00BE00C7">
              <w:rPr>
                <w:rFonts w:cs="Arial"/>
                <w:lang w:eastAsia="en-NZ"/>
              </w:rPr>
              <w:t>Evidence of resident satisfaction with meals was verified through resident and whānau interviews, satisfaction survey results, and residents’ meeting minutes. Residents interviewed stated that the food was good and that they were generally happy with meals. Whānau members also confirmed satisfaction. Residents were observed to be given sufficient time to eat their meals in an unhurried manner, and those requiring assistance received this support respectfully and with dignity.</w:t>
            </w:r>
          </w:p>
          <w:p w14:paraId="35185820" w14:textId="77777777" w:rsidR="00E82C82" w:rsidRPr="00BE00C7" w:rsidRDefault="00E82C82" w:rsidP="00BE00C7">
            <w:pPr>
              <w:pStyle w:val="OutcomeDescription"/>
              <w:spacing w:before="120" w:after="120"/>
              <w:rPr>
                <w:rFonts w:cs="Arial"/>
                <w:lang w:eastAsia="en-NZ"/>
              </w:rPr>
            </w:pPr>
          </w:p>
        </w:tc>
      </w:tr>
      <w:tr w:rsidR="00AF55A0" w14:paraId="431B7EBF" w14:textId="77777777">
        <w:tc>
          <w:tcPr>
            <w:tcW w:w="0" w:type="auto"/>
          </w:tcPr>
          <w:p w14:paraId="60EC9D76" w14:textId="77777777" w:rsidR="00E82C82" w:rsidRPr="00BE00C7" w:rsidRDefault="00E82C82"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7061B49F" w14:textId="77777777" w:rsidR="00E82C82" w:rsidRPr="00BE00C7" w:rsidRDefault="00E82C82"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F5B3929" w14:textId="77777777" w:rsidR="00E82C82" w:rsidRPr="00BE00C7" w:rsidRDefault="00E82C82" w:rsidP="00BE00C7">
            <w:pPr>
              <w:pStyle w:val="OutcomeDescription"/>
              <w:spacing w:before="120" w:after="120"/>
              <w:rPr>
                <w:rFonts w:cs="Arial"/>
                <w:lang w:eastAsia="en-NZ"/>
              </w:rPr>
            </w:pPr>
          </w:p>
        </w:tc>
        <w:tc>
          <w:tcPr>
            <w:tcW w:w="0" w:type="auto"/>
          </w:tcPr>
          <w:p w14:paraId="19ACCE69" w14:textId="77777777" w:rsidR="00E82C82" w:rsidRPr="00BE00C7" w:rsidRDefault="00E82C82" w:rsidP="00BE00C7">
            <w:pPr>
              <w:pStyle w:val="OutcomeDescription"/>
              <w:spacing w:before="120" w:after="120"/>
              <w:rPr>
                <w:rFonts w:cs="Arial"/>
                <w:lang w:eastAsia="en-NZ"/>
              </w:rPr>
            </w:pPr>
            <w:r w:rsidRPr="00BE00C7">
              <w:rPr>
                <w:rFonts w:cs="Arial"/>
                <w:lang w:eastAsia="en-NZ"/>
              </w:rPr>
              <w:t>FA</w:t>
            </w:r>
          </w:p>
        </w:tc>
        <w:tc>
          <w:tcPr>
            <w:tcW w:w="0" w:type="auto"/>
          </w:tcPr>
          <w:p w14:paraId="15775702" w14:textId="77777777" w:rsidR="00E82C82" w:rsidRPr="00BE00C7" w:rsidRDefault="00E82C82" w:rsidP="00BE00C7">
            <w:pPr>
              <w:pStyle w:val="OutcomeDescription"/>
              <w:spacing w:before="120" w:after="120"/>
              <w:rPr>
                <w:rFonts w:cs="Arial"/>
                <w:lang w:eastAsia="en-NZ"/>
              </w:rPr>
            </w:pPr>
            <w:r w:rsidRPr="00BE00C7">
              <w:rPr>
                <w:rFonts w:cs="Arial"/>
                <w:lang w:eastAsia="en-NZ"/>
              </w:rPr>
              <w:t>Transfer or discharge from Coldstream was planned and managed safely, with clear coordination between services and in collaboration with the resident and their whānau. Risks and current support needs were identified, documented, and actively managed throughout the process. Where appropriate, options to access other health and disability services, as well as relevant social and cultural supports, were discussed with residents and whānau to support informed decision-making and continuity of care.</w:t>
            </w:r>
          </w:p>
          <w:p w14:paraId="1E51986F" w14:textId="77777777" w:rsidR="00E82C82" w:rsidRPr="00BE00C7" w:rsidRDefault="00E82C82" w:rsidP="00BE00C7">
            <w:pPr>
              <w:pStyle w:val="OutcomeDescription"/>
              <w:spacing w:before="120" w:after="120"/>
              <w:rPr>
                <w:rFonts w:cs="Arial"/>
                <w:lang w:eastAsia="en-NZ"/>
              </w:rPr>
            </w:pPr>
            <w:r w:rsidRPr="00BE00C7">
              <w:rPr>
                <w:rFonts w:cs="Arial"/>
                <w:lang w:eastAsia="en-NZ"/>
              </w:rPr>
              <w:t>Whānau interviewed reported that they were kept well informed during the transfer of their relative. Documentation reviewed demonstrated comprehensive assessment and planning for district hospital transfers, and a clearly defined process was in place to support effective communication, clinical handover, and safe transitions between services.</w:t>
            </w:r>
          </w:p>
          <w:p w14:paraId="3B519059" w14:textId="77777777" w:rsidR="00E82C82" w:rsidRPr="00BE00C7" w:rsidRDefault="00E82C82" w:rsidP="00BE00C7">
            <w:pPr>
              <w:pStyle w:val="OutcomeDescription"/>
              <w:spacing w:before="120" w:after="120"/>
              <w:rPr>
                <w:rFonts w:cs="Arial"/>
                <w:lang w:eastAsia="en-NZ"/>
              </w:rPr>
            </w:pPr>
          </w:p>
        </w:tc>
      </w:tr>
      <w:tr w:rsidR="00AF55A0" w14:paraId="471DF48D" w14:textId="77777777">
        <w:tc>
          <w:tcPr>
            <w:tcW w:w="0" w:type="auto"/>
          </w:tcPr>
          <w:p w14:paraId="10DA4C1E" w14:textId="77777777" w:rsidR="00E82C82" w:rsidRPr="00BE00C7" w:rsidRDefault="00E82C82" w:rsidP="00BE00C7">
            <w:pPr>
              <w:pStyle w:val="OutcomeDescription"/>
              <w:spacing w:before="120" w:after="120"/>
              <w:rPr>
                <w:rFonts w:cs="Arial"/>
                <w:lang w:eastAsia="en-NZ"/>
              </w:rPr>
            </w:pPr>
            <w:r w:rsidRPr="00BE00C7">
              <w:rPr>
                <w:rFonts w:cs="Arial"/>
                <w:lang w:eastAsia="en-NZ"/>
              </w:rPr>
              <w:t>Subsection 4.1: The facility</w:t>
            </w:r>
          </w:p>
          <w:p w14:paraId="21A6CF80" w14:textId="77777777" w:rsidR="00E82C82" w:rsidRPr="00BE00C7" w:rsidRDefault="00E82C82"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r>
            <w:r w:rsidRPr="00BE00C7">
              <w:rPr>
                <w:rFonts w:cs="Arial"/>
                <w:lang w:eastAsia="en-NZ"/>
              </w:rPr>
              <w:lastRenderedPageBreak/>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773289C" w14:textId="77777777" w:rsidR="00E82C82" w:rsidRPr="00BE00C7" w:rsidRDefault="00E82C82" w:rsidP="00BE00C7">
            <w:pPr>
              <w:pStyle w:val="OutcomeDescription"/>
              <w:spacing w:before="120" w:after="120"/>
              <w:rPr>
                <w:rFonts w:cs="Arial"/>
                <w:lang w:eastAsia="en-NZ"/>
              </w:rPr>
            </w:pPr>
          </w:p>
        </w:tc>
        <w:tc>
          <w:tcPr>
            <w:tcW w:w="0" w:type="auto"/>
          </w:tcPr>
          <w:p w14:paraId="37E9AA9C" w14:textId="77777777" w:rsidR="00E82C82" w:rsidRPr="00BE00C7" w:rsidRDefault="00E82C8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A42F685"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Appropriate systems were in place to ensure the residents’ physical environment and facilities (internal and external) were fit for their purpose, well maintained, and that they meet legislative requirements. A planned maintenance schedule included electrical testing and tagging, resident equipment checks, and checking and </w:t>
            </w:r>
            <w:r w:rsidRPr="00BE00C7">
              <w:rPr>
                <w:rFonts w:cs="Arial"/>
                <w:lang w:eastAsia="en-NZ"/>
              </w:rPr>
              <w:lastRenderedPageBreak/>
              <w:t>calibration of clinical equipment. Monthly hot water tests were completed. These were sighted and were all within normal limits. The certificate of compliance for the lift was sighted.</w:t>
            </w:r>
          </w:p>
          <w:p w14:paraId="15F8099C" w14:textId="77777777" w:rsidR="00E82C82" w:rsidRPr="00BE00C7" w:rsidRDefault="00E82C82" w:rsidP="00BE00C7">
            <w:pPr>
              <w:pStyle w:val="OutcomeDescription"/>
              <w:spacing w:before="120" w:after="120"/>
              <w:rPr>
                <w:rFonts w:cs="Arial"/>
                <w:lang w:eastAsia="en-NZ"/>
              </w:rPr>
            </w:pPr>
            <w:r w:rsidRPr="00BE00C7">
              <w:rPr>
                <w:rFonts w:cs="Arial"/>
                <w:lang w:eastAsia="en-NZ"/>
              </w:rPr>
              <w:t>The building had a building warrant of fitness with an expiry date of 1 July 2026. There were currently no plans for further building projects requiring consultation, but Heritage Lifecare directors were aware of the requirement to consult with Māori if this was envisaged.</w:t>
            </w:r>
          </w:p>
          <w:p w14:paraId="67956F79" w14:textId="77777777" w:rsidR="00E82C82" w:rsidRPr="00BE00C7" w:rsidRDefault="00E82C82" w:rsidP="00BE00C7">
            <w:pPr>
              <w:pStyle w:val="OutcomeDescription"/>
              <w:spacing w:before="120" w:after="120"/>
              <w:rPr>
                <w:rFonts w:cs="Arial"/>
                <w:lang w:eastAsia="en-NZ"/>
              </w:rPr>
            </w:pPr>
            <w:r w:rsidRPr="00BE00C7">
              <w:rPr>
                <w:rFonts w:cs="Arial"/>
                <w:lang w:eastAsia="en-NZ"/>
              </w:rPr>
              <w:t>The environment was comfortable and accessible. Corridors have handrails promoting independence and safe mobility. Personalised equipment was available for residents with disabilities to meet their needs, and residents were observed to be safely using these. Spaces are culturally inclusive and suited the needs of the resident groups. Lounge and dining facilities meet the needs of residents, and these are also used for activities. There are adequate numbers of accessible bathroom and toilet facilities throug</w:t>
            </w:r>
            <w:r w:rsidRPr="00BE00C7">
              <w:rPr>
                <w:rFonts w:cs="Arial"/>
                <w:lang w:eastAsia="en-NZ"/>
              </w:rPr>
              <w:t>hout the facility, including for staff and visitors. All rooms, bathrooms and common areas have appropriately situated call bells. There are external areas for leisure activities with appropriate seating and shade.</w:t>
            </w:r>
          </w:p>
          <w:p w14:paraId="6AE271EF" w14:textId="77777777" w:rsidR="00E82C82" w:rsidRPr="00BE00C7" w:rsidRDefault="00E82C82" w:rsidP="00BE00C7">
            <w:pPr>
              <w:pStyle w:val="OutcomeDescription"/>
              <w:spacing w:before="120" w:after="120"/>
              <w:rPr>
                <w:rFonts w:cs="Arial"/>
                <w:lang w:eastAsia="en-NZ"/>
              </w:rPr>
            </w:pPr>
            <w:r w:rsidRPr="00BE00C7">
              <w:rPr>
                <w:rFonts w:cs="Arial"/>
                <w:lang w:eastAsia="en-NZ"/>
              </w:rPr>
              <w:t>Residents’ rooms were spacious and allowed room for the use of mobility aids and moving and handling equipment if required. Rooms are personalised according to the resident’s preference. All rooms have a window allowing for natural light, with safety catches for security. Electric heating is provided in the facility, which can be adjusted depending on seasonality and outside temperature.</w:t>
            </w:r>
          </w:p>
          <w:p w14:paraId="0C39DD22" w14:textId="77777777" w:rsidR="00E82C82" w:rsidRPr="00BE00C7" w:rsidRDefault="00E82C82" w:rsidP="00BE00C7">
            <w:pPr>
              <w:pStyle w:val="OutcomeDescription"/>
              <w:spacing w:before="120" w:after="120"/>
              <w:rPr>
                <w:rFonts w:cs="Arial"/>
                <w:lang w:eastAsia="en-NZ"/>
              </w:rPr>
            </w:pPr>
            <w:r w:rsidRPr="00BE00C7">
              <w:rPr>
                <w:rFonts w:cs="Arial"/>
                <w:lang w:eastAsia="en-NZ"/>
              </w:rPr>
              <w:t>Staff, residents and whānau interviewed were happy with the environment, including heating and ventilation, privacy, and maintenance. Care staff interviewed stated they have adequate equipment to safely deliver care for residents.</w:t>
            </w:r>
          </w:p>
          <w:p w14:paraId="22E505D8" w14:textId="77777777" w:rsidR="00E82C82" w:rsidRPr="00BE00C7" w:rsidRDefault="00E82C82" w:rsidP="00BE00C7">
            <w:pPr>
              <w:pStyle w:val="OutcomeDescription"/>
              <w:spacing w:before="120" w:after="120"/>
              <w:rPr>
                <w:rFonts w:cs="Arial"/>
                <w:lang w:eastAsia="en-NZ"/>
              </w:rPr>
            </w:pPr>
          </w:p>
        </w:tc>
      </w:tr>
      <w:tr w:rsidR="00AF55A0" w14:paraId="50F2030D" w14:textId="77777777">
        <w:tc>
          <w:tcPr>
            <w:tcW w:w="0" w:type="auto"/>
          </w:tcPr>
          <w:p w14:paraId="633BB131" w14:textId="77777777" w:rsidR="00E82C82" w:rsidRPr="00BE00C7" w:rsidRDefault="00E82C82" w:rsidP="00BE00C7">
            <w:pPr>
              <w:pStyle w:val="OutcomeDescription"/>
              <w:spacing w:before="120" w:after="120"/>
              <w:rPr>
                <w:rFonts w:cs="Arial"/>
                <w:lang w:eastAsia="en-NZ"/>
              </w:rPr>
            </w:pPr>
            <w:r w:rsidRPr="00BE00C7">
              <w:rPr>
                <w:rFonts w:cs="Arial"/>
                <w:lang w:eastAsia="en-NZ"/>
              </w:rPr>
              <w:t>Subsection 4.2: Security of people and workforce</w:t>
            </w:r>
          </w:p>
          <w:p w14:paraId="04099B31" w14:textId="77777777" w:rsidR="00E82C82" w:rsidRPr="00BE00C7" w:rsidRDefault="00E82C82"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r>
            <w:r w:rsidRPr="00BE00C7">
              <w:rPr>
                <w:rFonts w:cs="Arial"/>
                <w:lang w:eastAsia="en-NZ"/>
              </w:rPr>
              <w:lastRenderedPageBreak/>
              <w:t>As service providers: We deliver care and support in a planned and safe way, including during an emergency or unexpected event.</w:t>
            </w:r>
          </w:p>
          <w:p w14:paraId="7F9359F9" w14:textId="77777777" w:rsidR="00E82C82" w:rsidRPr="00BE00C7" w:rsidRDefault="00E82C82" w:rsidP="00BE00C7">
            <w:pPr>
              <w:pStyle w:val="OutcomeDescription"/>
              <w:spacing w:before="120" w:after="120"/>
              <w:rPr>
                <w:rFonts w:cs="Arial"/>
                <w:lang w:eastAsia="en-NZ"/>
              </w:rPr>
            </w:pPr>
          </w:p>
        </w:tc>
        <w:tc>
          <w:tcPr>
            <w:tcW w:w="0" w:type="auto"/>
          </w:tcPr>
          <w:p w14:paraId="52EFA7FB" w14:textId="77777777" w:rsidR="00E82C82" w:rsidRPr="00BE00C7" w:rsidRDefault="00E82C8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F0C3235"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Disaster and civil defence plans and policies direct the facility in its preparation for disasters and describe the procedures to be followed. Staff have been trained and knew what to do in an emergency. There is a first aid certified staff member on duty 24/7 and the DT who takes residents on outings outside the facility has first aid certification. Information on emergency and security arrangements is </w:t>
            </w:r>
            <w:r w:rsidRPr="00BE00C7">
              <w:rPr>
                <w:rFonts w:cs="Arial"/>
                <w:lang w:eastAsia="en-NZ"/>
              </w:rPr>
              <w:lastRenderedPageBreak/>
              <w:t xml:space="preserve">provided to residents and their whānau on entry to the service. All staff were noted to be wearing uniforms and name badges during the audit. </w:t>
            </w:r>
          </w:p>
          <w:p w14:paraId="21EEF5EB"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The fire evacuation plan was approved by the New Zealand Fire Service on18 February 2014. The last fire evacuation drill was completed on 3 February 2026. Staff reported, and documentation confirmed, that staff have been trained in the evacuation of residents. Call boxes, hose reels, floor plans, sprinklers, alarms, exit signs, and fire action notices were sighted. </w:t>
            </w:r>
          </w:p>
          <w:p w14:paraId="675D09F7"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The orientation programme includes fire and security training. Staff files evidenced that staff were trained in emergency procedures. Staff confirmed their awareness of the emergency procedures and attend regular fire drills. Staff reported attending fire safety training, and records confirmed this. Call bells alert staff to residents requiring assistance. Residents and whānau reported that staff respond promptly to call bells. </w:t>
            </w:r>
          </w:p>
          <w:p w14:paraId="77544183"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Adequate supplies for use in the event of a civil defence emergency, including dry food, medical supplies, personal protective equipment (PPE), and a gas BBQ were sighted. Supplies were checked on 14 April 2026.  Alternative essential energy and utility resources are available, should the main supplies fail. Sufficient water is stored and was sighted. This meets the National Emergency Management Agency recommendations for the region. The maintenance personnel reported that a generator would be hired should </w:t>
            </w:r>
            <w:r w:rsidRPr="00BE00C7">
              <w:rPr>
                <w:rFonts w:cs="Arial"/>
                <w:lang w:eastAsia="en-NZ"/>
              </w:rPr>
              <w:t>the need arise.</w:t>
            </w:r>
          </w:p>
          <w:p w14:paraId="7662374C"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Appropriate security arrangements are in place. External doors are locked and are checked throughout the evening and night shift. </w:t>
            </w:r>
          </w:p>
          <w:p w14:paraId="30F0506D" w14:textId="77777777" w:rsidR="00E82C82" w:rsidRPr="00BE00C7" w:rsidRDefault="00E82C82" w:rsidP="00BE00C7">
            <w:pPr>
              <w:pStyle w:val="OutcomeDescription"/>
              <w:spacing w:before="120" w:after="120"/>
              <w:rPr>
                <w:rFonts w:cs="Arial"/>
                <w:lang w:eastAsia="en-NZ"/>
              </w:rPr>
            </w:pPr>
            <w:r w:rsidRPr="00BE00C7">
              <w:rPr>
                <w:rFonts w:cs="Arial"/>
                <w:lang w:eastAsia="en-NZ"/>
              </w:rPr>
              <w:t>Residents are informed of the emergency and security arrangements at entry. Residents, whānau, and staff were familiar with emergency and security arrangements.</w:t>
            </w:r>
          </w:p>
          <w:p w14:paraId="0E4A3C25" w14:textId="77777777" w:rsidR="00E82C82" w:rsidRPr="00BE00C7" w:rsidRDefault="00E82C82" w:rsidP="00BE00C7">
            <w:pPr>
              <w:pStyle w:val="OutcomeDescription"/>
              <w:spacing w:before="120" w:after="120"/>
              <w:rPr>
                <w:rFonts w:cs="Arial"/>
                <w:lang w:eastAsia="en-NZ"/>
              </w:rPr>
            </w:pPr>
          </w:p>
        </w:tc>
      </w:tr>
      <w:tr w:rsidR="00AF55A0" w14:paraId="08192740" w14:textId="77777777">
        <w:tc>
          <w:tcPr>
            <w:tcW w:w="0" w:type="auto"/>
          </w:tcPr>
          <w:p w14:paraId="6F6BD89F" w14:textId="77777777" w:rsidR="00E82C82" w:rsidRPr="00BE00C7" w:rsidRDefault="00E82C82" w:rsidP="00BE00C7">
            <w:pPr>
              <w:pStyle w:val="OutcomeDescription"/>
              <w:spacing w:before="120" w:after="120"/>
              <w:rPr>
                <w:rFonts w:cs="Arial"/>
                <w:lang w:eastAsia="en-NZ"/>
              </w:rPr>
            </w:pPr>
            <w:r w:rsidRPr="00BE00C7">
              <w:rPr>
                <w:rFonts w:cs="Arial"/>
                <w:lang w:eastAsia="en-NZ"/>
              </w:rPr>
              <w:t>Subsection 5.1: Governance</w:t>
            </w:r>
          </w:p>
          <w:p w14:paraId="17622FDE" w14:textId="77777777" w:rsidR="00E82C82" w:rsidRPr="00BE00C7" w:rsidRDefault="00E82C82"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 xml:space="preserve">Te Tiriti: Monitoring of equity for Māori is an important component of </w:t>
            </w:r>
            <w:r w:rsidRPr="00BE00C7">
              <w:rPr>
                <w:rFonts w:cs="Arial"/>
                <w:lang w:eastAsia="en-NZ"/>
              </w:rPr>
              <w:lastRenderedPageBreak/>
              <w:t>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2CD324E7" w14:textId="77777777" w:rsidR="00E82C82" w:rsidRPr="00BE00C7" w:rsidRDefault="00E82C82" w:rsidP="00BE00C7">
            <w:pPr>
              <w:pStyle w:val="OutcomeDescription"/>
              <w:spacing w:before="120" w:after="120"/>
              <w:rPr>
                <w:rFonts w:cs="Arial"/>
                <w:lang w:eastAsia="en-NZ"/>
              </w:rPr>
            </w:pPr>
          </w:p>
        </w:tc>
        <w:tc>
          <w:tcPr>
            <w:tcW w:w="0" w:type="auto"/>
          </w:tcPr>
          <w:p w14:paraId="3B3B6FCF" w14:textId="77777777" w:rsidR="00E82C82" w:rsidRPr="00BE00C7" w:rsidRDefault="00E82C8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23D3362"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The infection prevention (IP) and antimicrobial stewardship (AMS) programmes were appropriate to the size and complexity of the service, had been approved by the governing body, were linked to the quality improvement system, and were being reviewed and </w:t>
            </w:r>
            <w:r w:rsidRPr="00BE00C7">
              <w:rPr>
                <w:rFonts w:cs="Arial"/>
                <w:lang w:eastAsia="en-NZ"/>
              </w:rPr>
              <w:lastRenderedPageBreak/>
              <w:t xml:space="preserve">reported on yearly. </w:t>
            </w:r>
          </w:p>
          <w:p w14:paraId="30E938FA"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Heritage Lifecare has IP and AMS in its policy documents. This is being supported at governance level through clinically competent specialist personnel who make sure that IP and AMS are being appropriately handled at facility level and to support facilities as required. </w:t>
            </w:r>
          </w:p>
          <w:p w14:paraId="7E3BAAC1"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Clinical specialists can access IP and AMS expertise through Te Whatu Ora, GPs, and the RCQM. </w:t>
            </w:r>
          </w:p>
          <w:p w14:paraId="5212A972" w14:textId="77777777" w:rsidR="00E82C82" w:rsidRPr="00BE00C7" w:rsidRDefault="00E82C82" w:rsidP="00BE00C7">
            <w:pPr>
              <w:pStyle w:val="OutcomeDescription"/>
              <w:spacing w:before="120" w:after="120"/>
              <w:rPr>
                <w:rFonts w:cs="Arial"/>
                <w:lang w:eastAsia="en-NZ"/>
              </w:rPr>
            </w:pPr>
            <w:r w:rsidRPr="00BE00C7">
              <w:rPr>
                <w:rFonts w:cs="Arial"/>
                <w:lang w:eastAsia="en-NZ"/>
              </w:rPr>
              <w:t>Infection prevention and AMS information is discussed at facility level and at clinical governance meetings and is reported to the board at board meetings.</w:t>
            </w:r>
          </w:p>
          <w:p w14:paraId="30FB53A8" w14:textId="77777777" w:rsidR="00E82C82" w:rsidRPr="00BE00C7" w:rsidRDefault="00E82C82" w:rsidP="00BE00C7">
            <w:pPr>
              <w:pStyle w:val="OutcomeDescription"/>
              <w:spacing w:before="120" w:after="120"/>
              <w:rPr>
                <w:rFonts w:cs="Arial"/>
                <w:lang w:eastAsia="en-NZ"/>
              </w:rPr>
            </w:pPr>
            <w:r w:rsidRPr="00BE00C7">
              <w:rPr>
                <w:rFonts w:cs="Arial"/>
                <w:lang w:eastAsia="en-NZ"/>
              </w:rPr>
              <w:t>Infection prevention and control information presented to the board includes ethnicity data.</w:t>
            </w:r>
          </w:p>
          <w:p w14:paraId="34C51452" w14:textId="77777777" w:rsidR="00E82C82" w:rsidRPr="00BE00C7" w:rsidRDefault="00E82C82" w:rsidP="00BE00C7">
            <w:pPr>
              <w:pStyle w:val="OutcomeDescription"/>
              <w:spacing w:before="120" w:after="120"/>
              <w:rPr>
                <w:rFonts w:cs="Arial"/>
                <w:lang w:eastAsia="en-NZ"/>
              </w:rPr>
            </w:pPr>
            <w:r w:rsidRPr="00BE00C7">
              <w:rPr>
                <w:rFonts w:cs="Arial"/>
                <w:lang w:eastAsia="en-NZ"/>
              </w:rPr>
              <w:t>The pandemic planning was tested thoroughly during COVID-19.</w:t>
            </w:r>
          </w:p>
          <w:p w14:paraId="07A961CA" w14:textId="77777777" w:rsidR="00E82C82" w:rsidRPr="00BE00C7" w:rsidRDefault="00E82C82" w:rsidP="00BE00C7">
            <w:pPr>
              <w:pStyle w:val="OutcomeDescription"/>
              <w:spacing w:before="120" w:after="120"/>
              <w:rPr>
                <w:rFonts w:cs="Arial"/>
                <w:lang w:eastAsia="en-NZ"/>
              </w:rPr>
            </w:pPr>
          </w:p>
        </w:tc>
      </w:tr>
      <w:tr w:rsidR="00AF55A0" w14:paraId="230A7432" w14:textId="77777777">
        <w:tc>
          <w:tcPr>
            <w:tcW w:w="0" w:type="auto"/>
          </w:tcPr>
          <w:p w14:paraId="480383D0" w14:textId="77777777" w:rsidR="00E82C82" w:rsidRPr="00BE00C7" w:rsidRDefault="00E82C82"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49E499EE" w14:textId="77777777" w:rsidR="00E82C82" w:rsidRPr="00BE00C7" w:rsidRDefault="00E82C82"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1F2115B" w14:textId="77777777" w:rsidR="00E82C82" w:rsidRPr="00BE00C7" w:rsidRDefault="00E82C82" w:rsidP="00BE00C7">
            <w:pPr>
              <w:pStyle w:val="OutcomeDescription"/>
              <w:spacing w:before="120" w:after="120"/>
              <w:rPr>
                <w:rFonts w:cs="Arial"/>
                <w:lang w:eastAsia="en-NZ"/>
              </w:rPr>
            </w:pPr>
          </w:p>
        </w:tc>
        <w:tc>
          <w:tcPr>
            <w:tcW w:w="0" w:type="auto"/>
          </w:tcPr>
          <w:p w14:paraId="1E90BE5B" w14:textId="77777777" w:rsidR="00E82C82" w:rsidRPr="00BE00C7" w:rsidRDefault="00E82C82" w:rsidP="00BE00C7">
            <w:pPr>
              <w:pStyle w:val="OutcomeDescription"/>
              <w:spacing w:before="120" w:after="120"/>
              <w:rPr>
                <w:rFonts w:cs="Arial"/>
                <w:lang w:eastAsia="en-NZ"/>
              </w:rPr>
            </w:pPr>
            <w:r w:rsidRPr="00BE00C7">
              <w:rPr>
                <w:rFonts w:cs="Arial"/>
                <w:lang w:eastAsia="en-NZ"/>
              </w:rPr>
              <w:t>FA</w:t>
            </w:r>
          </w:p>
        </w:tc>
        <w:tc>
          <w:tcPr>
            <w:tcW w:w="0" w:type="auto"/>
          </w:tcPr>
          <w:p w14:paraId="31E36AEC" w14:textId="77777777" w:rsidR="00E82C82" w:rsidRPr="00BE00C7" w:rsidRDefault="00E82C82" w:rsidP="00BE00C7">
            <w:pPr>
              <w:pStyle w:val="OutcomeDescription"/>
              <w:spacing w:before="120" w:after="120"/>
              <w:rPr>
                <w:rFonts w:cs="Arial"/>
                <w:lang w:eastAsia="en-NZ"/>
              </w:rPr>
            </w:pPr>
            <w:r w:rsidRPr="00BE00C7">
              <w:rPr>
                <w:rFonts w:cs="Arial"/>
                <w:lang w:eastAsia="en-NZ"/>
              </w:rPr>
              <w:t>The infection prevention and control policies reflected the requirements of the standard and are based on current accepted good practice.  There is an infection prevention (IP) and antimicrobial stewardship (AMS) programme in place that has been developed by those with IP expertise, is linked to the quality improvement programme, and has been approved by the Heritage Lifecare governing body. Annual review of the programme last occurred in January 2026 and reporting to governance had occurred.</w:t>
            </w:r>
          </w:p>
          <w:p w14:paraId="7C89AC9C" w14:textId="77777777" w:rsidR="00E82C82" w:rsidRPr="00BE00C7" w:rsidRDefault="00E82C82" w:rsidP="00BE00C7">
            <w:pPr>
              <w:pStyle w:val="OutcomeDescription"/>
              <w:spacing w:before="120" w:after="120"/>
              <w:rPr>
                <w:rFonts w:cs="Arial"/>
                <w:lang w:eastAsia="en-NZ"/>
              </w:rPr>
            </w:pPr>
            <w:r w:rsidRPr="00BE00C7">
              <w:rPr>
                <w:rFonts w:cs="Arial"/>
                <w:lang w:eastAsia="en-NZ"/>
              </w:rPr>
              <w:t>The infection prevention and control coordinator (IPCC) is a registered nurse and is responsible for overseeing and implementing the IP programme with reporting lines to the clinical services manager and care home and village manager and to the Heritage Lifecare regional clinical and quality manager, who is the national IP lead. The IPCC has appropriate skills, knowledge and qualifications for the role and confirmed access to the necessary resources and support. Their advice, and/or the advice of the Herita</w:t>
            </w:r>
            <w:r w:rsidRPr="00BE00C7">
              <w:rPr>
                <w:rFonts w:cs="Arial"/>
                <w:lang w:eastAsia="en-NZ"/>
              </w:rPr>
              <w:t xml:space="preserve">ge Lifecare national IP lead, has been sought when making decisions around procurement relevant to care delivery, design of any new building or </w:t>
            </w:r>
            <w:r w:rsidRPr="00BE00C7">
              <w:rPr>
                <w:rFonts w:cs="Arial"/>
                <w:lang w:eastAsia="en-NZ"/>
              </w:rPr>
              <w:lastRenderedPageBreak/>
              <w:t xml:space="preserve">facility changes, and policies. </w:t>
            </w:r>
          </w:p>
          <w:p w14:paraId="48AFC473" w14:textId="77777777" w:rsidR="00E82C82" w:rsidRPr="00BE00C7" w:rsidRDefault="00E82C82" w:rsidP="00BE00C7">
            <w:pPr>
              <w:pStyle w:val="OutcomeDescription"/>
              <w:spacing w:before="120" w:after="120"/>
              <w:rPr>
                <w:rFonts w:cs="Arial"/>
                <w:lang w:eastAsia="en-NZ"/>
              </w:rPr>
            </w:pPr>
            <w:r w:rsidRPr="00BE00C7">
              <w:rPr>
                <w:rFonts w:cs="Arial"/>
                <w:lang w:eastAsia="en-NZ"/>
              </w:rPr>
              <w:t>Staff were familiar with policies through orientation and ongoing education and were observed to follow these correctly.  Cultural advice is accessed where appropriate through the Heritage Lifecare Komiti Māori and staff.</w:t>
            </w:r>
          </w:p>
          <w:p w14:paraId="1A103949"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Residents and their whānau are educated about infection prevention in a manner that meets their needs. Educational resources are available in te reo Māori. </w:t>
            </w:r>
          </w:p>
          <w:p w14:paraId="7B726043"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A pandemic/infectious diseases response plan is documented and has been regularly tested. There are sufficient resources and personal protective equipment (PPE) available, and staff have been trained accordingly. </w:t>
            </w:r>
          </w:p>
          <w:p w14:paraId="6DE3D3C3" w14:textId="77777777" w:rsidR="00E82C82" w:rsidRPr="00BE00C7" w:rsidRDefault="00E82C82" w:rsidP="00BE00C7">
            <w:pPr>
              <w:pStyle w:val="OutcomeDescription"/>
              <w:spacing w:before="120" w:after="120"/>
              <w:rPr>
                <w:rFonts w:cs="Arial"/>
                <w:lang w:eastAsia="en-NZ"/>
              </w:rPr>
            </w:pPr>
            <w:r w:rsidRPr="00BE00C7">
              <w:rPr>
                <w:rFonts w:cs="Arial"/>
                <w:lang w:eastAsia="en-NZ"/>
              </w:rPr>
              <w:t>Staff were familiar with policies for the decontamination of reusable medical devices and there was evidence of these being appropriately decontaminated and reprocessed. The process is audited to maintain good practice. Single-use medical devices are not reused.</w:t>
            </w:r>
          </w:p>
          <w:p w14:paraId="583FCF8F" w14:textId="77777777" w:rsidR="00E82C82" w:rsidRPr="00BE00C7" w:rsidRDefault="00E82C82" w:rsidP="00BE00C7">
            <w:pPr>
              <w:pStyle w:val="OutcomeDescription"/>
              <w:spacing w:before="120" w:after="120"/>
              <w:rPr>
                <w:rFonts w:cs="Arial"/>
                <w:lang w:eastAsia="en-NZ"/>
              </w:rPr>
            </w:pPr>
          </w:p>
        </w:tc>
      </w:tr>
      <w:tr w:rsidR="00AF55A0" w14:paraId="15876F42" w14:textId="77777777">
        <w:tc>
          <w:tcPr>
            <w:tcW w:w="0" w:type="auto"/>
          </w:tcPr>
          <w:p w14:paraId="6318746F" w14:textId="77777777" w:rsidR="00E82C82" w:rsidRPr="00BE00C7" w:rsidRDefault="00E82C82"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3C37B119" w14:textId="77777777" w:rsidR="00E82C82" w:rsidRPr="00BE00C7" w:rsidRDefault="00E82C82"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3F91DFB4" w14:textId="77777777" w:rsidR="00E82C82" w:rsidRPr="00BE00C7" w:rsidRDefault="00E82C82" w:rsidP="00BE00C7">
            <w:pPr>
              <w:pStyle w:val="OutcomeDescription"/>
              <w:spacing w:before="120" w:after="120"/>
              <w:rPr>
                <w:rFonts w:cs="Arial"/>
                <w:lang w:eastAsia="en-NZ"/>
              </w:rPr>
            </w:pPr>
          </w:p>
        </w:tc>
        <w:tc>
          <w:tcPr>
            <w:tcW w:w="0" w:type="auto"/>
          </w:tcPr>
          <w:p w14:paraId="5A3FCB24" w14:textId="77777777" w:rsidR="00E82C82" w:rsidRPr="00BE00C7" w:rsidRDefault="00E82C82" w:rsidP="00BE00C7">
            <w:pPr>
              <w:pStyle w:val="OutcomeDescription"/>
              <w:spacing w:before="120" w:after="120"/>
              <w:rPr>
                <w:rFonts w:cs="Arial"/>
                <w:lang w:eastAsia="en-NZ"/>
              </w:rPr>
            </w:pPr>
            <w:r w:rsidRPr="00BE00C7">
              <w:rPr>
                <w:rFonts w:cs="Arial"/>
                <w:lang w:eastAsia="en-NZ"/>
              </w:rPr>
              <w:t>FA</w:t>
            </w:r>
          </w:p>
        </w:tc>
        <w:tc>
          <w:tcPr>
            <w:tcW w:w="0" w:type="auto"/>
          </w:tcPr>
          <w:p w14:paraId="5C60FA3F" w14:textId="77777777" w:rsidR="00E82C82" w:rsidRPr="00BE00C7" w:rsidRDefault="00E82C82" w:rsidP="00BE00C7">
            <w:pPr>
              <w:pStyle w:val="OutcomeDescription"/>
              <w:spacing w:before="120" w:after="120"/>
              <w:rPr>
                <w:rFonts w:cs="Arial"/>
                <w:lang w:eastAsia="en-NZ"/>
              </w:rPr>
            </w:pPr>
            <w:r w:rsidRPr="00BE00C7">
              <w:rPr>
                <w:rFonts w:cs="Arial"/>
                <w:lang w:eastAsia="en-NZ"/>
              </w:rPr>
              <w:t>Responsible use of antimicrobials was actively promoted at Coldstream. The AMS programme was appropriate for the size and complexity of the service and was supported by current policies and procedures. The effectiveness of the AMS programme was evaluated through regular monitoring of antimicrobial use, with the identification of trends and opportunities for improvement.</w:t>
            </w:r>
          </w:p>
          <w:p w14:paraId="0F6D1862" w14:textId="77777777" w:rsidR="00E82C82" w:rsidRPr="00BE00C7" w:rsidRDefault="00E82C82" w:rsidP="00BE00C7">
            <w:pPr>
              <w:pStyle w:val="OutcomeDescription"/>
              <w:spacing w:before="120" w:after="120"/>
              <w:rPr>
                <w:rFonts w:cs="Arial"/>
                <w:lang w:eastAsia="en-NZ"/>
              </w:rPr>
            </w:pPr>
            <w:r w:rsidRPr="00BE00C7">
              <w:rPr>
                <w:rFonts w:cs="Arial"/>
                <w:lang w:eastAsia="en-NZ"/>
              </w:rPr>
              <w:t>The IPCC and the resident nurse practitioner were interviewed during the audit and both confirmed that they work collaboratively to minimise unnecessary antibiotic use in older persons. They described an approach whereby antibiotics were generally prescribed only when a culture had been sent to the laboratory and/or the resident was clearly symptomatic, in line with best-practice AMS principles.</w:t>
            </w:r>
          </w:p>
          <w:p w14:paraId="674D24BE" w14:textId="77777777" w:rsidR="00E82C82" w:rsidRPr="00BE00C7" w:rsidRDefault="00E82C82" w:rsidP="00BE00C7">
            <w:pPr>
              <w:pStyle w:val="OutcomeDescription"/>
              <w:spacing w:before="120" w:after="120"/>
              <w:rPr>
                <w:rFonts w:cs="Arial"/>
                <w:lang w:eastAsia="en-NZ"/>
              </w:rPr>
            </w:pPr>
          </w:p>
        </w:tc>
      </w:tr>
      <w:tr w:rsidR="00AF55A0" w14:paraId="7F99821C" w14:textId="77777777">
        <w:tc>
          <w:tcPr>
            <w:tcW w:w="0" w:type="auto"/>
          </w:tcPr>
          <w:p w14:paraId="07C3EF7A" w14:textId="77777777" w:rsidR="00E82C82" w:rsidRPr="00BE00C7" w:rsidRDefault="00E82C82"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02C6CD27" w14:textId="77777777" w:rsidR="00E82C82" w:rsidRPr="00BE00C7" w:rsidRDefault="00E82C82" w:rsidP="00BE00C7">
            <w:pPr>
              <w:pStyle w:val="OutcomeDescription"/>
              <w:spacing w:before="120" w:after="120"/>
              <w:rPr>
                <w:rFonts w:cs="Arial"/>
                <w:lang w:eastAsia="en-NZ"/>
              </w:rPr>
            </w:pPr>
            <w:r w:rsidRPr="00BE00C7">
              <w:rPr>
                <w:rFonts w:cs="Arial"/>
                <w:lang w:eastAsia="en-NZ"/>
              </w:rPr>
              <w:lastRenderedPageBreak/>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FB8FCA1" w14:textId="77777777" w:rsidR="00E82C82" w:rsidRPr="00BE00C7" w:rsidRDefault="00E82C82" w:rsidP="00BE00C7">
            <w:pPr>
              <w:pStyle w:val="OutcomeDescription"/>
              <w:spacing w:before="120" w:after="120"/>
              <w:rPr>
                <w:rFonts w:cs="Arial"/>
                <w:lang w:eastAsia="en-NZ"/>
              </w:rPr>
            </w:pPr>
          </w:p>
        </w:tc>
        <w:tc>
          <w:tcPr>
            <w:tcW w:w="0" w:type="auto"/>
          </w:tcPr>
          <w:p w14:paraId="16C06D75" w14:textId="77777777" w:rsidR="00E82C82" w:rsidRPr="00BE00C7" w:rsidRDefault="00E82C8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F33D820"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Surveillance of health care-associated infections (HAIs) is appropriate to that recommended for the aged care services offered </w:t>
            </w:r>
            <w:r w:rsidRPr="00BE00C7">
              <w:rPr>
                <w:rFonts w:cs="Arial"/>
                <w:lang w:eastAsia="en-NZ"/>
              </w:rPr>
              <w:lastRenderedPageBreak/>
              <w:t xml:space="preserve">and is in line with risks and priorities defined in the infection prevention programme. </w:t>
            </w:r>
          </w:p>
          <w:p w14:paraId="32F72D6D" w14:textId="77777777" w:rsidR="00E82C82" w:rsidRPr="00BE00C7" w:rsidRDefault="00E82C82" w:rsidP="00BE00C7">
            <w:pPr>
              <w:pStyle w:val="OutcomeDescription"/>
              <w:spacing w:before="120" w:after="120"/>
              <w:rPr>
                <w:rFonts w:cs="Arial"/>
                <w:lang w:eastAsia="en-NZ"/>
              </w:rPr>
            </w:pPr>
            <w:r w:rsidRPr="00BE00C7">
              <w:rPr>
                <w:rFonts w:cs="Arial"/>
                <w:lang w:eastAsia="en-NZ"/>
              </w:rPr>
              <w:t>Surveillance methods, tools, documentation, analysis, and assignment of responsibilities were described within the IP and AMS framework and aligned with standardised surveillance definitions. Surveillance processes include the routine capture of resident ethnicity data. Monthly surveillance data was collated and analysed to identify any trends, possible causative factors, and required actions. Results of the surveillance programme are shared with staff and reported to the national IP lead and Heritage Lifec</w:t>
            </w:r>
            <w:r w:rsidRPr="00BE00C7">
              <w:rPr>
                <w:rFonts w:cs="Arial"/>
                <w:lang w:eastAsia="en-NZ"/>
              </w:rPr>
              <w:t xml:space="preserve">are governing body.  </w:t>
            </w:r>
          </w:p>
          <w:p w14:paraId="4F96745B" w14:textId="77777777" w:rsidR="00E82C82" w:rsidRPr="00BE00C7" w:rsidRDefault="00E82C82" w:rsidP="00BE00C7">
            <w:pPr>
              <w:pStyle w:val="OutcomeDescription"/>
              <w:spacing w:before="120" w:after="120"/>
              <w:rPr>
                <w:rFonts w:cs="Arial"/>
                <w:lang w:eastAsia="en-NZ"/>
              </w:rPr>
            </w:pPr>
            <w:r w:rsidRPr="00BE00C7">
              <w:rPr>
                <w:rFonts w:cs="Arial"/>
                <w:lang w:eastAsia="en-NZ"/>
              </w:rPr>
              <w:t>Communication between service providers and those residents experiencing a health care-associated infection (HAI) is culturally safe.</w:t>
            </w:r>
          </w:p>
          <w:p w14:paraId="59FAA504" w14:textId="77777777" w:rsidR="00E82C82" w:rsidRPr="00BE00C7" w:rsidRDefault="00E82C82" w:rsidP="00BE00C7">
            <w:pPr>
              <w:pStyle w:val="OutcomeDescription"/>
              <w:spacing w:before="120" w:after="120"/>
              <w:rPr>
                <w:rFonts w:cs="Arial"/>
                <w:lang w:eastAsia="en-NZ"/>
              </w:rPr>
            </w:pPr>
          </w:p>
        </w:tc>
      </w:tr>
      <w:tr w:rsidR="00AF55A0" w14:paraId="76EF6DAE" w14:textId="77777777">
        <w:tc>
          <w:tcPr>
            <w:tcW w:w="0" w:type="auto"/>
          </w:tcPr>
          <w:p w14:paraId="3F216F72" w14:textId="77777777" w:rsidR="00E82C82" w:rsidRPr="00BE00C7" w:rsidRDefault="00E82C82" w:rsidP="00BE00C7">
            <w:pPr>
              <w:pStyle w:val="OutcomeDescription"/>
              <w:spacing w:before="120" w:after="120"/>
              <w:rPr>
                <w:rFonts w:cs="Arial"/>
                <w:lang w:eastAsia="en-NZ"/>
              </w:rPr>
            </w:pPr>
            <w:r w:rsidRPr="00BE00C7">
              <w:rPr>
                <w:rFonts w:cs="Arial"/>
                <w:lang w:eastAsia="en-NZ"/>
              </w:rPr>
              <w:lastRenderedPageBreak/>
              <w:t>Subsection 5.5: Environment</w:t>
            </w:r>
          </w:p>
          <w:p w14:paraId="00BD4B40" w14:textId="77777777" w:rsidR="00E82C82" w:rsidRPr="00BE00C7" w:rsidRDefault="00E82C82"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78FC79C3" w14:textId="77777777" w:rsidR="00E82C82" w:rsidRPr="00BE00C7" w:rsidRDefault="00E82C82" w:rsidP="00BE00C7">
            <w:pPr>
              <w:pStyle w:val="OutcomeDescription"/>
              <w:spacing w:before="120" w:after="120"/>
              <w:rPr>
                <w:rFonts w:cs="Arial"/>
                <w:lang w:eastAsia="en-NZ"/>
              </w:rPr>
            </w:pPr>
          </w:p>
        </w:tc>
        <w:tc>
          <w:tcPr>
            <w:tcW w:w="0" w:type="auto"/>
          </w:tcPr>
          <w:p w14:paraId="08D831CB" w14:textId="77777777" w:rsidR="00E82C82" w:rsidRPr="00BE00C7" w:rsidRDefault="00E82C82" w:rsidP="00BE00C7">
            <w:pPr>
              <w:pStyle w:val="OutcomeDescription"/>
              <w:spacing w:before="120" w:after="120"/>
              <w:rPr>
                <w:rFonts w:cs="Arial"/>
                <w:lang w:eastAsia="en-NZ"/>
              </w:rPr>
            </w:pPr>
            <w:r w:rsidRPr="00BE00C7">
              <w:rPr>
                <w:rFonts w:cs="Arial"/>
                <w:lang w:eastAsia="en-NZ"/>
              </w:rPr>
              <w:t>FA</w:t>
            </w:r>
          </w:p>
        </w:tc>
        <w:tc>
          <w:tcPr>
            <w:tcW w:w="0" w:type="auto"/>
          </w:tcPr>
          <w:p w14:paraId="68FAF2D0"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A clean, hygienic, and well-maintained environment supported the prevention of infection and mitigation of transmission of antimicrobial-resistant organisms. The facility presented was clean, tidy, and homely throughout the audit, and created a comfortable and welcoming living environment for residents. </w:t>
            </w:r>
          </w:p>
          <w:p w14:paraId="7E420CFF"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Staff consistently followed documented policies and processes for cleaning, laundry, and the management of waste and infectious and hazardous substances. </w:t>
            </w:r>
          </w:p>
          <w:p w14:paraId="46F98102"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The laundry facility is spacious and functional, with clearly defined clean and dirty zones. Staff demonstrated an understanding of correct laundry techniques, including the safe handling, segregation, and processing of soiled and infectious linen, as well as cultural requirements relating to laundry practices. </w:t>
            </w:r>
          </w:p>
          <w:p w14:paraId="6CD6F2A1"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Chemicals were stored safely and in line with policy. Hazardous substances were securely stored and locked away in accordance with safety requirements. </w:t>
            </w:r>
          </w:p>
          <w:p w14:paraId="0D270094"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Laundry and cleaning processes were regularly monitored for effectiveness, with recent audits completed on cleaning, laundry, and kitchen practices. The IPCC had oversight of the environmental </w:t>
            </w:r>
            <w:r w:rsidRPr="00BE00C7">
              <w:rPr>
                <w:rFonts w:cs="Arial"/>
                <w:lang w:eastAsia="en-NZ"/>
              </w:rPr>
              <w:lastRenderedPageBreak/>
              <w:t xml:space="preserve">testing and monitoring programme. Staff involved in cleaning and laundry duties had completed relevant training and were observed to carry out their roles safely and appropriately. </w:t>
            </w:r>
          </w:p>
          <w:p w14:paraId="2C4DEB6F" w14:textId="77777777" w:rsidR="00E82C82" w:rsidRPr="00BE00C7" w:rsidRDefault="00E82C82" w:rsidP="00BE00C7">
            <w:pPr>
              <w:pStyle w:val="OutcomeDescription"/>
              <w:spacing w:before="120" w:after="120"/>
              <w:rPr>
                <w:rFonts w:cs="Arial"/>
                <w:lang w:eastAsia="en-NZ"/>
              </w:rPr>
            </w:pPr>
            <w:r w:rsidRPr="00BE00C7">
              <w:rPr>
                <w:rFonts w:cs="Arial"/>
                <w:lang w:eastAsia="en-NZ"/>
              </w:rPr>
              <w:t>Residents and whānau reported that the laundry was managed well and that the facility was kept clean and tidy. These observations were confirmed by the audit team during site inspection.</w:t>
            </w:r>
          </w:p>
          <w:p w14:paraId="444DC79B" w14:textId="77777777" w:rsidR="00E82C82" w:rsidRPr="00BE00C7" w:rsidRDefault="00E82C82" w:rsidP="00BE00C7">
            <w:pPr>
              <w:pStyle w:val="OutcomeDescription"/>
              <w:spacing w:before="120" w:after="120"/>
              <w:rPr>
                <w:rFonts w:cs="Arial"/>
                <w:lang w:eastAsia="en-NZ"/>
              </w:rPr>
            </w:pPr>
          </w:p>
        </w:tc>
      </w:tr>
      <w:tr w:rsidR="00AF55A0" w14:paraId="3125FCC3" w14:textId="77777777">
        <w:tc>
          <w:tcPr>
            <w:tcW w:w="0" w:type="auto"/>
          </w:tcPr>
          <w:p w14:paraId="5A4FAD63" w14:textId="77777777" w:rsidR="00E82C82" w:rsidRPr="00BE00C7" w:rsidRDefault="00E82C82"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3DBB8E80" w14:textId="77777777" w:rsidR="00E82C82" w:rsidRPr="00BE00C7" w:rsidRDefault="00E82C82"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F568EAD" w14:textId="77777777" w:rsidR="00E82C82" w:rsidRPr="00BE00C7" w:rsidRDefault="00E82C82" w:rsidP="00BE00C7">
            <w:pPr>
              <w:pStyle w:val="OutcomeDescription"/>
              <w:spacing w:before="120" w:after="120"/>
              <w:rPr>
                <w:rFonts w:cs="Arial"/>
                <w:lang w:eastAsia="en-NZ"/>
              </w:rPr>
            </w:pPr>
          </w:p>
        </w:tc>
        <w:tc>
          <w:tcPr>
            <w:tcW w:w="0" w:type="auto"/>
          </w:tcPr>
          <w:p w14:paraId="16AC7C4F" w14:textId="77777777" w:rsidR="00E82C82" w:rsidRPr="00BE00C7" w:rsidRDefault="00E82C82" w:rsidP="00BE00C7">
            <w:pPr>
              <w:pStyle w:val="OutcomeDescription"/>
              <w:spacing w:before="120" w:after="120"/>
              <w:rPr>
                <w:rFonts w:cs="Arial"/>
                <w:lang w:eastAsia="en-NZ"/>
              </w:rPr>
            </w:pPr>
            <w:r w:rsidRPr="00BE00C7">
              <w:rPr>
                <w:rFonts w:cs="Arial"/>
                <w:lang w:eastAsia="en-NZ"/>
              </w:rPr>
              <w:t>FA</w:t>
            </w:r>
          </w:p>
        </w:tc>
        <w:tc>
          <w:tcPr>
            <w:tcW w:w="0" w:type="auto"/>
          </w:tcPr>
          <w:p w14:paraId="7229A708"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Maintaining a restraint-free environment is the aim of the service. The governance group demonstrated commitment to this through documented policy and regular reporting requirements. The clinical advisory group (CAG) monitors the use of restraint across the organisation and is chaired by one of the organisation’s regional managers, who has responsibility for ensuring that restraint minimisation is achieved. </w:t>
            </w:r>
          </w:p>
          <w:p w14:paraId="42F9D0EC"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The CSM is the restraint coordinator at Coldstream, providing support and oversight for any restraint management should it be used. Their position description was sighted. The CSM is involved in the purchase of equipment should it be needed. </w:t>
            </w:r>
          </w:p>
          <w:p w14:paraId="04D0C0AF"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Policies and procedures met the requirements of the standard. </w:t>
            </w:r>
          </w:p>
          <w:p w14:paraId="577CAFF9" w14:textId="77777777" w:rsidR="00E82C82" w:rsidRPr="00BE00C7" w:rsidRDefault="00E82C82" w:rsidP="00BE00C7">
            <w:pPr>
              <w:pStyle w:val="OutcomeDescription"/>
              <w:spacing w:before="120" w:after="120"/>
              <w:rPr>
                <w:rFonts w:cs="Arial"/>
                <w:lang w:eastAsia="en-NZ"/>
              </w:rPr>
            </w:pPr>
            <w:r w:rsidRPr="00BE00C7">
              <w:rPr>
                <w:rFonts w:cs="Arial"/>
                <w:lang w:eastAsia="en-NZ"/>
              </w:rPr>
              <w:t xml:space="preserve">Staff reported that orientation and ongoing education included aspects of safe restraint training, including restraint-free training, and management of challenging behaviours. </w:t>
            </w:r>
          </w:p>
          <w:p w14:paraId="6577B859" w14:textId="77777777" w:rsidR="00E82C82" w:rsidRPr="00BE00C7" w:rsidRDefault="00E82C82" w:rsidP="00BE00C7">
            <w:pPr>
              <w:pStyle w:val="OutcomeDescription"/>
              <w:spacing w:before="120" w:after="120"/>
              <w:rPr>
                <w:rFonts w:cs="Arial"/>
                <w:lang w:eastAsia="en-NZ"/>
              </w:rPr>
            </w:pPr>
            <w:r w:rsidRPr="00BE00C7">
              <w:rPr>
                <w:rFonts w:cs="Arial"/>
                <w:lang w:eastAsia="en-NZ"/>
              </w:rPr>
              <w:t>At the time of audit, there were no residents using restraint. Minutes reviewed evidenced nil restraint reported. Given there has been no restraint reported to governance since the last audit, subsections 6.2 and 6.3 have not been audited.</w:t>
            </w:r>
          </w:p>
          <w:p w14:paraId="3CE826D1" w14:textId="77777777" w:rsidR="00E82C82" w:rsidRPr="00BE00C7" w:rsidRDefault="00E82C82" w:rsidP="00BE00C7">
            <w:pPr>
              <w:pStyle w:val="OutcomeDescription"/>
              <w:spacing w:before="120" w:after="120"/>
              <w:rPr>
                <w:rFonts w:cs="Arial"/>
                <w:lang w:eastAsia="en-NZ"/>
              </w:rPr>
            </w:pPr>
          </w:p>
        </w:tc>
      </w:tr>
    </w:tbl>
    <w:p w14:paraId="195EA0B4" w14:textId="77777777" w:rsidR="00E82C82" w:rsidRPr="00BE00C7" w:rsidRDefault="00E82C82" w:rsidP="00BE00C7">
      <w:pPr>
        <w:pStyle w:val="OutcomeDescription"/>
        <w:spacing w:before="120" w:after="120"/>
        <w:rPr>
          <w:rFonts w:cs="Arial"/>
          <w:lang w:eastAsia="en-NZ"/>
        </w:rPr>
      </w:pPr>
      <w:bookmarkStart w:id="56" w:name="AuditSummaryAttainment"/>
      <w:bookmarkEnd w:id="56"/>
    </w:p>
    <w:p w14:paraId="5E47E764" w14:textId="77777777" w:rsidR="00E82C82" w:rsidRDefault="00E82C82">
      <w:pPr>
        <w:pStyle w:val="Heading1"/>
        <w:rPr>
          <w:rFonts w:cs="Arial"/>
        </w:rPr>
      </w:pPr>
      <w:r>
        <w:rPr>
          <w:rFonts w:cs="Arial"/>
        </w:rPr>
        <w:lastRenderedPageBreak/>
        <w:t>Specific results for criterion where corrective actions are required</w:t>
      </w:r>
    </w:p>
    <w:p w14:paraId="0784C48B" w14:textId="77777777" w:rsidR="00E82C82" w:rsidRDefault="00E82C82">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0B74BA7A" w14:textId="77777777" w:rsidR="00E82C82" w:rsidRDefault="00E82C82">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82293B8" w14:textId="77777777" w:rsidR="00E82C82" w:rsidRDefault="00E82C82">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F55A0" w14:paraId="1A942B69" w14:textId="77777777">
        <w:tc>
          <w:tcPr>
            <w:tcW w:w="0" w:type="auto"/>
          </w:tcPr>
          <w:p w14:paraId="0189B292" w14:textId="77777777" w:rsidR="00E82C82" w:rsidRPr="00BE00C7" w:rsidRDefault="00E82C82" w:rsidP="00BE00C7">
            <w:pPr>
              <w:pStyle w:val="OutcomeDescription"/>
              <w:spacing w:before="120" w:after="120"/>
              <w:rPr>
                <w:rFonts w:cs="Arial"/>
                <w:lang w:eastAsia="en-NZ"/>
              </w:rPr>
            </w:pPr>
            <w:r w:rsidRPr="00BE00C7">
              <w:rPr>
                <w:rFonts w:cs="Arial"/>
                <w:lang w:eastAsia="en-NZ"/>
              </w:rPr>
              <w:t>No data to display</w:t>
            </w:r>
          </w:p>
        </w:tc>
      </w:tr>
    </w:tbl>
    <w:p w14:paraId="4152209B" w14:textId="77777777" w:rsidR="00E82C82" w:rsidRPr="00BE00C7" w:rsidRDefault="00E82C82" w:rsidP="00BE00C7">
      <w:pPr>
        <w:pStyle w:val="OutcomeDescription"/>
        <w:spacing w:before="120" w:after="120"/>
        <w:rPr>
          <w:rFonts w:cs="Arial"/>
          <w:lang w:eastAsia="en-NZ"/>
        </w:rPr>
      </w:pPr>
      <w:bookmarkStart w:id="57" w:name="AuditSummaryCAMCriterion"/>
      <w:bookmarkEnd w:id="57"/>
    </w:p>
    <w:p w14:paraId="06B9A7E7" w14:textId="77777777" w:rsidR="00E82C82" w:rsidRDefault="00E82C82">
      <w:pPr>
        <w:pStyle w:val="Heading1"/>
        <w:rPr>
          <w:rFonts w:cs="Arial"/>
        </w:rPr>
      </w:pPr>
      <w:r>
        <w:rPr>
          <w:rFonts w:cs="Arial"/>
        </w:rPr>
        <w:lastRenderedPageBreak/>
        <w:t>Specific results for criterion where a continuous improvement has been recorded</w:t>
      </w:r>
    </w:p>
    <w:p w14:paraId="1B6AEC96" w14:textId="77777777" w:rsidR="00E82C82" w:rsidRDefault="00E82C82">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002FBA6" w14:textId="77777777" w:rsidR="00E82C82" w:rsidRDefault="00E82C82">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D7D023F" w14:textId="77777777" w:rsidR="00E82C82" w:rsidRDefault="00E82C82">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F55A0" w14:paraId="4ECD3D0A" w14:textId="77777777">
        <w:tc>
          <w:tcPr>
            <w:tcW w:w="0" w:type="auto"/>
          </w:tcPr>
          <w:p w14:paraId="7FCBF6EF" w14:textId="77777777" w:rsidR="00E82C82" w:rsidRPr="00BE00C7" w:rsidRDefault="00E82C82" w:rsidP="00BE00C7">
            <w:pPr>
              <w:pStyle w:val="OutcomeDescription"/>
              <w:spacing w:before="120" w:after="120"/>
              <w:rPr>
                <w:rFonts w:cs="Arial"/>
                <w:lang w:eastAsia="en-NZ"/>
              </w:rPr>
            </w:pPr>
            <w:r w:rsidRPr="00BE00C7">
              <w:rPr>
                <w:rFonts w:cs="Arial"/>
                <w:lang w:eastAsia="en-NZ"/>
              </w:rPr>
              <w:t>No data to display</w:t>
            </w:r>
          </w:p>
        </w:tc>
      </w:tr>
    </w:tbl>
    <w:p w14:paraId="32AB792F" w14:textId="77777777" w:rsidR="00E82C82" w:rsidRPr="00BE00C7" w:rsidRDefault="00E82C82" w:rsidP="00BE00C7">
      <w:pPr>
        <w:pStyle w:val="OutcomeDescription"/>
        <w:spacing w:before="120" w:after="120"/>
        <w:rPr>
          <w:rFonts w:cs="Arial"/>
          <w:lang w:eastAsia="en-NZ"/>
        </w:rPr>
      </w:pPr>
      <w:bookmarkStart w:id="58" w:name="AuditSummaryCAMImprovment"/>
      <w:bookmarkEnd w:id="58"/>
    </w:p>
    <w:p w14:paraId="7754BDAA" w14:textId="77777777" w:rsidR="00E82C82" w:rsidRDefault="00E82C82">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86A02" w14:textId="77777777" w:rsidR="00E82C82" w:rsidRDefault="00E82C82">
      <w:r>
        <w:separator/>
      </w:r>
    </w:p>
  </w:endnote>
  <w:endnote w:type="continuationSeparator" w:id="0">
    <w:p w14:paraId="50CCC1ED" w14:textId="77777777" w:rsidR="00E82C82" w:rsidRDefault="00E82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6CA55" w14:textId="77777777" w:rsidR="00E82C82" w:rsidRDefault="00E82C82">
    <w:pPr>
      <w:pStyle w:val="Footer"/>
    </w:pPr>
  </w:p>
  <w:p w14:paraId="6C7CF86A" w14:textId="77777777" w:rsidR="00E82C82" w:rsidRDefault="00E82C82"/>
  <w:p w14:paraId="1152FD09" w14:textId="77777777" w:rsidR="00E82C82" w:rsidRDefault="00E82C82"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5620" w14:textId="77777777" w:rsidR="00E82C82" w:rsidRPr="000B00BC" w:rsidRDefault="00E82C82"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Heritage Lifecare Limited - Coldstream Rest Home &amp; Hospital</w:t>
    </w:r>
    <w:bookmarkEnd w:id="59"/>
    <w:r>
      <w:rPr>
        <w:rFonts w:cs="Arial"/>
        <w:sz w:val="16"/>
        <w:szCs w:val="20"/>
      </w:rPr>
      <w:tab/>
      <w:t xml:space="preserve">Date of Audit: </w:t>
    </w:r>
    <w:bookmarkStart w:id="60" w:name="AuditStartDate1"/>
    <w:r>
      <w:rPr>
        <w:rFonts w:cs="Arial"/>
        <w:sz w:val="16"/>
        <w:szCs w:val="20"/>
      </w:rPr>
      <w:t>16 April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F76DB38" w14:textId="77777777" w:rsidR="00E82C82" w:rsidRDefault="00E82C8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C5942" w14:textId="77777777" w:rsidR="00E82C82" w:rsidRDefault="00E82C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2BDCF" w14:textId="77777777" w:rsidR="00E82C82" w:rsidRDefault="00E82C82">
      <w:r>
        <w:separator/>
      </w:r>
    </w:p>
  </w:footnote>
  <w:footnote w:type="continuationSeparator" w:id="0">
    <w:p w14:paraId="70D47E29" w14:textId="77777777" w:rsidR="00E82C82" w:rsidRDefault="00E82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A5688" w14:textId="77777777" w:rsidR="00E82C82" w:rsidRDefault="00E82C82">
    <w:pPr>
      <w:pStyle w:val="Header"/>
    </w:pPr>
  </w:p>
  <w:p w14:paraId="72169E08" w14:textId="77777777" w:rsidR="00E82C82" w:rsidRDefault="00E82C8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11A79" w14:textId="77777777" w:rsidR="00E82C82" w:rsidRDefault="00E82C82">
    <w:pPr>
      <w:pStyle w:val="Header"/>
    </w:pPr>
  </w:p>
  <w:p w14:paraId="3231590B" w14:textId="77777777" w:rsidR="00E82C82" w:rsidRDefault="00E82C8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38056" w14:textId="77777777" w:rsidR="00E82C82" w:rsidRDefault="00E82C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0592FC02">
      <w:start w:val="1"/>
      <w:numFmt w:val="decimal"/>
      <w:lvlText w:val="%1."/>
      <w:lvlJc w:val="left"/>
      <w:pPr>
        <w:ind w:left="360" w:hanging="360"/>
      </w:pPr>
    </w:lvl>
    <w:lvl w:ilvl="1" w:tplc="8A4AB272" w:tentative="1">
      <w:start w:val="1"/>
      <w:numFmt w:val="lowerLetter"/>
      <w:lvlText w:val="%2."/>
      <w:lvlJc w:val="left"/>
      <w:pPr>
        <w:ind w:left="1080" w:hanging="360"/>
      </w:pPr>
    </w:lvl>
    <w:lvl w:ilvl="2" w:tplc="4E3A9536" w:tentative="1">
      <w:start w:val="1"/>
      <w:numFmt w:val="lowerRoman"/>
      <w:lvlText w:val="%3."/>
      <w:lvlJc w:val="right"/>
      <w:pPr>
        <w:ind w:left="1800" w:hanging="180"/>
      </w:pPr>
    </w:lvl>
    <w:lvl w:ilvl="3" w:tplc="C19CEDD6" w:tentative="1">
      <w:start w:val="1"/>
      <w:numFmt w:val="decimal"/>
      <w:lvlText w:val="%4."/>
      <w:lvlJc w:val="left"/>
      <w:pPr>
        <w:ind w:left="2520" w:hanging="360"/>
      </w:pPr>
    </w:lvl>
    <w:lvl w:ilvl="4" w:tplc="CA0A9640" w:tentative="1">
      <w:start w:val="1"/>
      <w:numFmt w:val="lowerLetter"/>
      <w:lvlText w:val="%5."/>
      <w:lvlJc w:val="left"/>
      <w:pPr>
        <w:ind w:left="3240" w:hanging="360"/>
      </w:pPr>
    </w:lvl>
    <w:lvl w:ilvl="5" w:tplc="8DBE296C" w:tentative="1">
      <w:start w:val="1"/>
      <w:numFmt w:val="lowerRoman"/>
      <w:lvlText w:val="%6."/>
      <w:lvlJc w:val="right"/>
      <w:pPr>
        <w:ind w:left="3960" w:hanging="180"/>
      </w:pPr>
    </w:lvl>
    <w:lvl w:ilvl="6" w:tplc="84B20B06" w:tentative="1">
      <w:start w:val="1"/>
      <w:numFmt w:val="decimal"/>
      <w:lvlText w:val="%7."/>
      <w:lvlJc w:val="left"/>
      <w:pPr>
        <w:ind w:left="4680" w:hanging="360"/>
      </w:pPr>
    </w:lvl>
    <w:lvl w:ilvl="7" w:tplc="250C839A" w:tentative="1">
      <w:start w:val="1"/>
      <w:numFmt w:val="lowerLetter"/>
      <w:lvlText w:val="%8."/>
      <w:lvlJc w:val="left"/>
      <w:pPr>
        <w:ind w:left="5400" w:hanging="360"/>
      </w:pPr>
    </w:lvl>
    <w:lvl w:ilvl="8" w:tplc="4AF4FB2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22CAFC2E">
      <w:start w:val="1"/>
      <w:numFmt w:val="bullet"/>
      <w:lvlText w:val=""/>
      <w:lvlJc w:val="left"/>
      <w:pPr>
        <w:ind w:left="720" w:hanging="360"/>
      </w:pPr>
      <w:rPr>
        <w:rFonts w:ascii="Symbol" w:hAnsi="Symbol" w:hint="default"/>
      </w:rPr>
    </w:lvl>
    <w:lvl w:ilvl="1" w:tplc="12685C9C" w:tentative="1">
      <w:start w:val="1"/>
      <w:numFmt w:val="bullet"/>
      <w:lvlText w:val="o"/>
      <w:lvlJc w:val="left"/>
      <w:pPr>
        <w:ind w:left="1440" w:hanging="360"/>
      </w:pPr>
      <w:rPr>
        <w:rFonts w:ascii="Courier New" w:hAnsi="Courier New" w:cs="Courier New" w:hint="default"/>
      </w:rPr>
    </w:lvl>
    <w:lvl w:ilvl="2" w:tplc="23B06352" w:tentative="1">
      <w:start w:val="1"/>
      <w:numFmt w:val="bullet"/>
      <w:lvlText w:val=""/>
      <w:lvlJc w:val="left"/>
      <w:pPr>
        <w:ind w:left="2160" w:hanging="360"/>
      </w:pPr>
      <w:rPr>
        <w:rFonts w:ascii="Wingdings" w:hAnsi="Wingdings" w:hint="default"/>
      </w:rPr>
    </w:lvl>
    <w:lvl w:ilvl="3" w:tplc="A6522E56" w:tentative="1">
      <w:start w:val="1"/>
      <w:numFmt w:val="bullet"/>
      <w:lvlText w:val=""/>
      <w:lvlJc w:val="left"/>
      <w:pPr>
        <w:ind w:left="2880" w:hanging="360"/>
      </w:pPr>
      <w:rPr>
        <w:rFonts w:ascii="Symbol" w:hAnsi="Symbol" w:hint="default"/>
      </w:rPr>
    </w:lvl>
    <w:lvl w:ilvl="4" w:tplc="0CC43020" w:tentative="1">
      <w:start w:val="1"/>
      <w:numFmt w:val="bullet"/>
      <w:lvlText w:val="o"/>
      <w:lvlJc w:val="left"/>
      <w:pPr>
        <w:ind w:left="3600" w:hanging="360"/>
      </w:pPr>
      <w:rPr>
        <w:rFonts w:ascii="Courier New" w:hAnsi="Courier New" w:cs="Courier New" w:hint="default"/>
      </w:rPr>
    </w:lvl>
    <w:lvl w:ilvl="5" w:tplc="C23CED10" w:tentative="1">
      <w:start w:val="1"/>
      <w:numFmt w:val="bullet"/>
      <w:lvlText w:val=""/>
      <w:lvlJc w:val="left"/>
      <w:pPr>
        <w:ind w:left="4320" w:hanging="360"/>
      </w:pPr>
      <w:rPr>
        <w:rFonts w:ascii="Wingdings" w:hAnsi="Wingdings" w:hint="default"/>
      </w:rPr>
    </w:lvl>
    <w:lvl w:ilvl="6" w:tplc="0FD6D92C" w:tentative="1">
      <w:start w:val="1"/>
      <w:numFmt w:val="bullet"/>
      <w:lvlText w:val=""/>
      <w:lvlJc w:val="left"/>
      <w:pPr>
        <w:ind w:left="5040" w:hanging="360"/>
      </w:pPr>
      <w:rPr>
        <w:rFonts w:ascii="Symbol" w:hAnsi="Symbol" w:hint="default"/>
      </w:rPr>
    </w:lvl>
    <w:lvl w:ilvl="7" w:tplc="E9DC55F8" w:tentative="1">
      <w:start w:val="1"/>
      <w:numFmt w:val="bullet"/>
      <w:lvlText w:val="o"/>
      <w:lvlJc w:val="left"/>
      <w:pPr>
        <w:ind w:left="5760" w:hanging="360"/>
      </w:pPr>
      <w:rPr>
        <w:rFonts w:ascii="Courier New" w:hAnsi="Courier New" w:cs="Courier New" w:hint="default"/>
      </w:rPr>
    </w:lvl>
    <w:lvl w:ilvl="8" w:tplc="67A4752E" w:tentative="1">
      <w:start w:val="1"/>
      <w:numFmt w:val="bullet"/>
      <w:lvlText w:val=""/>
      <w:lvlJc w:val="left"/>
      <w:pPr>
        <w:ind w:left="6480" w:hanging="360"/>
      </w:pPr>
      <w:rPr>
        <w:rFonts w:ascii="Wingdings" w:hAnsi="Wingdings" w:hint="default"/>
      </w:rPr>
    </w:lvl>
  </w:abstractNum>
  <w:num w:numId="1" w16cid:durableId="1369135912">
    <w:abstractNumId w:val="1"/>
  </w:num>
  <w:num w:numId="2" w16cid:durableId="1602758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5A0"/>
    <w:rsid w:val="00276B23"/>
    <w:rsid w:val="00637B63"/>
    <w:rsid w:val="00AF55A0"/>
    <w:rsid w:val="00E82C8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07C80"/>
  <w15:docId w15:val="{BBEC16F8-DF41-4869-9FF1-5ED503EA3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11922</Words>
  <Characters>69033</Characters>
  <Application>Microsoft Office Word</Application>
  <DocSecurity>0</DocSecurity>
  <Lines>1500</Lines>
  <Paragraphs>449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2</cp:revision>
  <dcterms:created xsi:type="dcterms:W3CDTF">2026-06-08T23:56:00Z</dcterms:created>
  <dcterms:modified xsi:type="dcterms:W3CDTF">2026-06-08T23:56:00Z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