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F2622" w14:textId="77777777" w:rsidR="00376FEF" w:rsidRPr="00376FEF" w:rsidRDefault="00376FEF" w:rsidP="00376FEF">
      <w:pPr>
        <w:pStyle w:val="Heading2"/>
        <w:rPr>
          <w:rFonts w:cs="Arial"/>
          <w:color w:val="17365D" w:themeColor="text2" w:themeShade="BF"/>
          <w:spacing w:val="5"/>
          <w:kern w:val="28"/>
          <w:sz w:val="44"/>
          <w:szCs w:val="52"/>
          <w:lang w:eastAsia="en-NZ"/>
        </w:rPr>
      </w:pPr>
      <w:r w:rsidRPr="00376FEF">
        <w:rPr>
          <w:rFonts w:cs="Arial"/>
          <w:color w:val="17365D" w:themeColor="text2" w:themeShade="BF"/>
          <w:spacing w:val="5"/>
          <w:kern w:val="28"/>
          <w:sz w:val="44"/>
          <w:szCs w:val="52"/>
          <w:lang w:val="mi-NZ" w:eastAsia="en-NZ"/>
        </w:rPr>
        <w:t>Health New Zealand - Te Whatu Ora</w:t>
      </w:r>
      <w:r w:rsidRPr="00376FEF">
        <w:rPr>
          <w:rFonts w:cs="Arial"/>
          <w:color w:val="17365D" w:themeColor="text2" w:themeShade="BF"/>
          <w:spacing w:val="5"/>
          <w:kern w:val="28"/>
          <w:sz w:val="44"/>
          <w:szCs w:val="52"/>
          <w:lang w:val="en-AU" w:eastAsia="en-NZ"/>
        </w:rPr>
        <w:t xml:space="preserve"> Waikato </w:t>
      </w:r>
    </w:p>
    <w:p w14:paraId="0730D699" w14:textId="77777777" w:rsidR="007502C6" w:rsidRDefault="007502C6">
      <w:pPr>
        <w:pStyle w:val="Heading2"/>
        <w:spacing w:after="0"/>
        <w:rPr>
          <w:rFonts w:cs="Arial"/>
        </w:rPr>
      </w:pPr>
      <w:r>
        <w:rPr>
          <w:rFonts w:cs="Arial"/>
        </w:rPr>
        <w:t>I</w:t>
      </w:r>
      <w:r>
        <w:rPr>
          <w:rFonts w:cs="Arial"/>
        </w:rPr>
        <w:t>ntroduction</w:t>
      </w:r>
    </w:p>
    <w:p w14:paraId="77A5522B" w14:textId="77777777" w:rsidR="007502C6" w:rsidRDefault="007502C6">
      <w:pPr>
        <w:spacing w:before="240"/>
        <w:rPr>
          <w:rFonts w:cs="Arial"/>
        </w:rPr>
      </w:pPr>
      <w:r>
        <w:rPr>
          <w:rFonts w:cs="Arial"/>
        </w:rPr>
        <w:t xml:space="preserve">This report records the results of a </w:t>
      </w:r>
      <w:bookmarkStart w:id="0" w:name="PRMS_TypeOfAudit"/>
      <w:r>
        <w:rPr>
          <w:rFonts w:cs="Arial"/>
        </w:rPr>
        <w:t>Partial Provisional Audit</w:t>
      </w:r>
      <w:bookmarkEnd w:id="0"/>
      <w:r>
        <w:rPr>
          <w:rFonts w:cs="Arial"/>
        </w:rPr>
        <w:t xml:space="preserve"> of </w:t>
      </w:r>
      <w:bookmarkStart w:id="1" w:name="ProviderType"/>
      <w:r>
        <w:rPr>
          <w:rFonts w:cs="Arial"/>
        </w:rPr>
        <w:t>a provider of hospital services</w:t>
      </w:r>
      <w:bookmarkEnd w:id="1"/>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C4E2A5E" w14:textId="59BE32E8" w:rsidR="007502C6" w:rsidRDefault="007502C6">
      <w:pPr>
        <w:spacing w:before="240"/>
        <w:rPr>
          <w:rFonts w:cs="Arial"/>
        </w:rPr>
      </w:pPr>
      <w:r>
        <w:rPr>
          <w:rFonts w:cs="Arial"/>
        </w:rPr>
        <w:t xml:space="preserve">The audit has been conducted by </w:t>
      </w:r>
      <w:bookmarkStart w:id="2" w:name="PRMS_AuditorGroup"/>
      <w:r>
        <w:rPr>
          <w:rFonts w:cs="Arial"/>
        </w:rPr>
        <w:t>The DAA Group Limited</w:t>
      </w:r>
      <w:bookmarkEnd w:id="2"/>
      <w:r>
        <w:rPr>
          <w:rFonts w:cs="Arial"/>
        </w:rPr>
        <w:t xml:space="preserve">, an auditing agency designated under section 32 of the Health and Disability Services (Safety) Act 2001, for submission to </w:t>
      </w:r>
      <w:r w:rsidR="00E72A3F">
        <w:rPr>
          <w:rFonts w:cs="Arial"/>
        </w:rPr>
        <w:t>the Ministry of Health</w:t>
      </w:r>
      <w:r w:rsidR="00E72A3F">
        <w:rPr>
          <w:rFonts w:cs="Arial"/>
        </w:rPr>
        <w:t xml:space="preserve"> - </w:t>
      </w:r>
      <w:r>
        <w:rPr>
          <w:rFonts w:cs="Arial"/>
        </w:rPr>
        <w:t>Manatū Hauora</w:t>
      </w:r>
      <w:r>
        <w:rPr>
          <w:rFonts w:cs="Arial"/>
        </w:rPr>
        <w:t>.</w:t>
      </w:r>
    </w:p>
    <w:p w14:paraId="7DBC1D9B" w14:textId="77777777" w:rsidR="007502C6" w:rsidRDefault="007502C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4C8ABC2" w14:textId="77777777" w:rsidR="007502C6" w:rsidRDefault="007502C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1721369" w14:textId="77777777" w:rsidR="007502C6" w:rsidRDefault="007502C6">
      <w:pPr>
        <w:spacing w:before="240" w:after="240"/>
        <w:rPr>
          <w:rFonts w:cs="Arial"/>
          <w:lang w:eastAsia="en-NZ"/>
        </w:rPr>
      </w:pPr>
      <w:r>
        <w:rPr>
          <w:rFonts w:cs="Arial"/>
          <w:lang w:eastAsia="en-NZ"/>
        </w:rPr>
        <w:t>The specifics of this audit included:</w:t>
      </w:r>
    </w:p>
    <w:p w14:paraId="605F6621" w14:textId="77777777" w:rsidR="007502C6" w:rsidRPr="009D18F5" w:rsidRDefault="007502C6" w:rsidP="009D18F5">
      <w:pPr>
        <w:pBdr>
          <w:top w:val="single" w:sz="4" w:space="1" w:color="auto"/>
          <w:left w:val="single" w:sz="4" w:space="4" w:color="auto"/>
          <w:bottom w:val="single" w:sz="4" w:space="1" w:color="auto"/>
          <w:right w:val="single" w:sz="4" w:space="4" w:color="auto"/>
        </w:pBdr>
        <w:rPr>
          <w:rFonts w:cs="Arial"/>
        </w:rPr>
      </w:pPr>
    </w:p>
    <w:p w14:paraId="46DDE8AA" w14:textId="37D6E437" w:rsidR="007502C6" w:rsidRPr="009418D4" w:rsidRDefault="007502C6" w:rsidP="00376FEF">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r w:rsidR="00376FEF" w:rsidRPr="00376FEF">
        <w:rPr>
          <w:rFonts w:cs="Arial"/>
          <w:lang w:val="mi-NZ"/>
        </w:rPr>
        <w:t>Health New Zealand - Te Whatu Ora</w:t>
      </w:r>
      <w:r w:rsidR="00376FEF" w:rsidRPr="00376FEF">
        <w:rPr>
          <w:rFonts w:cs="Arial"/>
          <w:lang w:val="en-AU"/>
        </w:rPr>
        <w:t xml:space="preserve"> Waikato </w:t>
      </w:r>
    </w:p>
    <w:p w14:paraId="4A339215" w14:textId="77777777" w:rsidR="007502C6" w:rsidRPr="009418D4" w:rsidRDefault="007502C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3" w:name="PRMS_PremisesAudited"/>
      <w:r>
        <w:rPr>
          <w:rFonts w:cs="Arial"/>
        </w:rPr>
        <w:t>Puna Taunaki</w:t>
      </w:r>
      <w:bookmarkEnd w:id="3"/>
    </w:p>
    <w:p w14:paraId="3777FEAE" w14:textId="77777777" w:rsidR="007502C6" w:rsidRPr="009418D4" w:rsidRDefault="007502C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4" w:name="PRMS_ServicesAudited"/>
      <w:r>
        <w:rPr>
          <w:rFonts w:cs="Arial"/>
        </w:rPr>
        <w:t>Hospital services - Mental health services</w:t>
      </w:r>
      <w:bookmarkEnd w:id="4"/>
    </w:p>
    <w:p w14:paraId="117224E4" w14:textId="77777777" w:rsidR="007502C6" w:rsidRPr="009418D4" w:rsidRDefault="007502C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5" w:name="AuditStartDate"/>
      <w:r>
        <w:rPr>
          <w:rFonts w:cs="Arial"/>
        </w:rPr>
        <w:t>30 April 2026</w:t>
      </w:r>
      <w:bookmarkEnd w:id="5"/>
      <w:r w:rsidRPr="009418D4">
        <w:rPr>
          <w:rFonts w:cs="Arial"/>
        </w:rPr>
        <w:tab/>
        <w:t xml:space="preserve">End date: </w:t>
      </w:r>
      <w:bookmarkStart w:id="6" w:name="AuditEndDate"/>
      <w:r>
        <w:rPr>
          <w:rFonts w:cs="Arial"/>
        </w:rPr>
        <w:t>30 April 2026</w:t>
      </w:r>
      <w:bookmarkEnd w:id="6"/>
    </w:p>
    <w:p w14:paraId="62FE03D6" w14:textId="77777777" w:rsidR="007502C6" w:rsidRPr="009418D4" w:rsidRDefault="007502C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7" w:name="ProposedChangesToServices"/>
      <w:r w:rsidRPr="009418D4">
        <w:rPr>
          <w:rFonts w:cs="Arial"/>
        </w:rPr>
        <w:t xml:space="preserve">Redesign of an existing inpatient facility to change purpose to a </w:t>
      </w:r>
      <w:r w:rsidRPr="009418D4">
        <w:rPr>
          <w:rFonts w:cs="Arial"/>
        </w:rPr>
        <w:t>10-bed medium secure unit.</w:t>
      </w:r>
    </w:p>
    <w:bookmarkEnd w:id="7"/>
    <w:p w14:paraId="45E60DBF" w14:textId="77777777" w:rsidR="00FF73E2" w:rsidRPr="009418D4" w:rsidRDefault="007502C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8" w:name="BedsOccupied"/>
      <w:r w:rsidRPr="009418D4">
        <w:rPr>
          <w:rFonts w:cs="Arial"/>
        </w:rPr>
        <w:t>0</w:t>
      </w:r>
      <w:bookmarkEnd w:id="8"/>
    </w:p>
    <w:p w14:paraId="25AA2C88" w14:textId="77777777" w:rsidR="007502C6" w:rsidRDefault="007502C6" w:rsidP="009D18F5">
      <w:pPr>
        <w:pBdr>
          <w:top w:val="single" w:sz="4" w:space="1" w:color="auto"/>
          <w:left w:val="single" w:sz="4" w:space="4" w:color="auto"/>
          <w:bottom w:val="single" w:sz="4" w:space="1" w:color="auto"/>
          <w:right w:val="single" w:sz="4" w:space="4" w:color="auto"/>
        </w:pBdr>
        <w:rPr>
          <w:rFonts w:cs="Arial"/>
          <w:lang w:eastAsia="en-NZ"/>
        </w:rPr>
      </w:pPr>
    </w:p>
    <w:p w14:paraId="0C7B3693" w14:textId="77777777" w:rsidR="007502C6" w:rsidRDefault="007502C6">
      <w:pPr>
        <w:pStyle w:val="Heading1"/>
        <w:rPr>
          <w:rFonts w:cs="Arial"/>
        </w:rPr>
      </w:pPr>
      <w:r>
        <w:rPr>
          <w:rFonts w:cs="Arial"/>
        </w:rPr>
        <w:lastRenderedPageBreak/>
        <w:t>Executive summary of the audit</w:t>
      </w:r>
    </w:p>
    <w:p w14:paraId="6DE95EB8" w14:textId="77777777" w:rsidR="007502C6" w:rsidRDefault="007502C6">
      <w:pPr>
        <w:pStyle w:val="Heading2"/>
        <w:rPr>
          <w:rFonts w:cs="Arial"/>
        </w:rPr>
      </w:pPr>
      <w:r>
        <w:rPr>
          <w:rFonts w:cs="Arial"/>
        </w:rPr>
        <w:t>Introduction</w:t>
      </w:r>
    </w:p>
    <w:p w14:paraId="2CE3B753" w14:textId="77777777" w:rsidR="007502C6" w:rsidRDefault="007502C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6FCB602" w14:textId="77777777" w:rsidR="007502C6" w:rsidRDefault="007502C6" w:rsidP="00FB778F">
      <w:pPr>
        <w:pStyle w:val="ListParagraph"/>
        <w:numPr>
          <w:ilvl w:val="0"/>
          <w:numId w:val="1"/>
        </w:numPr>
        <w:spacing w:before="240" w:after="240"/>
        <w:rPr>
          <w:rFonts w:cs="Arial"/>
          <w:lang w:eastAsia="en-NZ"/>
        </w:rPr>
      </w:pPr>
      <w:bookmarkStart w:id="9"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9"/>
      <w:r w:rsidRPr="00851D20">
        <w:rPr>
          <w:rFonts w:cs="Arial"/>
          <w:b/>
          <w:bCs/>
          <w:lang w:eastAsia="en-NZ"/>
        </w:rPr>
        <w:t>│</w:t>
      </w:r>
      <w:r>
        <w:rPr>
          <w:rFonts w:cs="Arial"/>
          <w:lang w:eastAsia="en-NZ"/>
        </w:rPr>
        <w:t xml:space="preserve"> </w:t>
      </w:r>
      <w:r w:rsidRPr="005A0254">
        <w:rPr>
          <w:rFonts w:cs="Arial"/>
          <w:lang w:eastAsia="en-NZ"/>
        </w:rPr>
        <w:t>our rights</w:t>
      </w:r>
    </w:p>
    <w:p w14:paraId="17DF2FD0" w14:textId="77777777" w:rsidR="007502C6" w:rsidRDefault="007502C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83A042B" w14:textId="77777777" w:rsidR="007502C6" w:rsidRDefault="007502C6" w:rsidP="00FB778F">
      <w:pPr>
        <w:pStyle w:val="ListParagraph"/>
        <w:numPr>
          <w:ilvl w:val="0"/>
          <w:numId w:val="1"/>
        </w:numPr>
        <w:spacing w:before="240" w:after="240"/>
        <w:rPr>
          <w:rFonts w:cs="Arial"/>
          <w:lang w:eastAsia="en-NZ"/>
        </w:rPr>
      </w:pPr>
      <w:bookmarkStart w:id="10" w:name="_Hlk85622837"/>
      <w:r>
        <w:rPr>
          <w:rFonts w:cs="Arial"/>
          <w:lang w:eastAsia="en-NZ"/>
        </w:rPr>
        <w:t>ngā huarahi ki</w:t>
      </w:r>
      <w:r>
        <w:rPr>
          <w:rFonts w:cs="Arial"/>
          <w:lang w:eastAsia="en-NZ"/>
        </w:rPr>
        <w:t xml:space="preserve"> </w:t>
      </w:r>
      <w:r>
        <w:rPr>
          <w:rFonts w:cs="Arial"/>
          <w:lang w:eastAsia="en-NZ"/>
        </w:rPr>
        <w:t xml:space="preserve">te oranga </w:t>
      </w:r>
      <w:bookmarkEnd w:id="10"/>
      <w:r>
        <w:rPr>
          <w:rFonts w:cs="Arial"/>
          <w:lang w:eastAsia="en-NZ"/>
        </w:rPr>
        <w:t>│ pathways to wellbeing</w:t>
      </w:r>
    </w:p>
    <w:p w14:paraId="14BEDC03" w14:textId="77777777" w:rsidR="007502C6" w:rsidRDefault="007502C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w:t>
      </w:r>
      <w:r>
        <w:rPr>
          <w:rFonts w:cs="Arial"/>
          <w:lang w:eastAsia="en-NZ"/>
        </w:rPr>
        <w:t>tangata me te taiao haumaru │ person-centred and safe environment</w:t>
      </w:r>
    </w:p>
    <w:p w14:paraId="790B1243" w14:textId="77777777" w:rsidR="007502C6" w:rsidRDefault="007502C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8C896DE" w14:textId="77777777" w:rsidR="007502C6" w:rsidRDefault="007502C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AC2F4C8" w14:textId="77777777" w:rsidR="007502C6" w:rsidRDefault="007502C6">
      <w:pPr>
        <w:pStyle w:val="Heading2"/>
        <w:spacing w:after="0"/>
        <w:rPr>
          <w:rFonts w:cs="Arial"/>
        </w:rPr>
      </w:pPr>
      <w:r>
        <w:rPr>
          <w:rFonts w:cs="Arial"/>
        </w:rPr>
        <w:t>General overview of the audit</w:t>
      </w:r>
    </w:p>
    <w:p w14:paraId="7435512E" w14:textId="77777777" w:rsidR="007502C6" w:rsidRDefault="007502C6">
      <w:pPr>
        <w:spacing w:before="240" w:line="276" w:lineRule="auto"/>
        <w:rPr>
          <w:rFonts w:eastAsia="Calibri"/>
        </w:rPr>
      </w:pPr>
      <w:bookmarkStart w:id="11" w:name="GeneralOverview"/>
      <w:r w:rsidRPr="00A4268A">
        <w:rPr>
          <w:rFonts w:eastAsia="Calibri"/>
        </w:rPr>
        <w:t>Health New Zealand – Te Whatu Ora Waikato (Te Whatu Ora Waikato) provides services to around 425,000 people in the region.  Hospital services are provided from seven sites based in Hamilton, Te Kūiti, Taumarunui, Tokoroa, Thames, Te Awamutu and Morrinsville (1033 beds in total). Both secondary and regional tertiary services are provided, including medical, surgical, maternity, children’s and women’s health, health of the older person rehabilitation, and mental health and addiction services. The mental healt</w:t>
      </w:r>
      <w:r w:rsidRPr="00A4268A">
        <w:rPr>
          <w:rFonts w:eastAsia="Calibri"/>
        </w:rPr>
        <w:t xml:space="preserve">h and addiction services provide a regional forensic specialist service (Puawai) covering the Midland Region, Te Manawa Taki, serving a population of just over one million people. The redesigned medium secure inpatient facility subject to this partial provisional audit is part of the regional forensic mental health service. </w:t>
      </w:r>
    </w:p>
    <w:p w14:paraId="3C7843B7" w14:textId="77777777" w:rsidR="00FF73E2" w:rsidRPr="00A4268A" w:rsidRDefault="007502C6">
      <w:pPr>
        <w:spacing w:before="240" w:line="276" w:lineRule="auto"/>
        <w:rPr>
          <w:rFonts w:eastAsia="Calibri"/>
        </w:rPr>
      </w:pPr>
      <w:r w:rsidRPr="00A4268A">
        <w:rPr>
          <w:rFonts w:eastAsia="Calibri"/>
        </w:rPr>
        <w:t>Te Whatu Ora Waikato forwarded notification of reconfiguring services or a new building in January 2026 proposing to redesign a vacated inpatient area in the Henry Rongomau Bennett Centre (HRBC) to create a unit which would operate an additional 10 medium secure unit beds. The proposed unit is named Puna Taupua.</w:t>
      </w:r>
    </w:p>
    <w:p w14:paraId="6CCA9839" w14:textId="77777777" w:rsidR="00FF73E2" w:rsidRPr="00A4268A" w:rsidRDefault="007502C6">
      <w:pPr>
        <w:spacing w:before="240" w:line="276" w:lineRule="auto"/>
        <w:rPr>
          <w:rFonts w:eastAsia="Calibri"/>
        </w:rPr>
      </w:pPr>
      <w:r w:rsidRPr="00A4268A">
        <w:rPr>
          <w:rFonts w:eastAsia="Calibri"/>
        </w:rPr>
        <w:lastRenderedPageBreak/>
        <w:t xml:space="preserve">This partial provisional audit against the Ngā Paerewa Health and Disability Services Standard NZS 8134:2021 (Ngā Paerewa) to prepare for commissioning this service included review of documents prior to the on-site audit and during the audit, and review of relevant policies and procedure and documentation </w:t>
      </w:r>
    </w:p>
    <w:p w14:paraId="333EAD42" w14:textId="77777777" w:rsidR="00FF73E2" w:rsidRPr="00A4268A" w:rsidRDefault="007502C6">
      <w:pPr>
        <w:spacing w:before="240" w:line="276" w:lineRule="auto"/>
        <w:rPr>
          <w:rFonts w:eastAsia="Calibri"/>
        </w:rPr>
      </w:pPr>
      <w:r w:rsidRPr="00A4268A">
        <w:rPr>
          <w:rFonts w:eastAsia="Calibri"/>
        </w:rPr>
        <w:t>The auditor interviewed senior managers, members of the clinical governance team, group managers, quality team members, and project managers. Tāngata whaiora and whānau as well as staff were not available as part of the audit process as the unit was not occupied prior to the commissioning audit. There were no corrective actions identified in this partial provisional audit.</w:t>
      </w:r>
    </w:p>
    <w:bookmarkEnd w:id="11"/>
    <w:p w14:paraId="06897BD8" w14:textId="77777777" w:rsidR="00FF73E2" w:rsidRPr="00A4268A" w:rsidRDefault="00FF73E2">
      <w:pPr>
        <w:spacing w:before="240" w:line="276" w:lineRule="auto"/>
        <w:rPr>
          <w:rFonts w:eastAsia="Calibri"/>
        </w:rPr>
      </w:pPr>
    </w:p>
    <w:p w14:paraId="6360D027" w14:textId="77777777" w:rsidR="007502C6" w:rsidRDefault="007502C6"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1A7F4920" w14:textId="77777777" w:rsidR="007502C6" w:rsidRDefault="007502C6">
      <w:pPr>
        <w:spacing w:before="240" w:line="276" w:lineRule="auto"/>
        <w:rPr>
          <w:rFonts w:eastAsia="Calibri"/>
        </w:rPr>
      </w:pPr>
      <w:bookmarkStart w:id="12" w:name="ConsumerRights"/>
      <w:r w:rsidRPr="00A4268A">
        <w:rPr>
          <w:rFonts w:eastAsia="Calibri"/>
        </w:rPr>
        <w:t>Not Audited</w:t>
      </w:r>
    </w:p>
    <w:bookmarkEnd w:id="12"/>
    <w:p w14:paraId="20251EED" w14:textId="77777777" w:rsidR="00FF73E2" w:rsidRPr="00A4268A" w:rsidRDefault="00FF73E2">
      <w:pPr>
        <w:spacing w:before="240" w:line="276" w:lineRule="auto"/>
        <w:rPr>
          <w:rFonts w:eastAsia="Calibri"/>
        </w:rPr>
      </w:pPr>
    </w:p>
    <w:p w14:paraId="4B203CD1" w14:textId="77777777" w:rsidR="007502C6" w:rsidRDefault="007502C6"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5B4C4614" w14:textId="77777777" w:rsidR="007502C6" w:rsidRDefault="007502C6">
      <w:pPr>
        <w:spacing w:before="240" w:line="276" w:lineRule="auto"/>
        <w:rPr>
          <w:rFonts w:eastAsia="Calibri"/>
        </w:rPr>
      </w:pPr>
      <w:bookmarkStart w:id="13" w:name="OrganisationalManagement"/>
      <w:r w:rsidRPr="00A4268A">
        <w:rPr>
          <w:rFonts w:eastAsia="Calibri"/>
        </w:rPr>
        <w:t xml:space="preserve">Te Whatu Ora Waikato organisational leadership team assumes accountability for delivering a high-quality service to the tāngata whaiora communities served by Puna Taupua, with meaningful Māori representation on governance groups. The clinical governance group and senior management demonstrated expertise in Te Tiriti o Waitangi, health equity, and cultural safety. </w:t>
      </w:r>
    </w:p>
    <w:p w14:paraId="18295C16" w14:textId="77777777" w:rsidR="00FF73E2" w:rsidRPr="00A4268A" w:rsidRDefault="007502C6">
      <w:pPr>
        <w:spacing w:before="240" w:line="276" w:lineRule="auto"/>
        <w:rPr>
          <w:rFonts w:eastAsia="Calibri"/>
        </w:rPr>
      </w:pPr>
      <w:r w:rsidRPr="00A4268A">
        <w:rPr>
          <w:rFonts w:eastAsia="Calibri"/>
        </w:rPr>
        <w:t xml:space="preserve">Planning ensures the purpose, values, direction, scope, and goals for the organisation are defined locally and as part of the national organisation. This was evident with the inclusion of Takawaenga (Māori health team) in the proposed Puna Taupua project. The new inpatient unit sits under the mental health governance framework, with links into overarching organisational processes. </w:t>
      </w:r>
    </w:p>
    <w:p w14:paraId="05BE8446" w14:textId="77777777" w:rsidR="00FF73E2" w:rsidRPr="00A4268A" w:rsidRDefault="007502C6">
      <w:pPr>
        <w:spacing w:before="240" w:line="276" w:lineRule="auto"/>
        <w:rPr>
          <w:rFonts w:eastAsia="Calibri"/>
        </w:rPr>
      </w:pPr>
      <w:r w:rsidRPr="00A4268A">
        <w:rPr>
          <w:rFonts w:eastAsia="Calibri"/>
        </w:rPr>
        <w:t xml:space="preserve">Staffing levels and skill mix have been </w:t>
      </w:r>
      <w:r w:rsidRPr="00A4268A">
        <w:rPr>
          <w:rFonts w:eastAsia="Calibri"/>
        </w:rPr>
        <w:t>planned to meet the cultural and clinical needs of tāngata whaiora. Sufficient staff have been appointed to safely commence service delivery, and they are ready to take up their roles, including the new charge nurse manager role for the unit. Orientation has been completed and managed using current good practice. A systematic approach to identify and deliver ongoing learning supports safe, equitable service delivery.</w:t>
      </w:r>
    </w:p>
    <w:bookmarkEnd w:id="13"/>
    <w:p w14:paraId="78E52175" w14:textId="77777777" w:rsidR="00FF73E2" w:rsidRPr="00A4268A" w:rsidRDefault="00FF73E2">
      <w:pPr>
        <w:spacing w:before="240" w:line="276" w:lineRule="auto"/>
        <w:rPr>
          <w:rFonts w:eastAsia="Calibri"/>
        </w:rPr>
      </w:pPr>
    </w:p>
    <w:p w14:paraId="09416FE8" w14:textId="77777777" w:rsidR="007502C6" w:rsidRDefault="007502C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7007BAC" w14:textId="77777777" w:rsidR="007502C6" w:rsidRPr="005E14A4" w:rsidRDefault="007502C6" w:rsidP="00621629">
      <w:pPr>
        <w:spacing w:before="240" w:line="276" w:lineRule="auto"/>
        <w:rPr>
          <w:rFonts w:eastAsia="Calibri"/>
        </w:rPr>
      </w:pPr>
      <w:bookmarkStart w:id="14" w:name="ContinuumOfServiceDelivery"/>
      <w:r w:rsidRPr="00A4268A">
        <w:rPr>
          <w:rFonts w:eastAsia="Calibri"/>
        </w:rPr>
        <w:t xml:space="preserve">The medication system will replicate current systems of safe management in adjacent units of the same type, and registered and trained staff are appointed who are competent to safely manage and administer medicines.  </w:t>
      </w:r>
    </w:p>
    <w:p w14:paraId="089523DE" w14:textId="77777777" w:rsidR="00FF73E2" w:rsidRPr="00A4268A" w:rsidRDefault="007502C6" w:rsidP="00621629">
      <w:pPr>
        <w:spacing w:before="240" w:line="276" w:lineRule="auto"/>
        <w:rPr>
          <w:rFonts w:eastAsia="Calibri"/>
        </w:rPr>
      </w:pPr>
      <w:r w:rsidRPr="00A4268A">
        <w:rPr>
          <w:rFonts w:eastAsia="Calibri"/>
        </w:rPr>
        <w:t>The food service meets the nutritional needs of tāngata whaiora, with special cultural needs catered for. Food is safely managed, with an existing approved nutritional plan for food delivery, and an approved food plan.</w:t>
      </w:r>
    </w:p>
    <w:bookmarkEnd w:id="14"/>
    <w:p w14:paraId="5C8DBFD5" w14:textId="77777777" w:rsidR="00FF73E2" w:rsidRPr="00A4268A" w:rsidRDefault="00FF73E2" w:rsidP="00621629">
      <w:pPr>
        <w:spacing w:before="240" w:line="276" w:lineRule="auto"/>
        <w:rPr>
          <w:rFonts w:eastAsia="Calibri"/>
        </w:rPr>
      </w:pPr>
    </w:p>
    <w:p w14:paraId="45053375" w14:textId="77777777" w:rsidR="007502C6" w:rsidRDefault="007502C6"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taiao </w:t>
      </w:r>
      <w:r w:rsidRPr="00FB778F">
        <w:rPr>
          <w:rFonts w:cs="Arial"/>
        </w:rPr>
        <w:t>haumaru │ Person-centred and safe environment</w:t>
      </w:r>
    </w:p>
    <w:p w14:paraId="74ECEEDA" w14:textId="77777777" w:rsidR="007502C6" w:rsidRDefault="007502C6">
      <w:pPr>
        <w:spacing w:before="240" w:line="276" w:lineRule="auto"/>
        <w:rPr>
          <w:rFonts w:eastAsia="Calibri"/>
        </w:rPr>
      </w:pPr>
      <w:bookmarkStart w:id="15" w:name="SafeAndAppropriateEnvironment"/>
      <w:r w:rsidRPr="00A4268A">
        <w:rPr>
          <w:rFonts w:eastAsia="Calibri"/>
        </w:rPr>
        <w:t xml:space="preserve">Building warrants of fitness and fire compliance certificates were in place. Plant, equipment and biomedical equipment were new and certified with regular planned maintenance. </w:t>
      </w:r>
    </w:p>
    <w:p w14:paraId="40941CD4" w14:textId="77777777" w:rsidR="00FF73E2" w:rsidRPr="00A4268A" w:rsidRDefault="007502C6">
      <w:pPr>
        <w:spacing w:before="240" w:line="276" w:lineRule="auto"/>
        <w:rPr>
          <w:rFonts w:eastAsia="Calibri"/>
        </w:rPr>
      </w:pPr>
      <w:r w:rsidRPr="00A4268A">
        <w:rPr>
          <w:rFonts w:eastAsia="Calibri"/>
        </w:rPr>
        <w:t xml:space="preserve">Fire and emergency evacuation approved plans are in place and will be practised by all staff. There is a plan for staff to be kept up to date with emergency and security procedures, which are scheduled for regular practice. Security systems included perimeter security programmes relevant to a medium secure unit, including security for the external courtyard. There is a system in place to record any security events, which will be analysed to identify causes, risks, and opportunities for improvements in line </w:t>
      </w:r>
      <w:r w:rsidRPr="00A4268A">
        <w:rPr>
          <w:rFonts w:eastAsia="Calibri"/>
        </w:rPr>
        <w:t>with the existing system in the adjacent medium secure unit.</w:t>
      </w:r>
    </w:p>
    <w:bookmarkEnd w:id="15"/>
    <w:p w14:paraId="0D22BFC5" w14:textId="77777777" w:rsidR="00FF73E2" w:rsidRPr="00A4268A" w:rsidRDefault="00FF73E2">
      <w:pPr>
        <w:spacing w:before="240" w:line="276" w:lineRule="auto"/>
        <w:rPr>
          <w:rFonts w:eastAsia="Calibri"/>
        </w:rPr>
      </w:pPr>
    </w:p>
    <w:p w14:paraId="09239860" w14:textId="77777777" w:rsidR="007502C6" w:rsidRDefault="007502C6"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8D2B0C5" w14:textId="77777777" w:rsidR="007502C6" w:rsidRDefault="007502C6">
      <w:pPr>
        <w:spacing w:before="240" w:line="276" w:lineRule="auto"/>
        <w:rPr>
          <w:rFonts w:eastAsia="Calibri"/>
        </w:rPr>
      </w:pPr>
      <w:bookmarkStart w:id="16" w:name="RestraintMinimisationAndSafePractice"/>
      <w:r w:rsidRPr="00A4268A">
        <w:rPr>
          <w:rFonts w:eastAsia="Calibri"/>
        </w:rPr>
        <w:t xml:space="preserve">The infection prevention and control programme has been developed by a team of experienced infection control nurse specialists and the infection prevention and control committee (IPCC) and approved by the board of clinical governance.  There are clear lines of communication and accountability, with the infection prevention and control committee reporting to the clinical board as the </w:t>
      </w:r>
      <w:r w:rsidRPr="00A4268A">
        <w:rPr>
          <w:rFonts w:eastAsia="Calibri"/>
        </w:rPr>
        <w:lastRenderedPageBreak/>
        <w:t>governance group. The IPC nursing team had direct input throughout the redesign and construction of Puna Taupua. The new environment was clean and facilitates the prevention and mitigation of transmission of infections.</w:t>
      </w:r>
    </w:p>
    <w:bookmarkEnd w:id="16"/>
    <w:p w14:paraId="45D46DC0" w14:textId="77777777" w:rsidR="00FF73E2" w:rsidRPr="00A4268A" w:rsidRDefault="00FF73E2">
      <w:pPr>
        <w:spacing w:before="240" w:line="276" w:lineRule="auto"/>
        <w:rPr>
          <w:rFonts w:eastAsia="Calibri"/>
        </w:rPr>
      </w:pPr>
    </w:p>
    <w:p w14:paraId="01834615" w14:textId="77777777" w:rsidR="007502C6" w:rsidRDefault="007502C6" w:rsidP="000E6E02">
      <w:pPr>
        <w:pStyle w:val="Heading2"/>
        <w:spacing w:before="0"/>
        <w:rPr>
          <w:rFonts w:cs="Arial"/>
        </w:rPr>
      </w:pPr>
      <w:r w:rsidRPr="00FB778F">
        <w:rPr>
          <w:rFonts w:cs="Arial"/>
        </w:rPr>
        <w:t>Here taratahi │ Restraint and seclusion</w:t>
      </w:r>
    </w:p>
    <w:p w14:paraId="7627C648" w14:textId="77777777" w:rsidR="007502C6" w:rsidRDefault="007502C6">
      <w:pPr>
        <w:spacing w:before="240" w:line="276" w:lineRule="auto"/>
        <w:rPr>
          <w:rFonts w:eastAsia="Calibri"/>
        </w:rPr>
      </w:pPr>
      <w:bookmarkStart w:id="17" w:name="InfectionPreventionAndControl"/>
      <w:r w:rsidRPr="00A4268A">
        <w:rPr>
          <w:rFonts w:eastAsia="Calibri"/>
        </w:rPr>
        <w:t xml:space="preserve">Not </w:t>
      </w:r>
      <w:r w:rsidRPr="00A4268A">
        <w:rPr>
          <w:rFonts w:eastAsia="Calibri"/>
        </w:rPr>
        <w:t>Audited.</w:t>
      </w:r>
    </w:p>
    <w:bookmarkEnd w:id="17"/>
    <w:p w14:paraId="6EEEC1B9" w14:textId="77777777" w:rsidR="00FF73E2" w:rsidRPr="00A4268A" w:rsidRDefault="00FF73E2">
      <w:pPr>
        <w:spacing w:before="240" w:line="276" w:lineRule="auto"/>
        <w:rPr>
          <w:rFonts w:eastAsia="Calibri"/>
        </w:rPr>
      </w:pPr>
    </w:p>
    <w:sectPr w:rsidR="00FF73E2" w:rsidRPr="00A4268A" w:rsidSect="00553459">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76B6" w14:textId="77777777" w:rsidR="007502C6" w:rsidRDefault="007502C6">
      <w:r>
        <w:separator/>
      </w:r>
    </w:p>
  </w:endnote>
  <w:endnote w:type="continuationSeparator" w:id="0">
    <w:p w14:paraId="5B0357CF" w14:textId="77777777" w:rsidR="007502C6" w:rsidRDefault="0075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C63" w14:textId="77777777" w:rsidR="007502C6" w:rsidRDefault="007502C6">
    <w:pPr>
      <w:pStyle w:val="Footer"/>
    </w:pPr>
  </w:p>
  <w:p w14:paraId="40358C8E" w14:textId="77777777" w:rsidR="007502C6" w:rsidRDefault="007502C6"/>
  <w:p w14:paraId="615DEE36" w14:textId="77777777" w:rsidR="007502C6" w:rsidRDefault="007502C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08A6" w14:textId="77777777" w:rsidR="007502C6" w:rsidRPr="000B00BC" w:rsidRDefault="007502C6" w:rsidP="000B00BC">
    <w:pPr>
      <w:pStyle w:val="Footer"/>
      <w:tabs>
        <w:tab w:val="clear" w:pos="4513"/>
        <w:tab w:val="clear" w:pos="9026"/>
        <w:tab w:val="center" w:pos="7088"/>
        <w:tab w:val="right" w:pos="13892"/>
      </w:tabs>
      <w:rPr>
        <w:rFonts w:cs="Arial"/>
        <w:sz w:val="16"/>
        <w:szCs w:val="20"/>
      </w:rPr>
    </w:pPr>
    <w:bookmarkStart w:id="18" w:name="PRMS_RIName1"/>
    <w:r>
      <w:rPr>
        <w:rFonts w:cs="Arial"/>
        <w:sz w:val="16"/>
        <w:szCs w:val="20"/>
      </w:rPr>
      <w:t>Waikato District Health Board</w:t>
    </w:r>
    <w:bookmarkEnd w:id="18"/>
    <w:r>
      <w:rPr>
        <w:rFonts w:cs="Arial"/>
        <w:sz w:val="16"/>
        <w:szCs w:val="20"/>
      </w:rPr>
      <w:tab/>
      <w:t xml:space="preserve">Date of Audit: </w:t>
    </w:r>
    <w:bookmarkStart w:id="19" w:name="AuditStartDate1"/>
    <w:r>
      <w:rPr>
        <w:rFonts w:cs="Arial"/>
        <w:sz w:val="16"/>
        <w:szCs w:val="20"/>
      </w:rPr>
      <w:t>30 April 2026</w:t>
    </w:r>
    <w:bookmarkEnd w:id="1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A53BDB9" w14:textId="77777777" w:rsidR="007502C6" w:rsidRDefault="007502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79E7" w14:textId="77777777" w:rsidR="007502C6" w:rsidRDefault="0075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9A21" w14:textId="77777777" w:rsidR="007502C6" w:rsidRDefault="007502C6">
      <w:r>
        <w:separator/>
      </w:r>
    </w:p>
  </w:footnote>
  <w:footnote w:type="continuationSeparator" w:id="0">
    <w:p w14:paraId="1716F91C" w14:textId="77777777" w:rsidR="007502C6" w:rsidRDefault="00750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41F0" w14:textId="77777777" w:rsidR="007502C6" w:rsidRDefault="007502C6">
    <w:pPr>
      <w:pStyle w:val="Header"/>
    </w:pPr>
  </w:p>
  <w:p w14:paraId="64667884" w14:textId="77777777" w:rsidR="007502C6" w:rsidRDefault="007502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0410" w14:textId="77777777" w:rsidR="007502C6" w:rsidRDefault="007502C6">
    <w:pPr>
      <w:pStyle w:val="Header"/>
    </w:pPr>
  </w:p>
  <w:p w14:paraId="23A3B620" w14:textId="77777777" w:rsidR="007502C6" w:rsidRDefault="007502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448F" w14:textId="77777777" w:rsidR="007502C6" w:rsidRDefault="00750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24A096C">
      <w:start w:val="1"/>
      <w:numFmt w:val="decimal"/>
      <w:lvlText w:val="%1."/>
      <w:lvlJc w:val="left"/>
      <w:pPr>
        <w:ind w:left="360" w:hanging="360"/>
      </w:pPr>
    </w:lvl>
    <w:lvl w:ilvl="1" w:tplc="DB16809E" w:tentative="1">
      <w:start w:val="1"/>
      <w:numFmt w:val="lowerLetter"/>
      <w:lvlText w:val="%2."/>
      <w:lvlJc w:val="left"/>
      <w:pPr>
        <w:ind w:left="1080" w:hanging="360"/>
      </w:pPr>
    </w:lvl>
    <w:lvl w:ilvl="2" w:tplc="BB343778" w:tentative="1">
      <w:start w:val="1"/>
      <w:numFmt w:val="lowerRoman"/>
      <w:lvlText w:val="%3."/>
      <w:lvlJc w:val="right"/>
      <w:pPr>
        <w:ind w:left="1800" w:hanging="180"/>
      </w:pPr>
    </w:lvl>
    <w:lvl w:ilvl="3" w:tplc="77FCA10A" w:tentative="1">
      <w:start w:val="1"/>
      <w:numFmt w:val="decimal"/>
      <w:lvlText w:val="%4."/>
      <w:lvlJc w:val="left"/>
      <w:pPr>
        <w:ind w:left="2520" w:hanging="360"/>
      </w:pPr>
    </w:lvl>
    <w:lvl w:ilvl="4" w:tplc="A664C78C" w:tentative="1">
      <w:start w:val="1"/>
      <w:numFmt w:val="lowerLetter"/>
      <w:lvlText w:val="%5."/>
      <w:lvlJc w:val="left"/>
      <w:pPr>
        <w:ind w:left="3240" w:hanging="360"/>
      </w:pPr>
    </w:lvl>
    <w:lvl w:ilvl="5" w:tplc="BF56EE66" w:tentative="1">
      <w:start w:val="1"/>
      <w:numFmt w:val="lowerRoman"/>
      <w:lvlText w:val="%6."/>
      <w:lvlJc w:val="right"/>
      <w:pPr>
        <w:ind w:left="3960" w:hanging="180"/>
      </w:pPr>
    </w:lvl>
    <w:lvl w:ilvl="6" w:tplc="59EC08B4" w:tentative="1">
      <w:start w:val="1"/>
      <w:numFmt w:val="decimal"/>
      <w:lvlText w:val="%7."/>
      <w:lvlJc w:val="left"/>
      <w:pPr>
        <w:ind w:left="4680" w:hanging="360"/>
      </w:pPr>
    </w:lvl>
    <w:lvl w:ilvl="7" w:tplc="64DE1E54" w:tentative="1">
      <w:start w:val="1"/>
      <w:numFmt w:val="lowerLetter"/>
      <w:lvlText w:val="%8."/>
      <w:lvlJc w:val="left"/>
      <w:pPr>
        <w:ind w:left="5400" w:hanging="360"/>
      </w:pPr>
    </w:lvl>
    <w:lvl w:ilvl="8" w:tplc="E78C9D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95C9B66">
      <w:start w:val="1"/>
      <w:numFmt w:val="bullet"/>
      <w:lvlText w:val=""/>
      <w:lvlJc w:val="left"/>
      <w:pPr>
        <w:ind w:left="720" w:hanging="360"/>
      </w:pPr>
      <w:rPr>
        <w:rFonts w:ascii="Symbol" w:hAnsi="Symbol" w:hint="default"/>
      </w:rPr>
    </w:lvl>
    <w:lvl w:ilvl="1" w:tplc="0568A3AE" w:tentative="1">
      <w:start w:val="1"/>
      <w:numFmt w:val="bullet"/>
      <w:lvlText w:val="o"/>
      <w:lvlJc w:val="left"/>
      <w:pPr>
        <w:ind w:left="1440" w:hanging="360"/>
      </w:pPr>
      <w:rPr>
        <w:rFonts w:ascii="Courier New" w:hAnsi="Courier New" w:cs="Courier New" w:hint="default"/>
      </w:rPr>
    </w:lvl>
    <w:lvl w:ilvl="2" w:tplc="CACCAC56" w:tentative="1">
      <w:start w:val="1"/>
      <w:numFmt w:val="bullet"/>
      <w:lvlText w:val=""/>
      <w:lvlJc w:val="left"/>
      <w:pPr>
        <w:ind w:left="2160" w:hanging="360"/>
      </w:pPr>
      <w:rPr>
        <w:rFonts w:ascii="Wingdings" w:hAnsi="Wingdings" w:hint="default"/>
      </w:rPr>
    </w:lvl>
    <w:lvl w:ilvl="3" w:tplc="12DCD3BC" w:tentative="1">
      <w:start w:val="1"/>
      <w:numFmt w:val="bullet"/>
      <w:lvlText w:val=""/>
      <w:lvlJc w:val="left"/>
      <w:pPr>
        <w:ind w:left="2880" w:hanging="360"/>
      </w:pPr>
      <w:rPr>
        <w:rFonts w:ascii="Symbol" w:hAnsi="Symbol" w:hint="default"/>
      </w:rPr>
    </w:lvl>
    <w:lvl w:ilvl="4" w:tplc="7E482FFA" w:tentative="1">
      <w:start w:val="1"/>
      <w:numFmt w:val="bullet"/>
      <w:lvlText w:val="o"/>
      <w:lvlJc w:val="left"/>
      <w:pPr>
        <w:ind w:left="3600" w:hanging="360"/>
      </w:pPr>
      <w:rPr>
        <w:rFonts w:ascii="Courier New" w:hAnsi="Courier New" w:cs="Courier New" w:hint="default"/>
      </w:rPr>
    </w:lvl>
    <w:lvl w:ilvl="5" w:tplc="F8F8E46C" w:tentative="1">
      <w:start w:val="1"/>
      <w:numFmt w:val="bullet"/>
      <w:lvlText w:val=""/>
      <w:lvlJc w:val="left"/>
      <w:pPr>
        <w:ind w:left="4320" w:hanging="360"/>
      </w:pPr>
      <w:rPr>
        <w:rFonts w:ascii="Wingdings" w:hAnsi="Wingdings" w:hint="default"/>
      </w:rPr>
    </w:lvl>
    <w:lvl w:ilvl="6" w:tplc="C6229B04" w:tentative="1">
      <w:start w:val="1"/>
      <w:numFmt w:val="bullet"/>
      <w:lvlText w:val=""/>
      <w:lvlJc w:val="left"/>
      <w:pPr>
        <w:ind w:left="5040" w:hanging="360"/>
      </w:pPr>
      <w:rPr>
        <w:rFonts w:ascii="Symbol" w:hAnsi="Symbol" w:hint="default"/>
      </w:rPr>
    </w:lvl>
    <w:lvl w:ilvl="7" w:tplc="72CEE062" w:tentative="1">
      <w:start w:val="1"/>
      <w:numFmt w:val="bullet"/>
      <w:lvlText w:val="o"/>
      <w:lvlJc w:val="left"/>
      <w:pPr>
        <w:ind w:left="5760" w:hanging="360"/>
      </w:pPr>
      <w:rPr>
        <w:rFonts w:ascii="Courier New" w:hAnsi="Courier New" w:cs="Courier New" w:hint="default"/>
      </w:rPr>
    </w:lvl>
    <w:lvl w:ilvl="8" w:tplc="8BAE377A" w:tentative="1">
      <w:start w:val="1"/>
      <w:numFmt w:val="bullet"/>
      <w:lvlText w:val=""/>
      <w:lvlJc w:val="left"/>
      <w:pPr>
        <w:ind w:left="6480" w:hanging="360"/>
      </w:pPr>
      <w:rPr>
        <w:rFonts w:ascii="Wingdings" w:hAnsi="Wingdings" w:hint="default"/>
      </w:rPr>
    </w:lvl>
  </w:abstractNum>
  <w:num w:numId="1" w16cid:durableId="827332308">
    <w:abstractNumId w:val="1"/>
  </w:num>
  <w:num w:numId="2" w16cid:durableId="37080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E2"/>
    <w:rsid w:val="003273AA"/>
    <w:rsid w:val="00376FEF"/>
    <w:rsid w:val="005925C3"/>
    <w:rsid w:val="007502C6"/>
    <w:rsid w:val="00CB72EC"/>
    <w:rsid w:val="00E72A3F"/>
    <w:rsid w:val="00F860DA"/>
    <w:rsid w:val="00FF73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9F838"/>
  <w15:docId w15:val="{01921F72-D2C5-4E6A-8656-AA5EBAEF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 w:type="paragraph" w:styleId="NormalWeb">
    <w:name w:val="Normal (Web)"/>
    <w:basedOn w:val="Normal"/>
    <w:uiPriority w:val="99"/>
    <w:semiHidden/>
    <w:unhideWhenUsed/>
    <w:rsid w:val="00376FE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3621">
      <w:bodyDiv w:val="1"/>
      <w:marLeft w:val="0"/>
      <w:marRight w:val="0"/>
      <w:marTop w:val="0"/>
      <w:marBottom w:val="0"/>
      <w:divBdr>
        <w:top w:val="none" w:sz="0" w:space="0" w:color="auto"/>
        <w:left w:val="none" w:sz="0" w:space="0" w:color="auto"/>
        <w:bottom w:val="none" w:sz="0" w:space="0" w:color="auto"/>
        <w:right w:val="none" w:sz="0" w:space="0" w:color="auto"/>
      </w:divBdr>
    </w:div>
    <w:div w:id="389502433">
      <w:bodyDiv w:val="1"/>
      <w:marLeft w:val="0"/>
      <w:marRight w:val="0"/>
      <w:marTop w:val="0"/>
      <w:marBottom w:val="0"/>
      <w:divBdr>
        <w:top w:val="none" w:sz="0" w:space="0" w:color="auto"/>
        <w:left w:val="none" w:sz="0" w:space="0" w:color="auto"/>
        <w:bottom w:val="none" w:sz="0" w:space="0" w:color="auto"/>
        <w:right w:val="none" w:sz="0" w:space="0" w:color="auto"/>
      </w:divBdr>
    </w:div>
    <w:div w:id="399446695">
      <w:bodyDiv w:val="1"/>
      <w:marLeft w:val="0"/>
      <w:marRight w:val="0"/>
      <w:marTop w:val="0"/>
      <w:marBottom w:val="0"/>
      <w:divBdr>
        <w:top w:val="none" w:sz="0" w:space="0" w:color="auto"/>
        <w:left w:val="none" w:sz="0" w:space="0" w:color="auto"/>
        <w:bottom w:val="none" w:sz="0" w:space="0" w:color="auto"/>
        <w:right w:val="none" w:sz="0" w:space="0" w:color="auto"/>
      </w:divBdr>
    </w:div>
    <w:div w:id="434447649">
      <w:bodyDiv w:val="1"/>
      <w:marLeft w:val="0"/>
      <w:marRight w:val="0"/>
      <w:marTop w:val="0"/>
      <w:marBottom w:val="0"/>
      <w:divBdr>
        <w:top w:val="none" w:sz="0" w:space="0" w:color="auto"/>
        <w:left w:val="none" w:sz="0" w:space="0" w:color="auto"/>
        <w:bottom w:val="none" w:sz="0" w:space="0" w:color="auto"/>
        <w:right w:val="none" w:sz="0" w:space="0" w:color="auto"/>
      </w:divBdr>
    </w:div>
    <w:div w:id="1059671066">
      <w:bodyDiv w:val="1"/>
      <w:marLeft w:val="0"/>
      <w:marRight w:val="0"/>
      <w:marTop w:val="0"/>
      <w:marBottom w:val="0"/>
      <w:divBdr>
        <w:top w:val="none" w:sz="0" w:space="0" w:color="auto"/>
        <w:left w:val="none" w:sz="0" w:space="0" w:color="auto"/>
        <w:bottom w:val="none" w:sz="0" w:space="0" w:color="auto"/>
        <w:right w:val="none" w:sz="0" w:space="0" w:color="auto"/>
      </w:divBdr>
    </w:div>
    <w:div w:id="13800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2</cp:revision>
  <dcterms:created xsi:type="dcterms:W3CDTF">2026-06-04T20:56:00Z</dcterms:created>
  <dcterms:modified xsi:type="dcterms:W3CDTF">2026-06-04T20:56:00Z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