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A68" w14:textId="77777777" w:rsidR="00000000" w:rsidRDefault="00000000">
      <w:pPr>
        <w:pStyle w:val="Heading1"/>
        <w:rPr>
          <w:rFonts w:cs="Arial"/>
        </w:rPr>
      </w:pPr>
      <w:bookmarkStart w:id="0" w:name="PRMS_RIName"/>
      <w:r>
        <w:rPr>
          <w:rFonts w:cs="Arial"/>
        </w:rPr>
        <w:t>Ambridge Rose Beach House Limited - Ambridge Rose Beach House</w:t>
      </w:r>
      <w:bookmarkEnd w:id="0"/>
    </w:p>
    <w:p w14:paraId="07DB016F" w14:textId="77777777" w:rsidR="00000000" w:rsidRDefault="00000000">
      <w:pPr>
        <w:pStyle w:val="Heading2"/>
        <w:spacing w:after="0"/>
        <w:rPr>
          <w:rFonts w:cs="Arial"/>
        </w:rPr>
      </w:pPr>
      <w:r>
        <w:rPr>
          <w:rFonts w:cs="Arial"/>
        </w:rPr>
        <w:t>Introduction</w:t>
      </w:r>
    </w:p>
    <w:p w14:paraId="77D2B72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9C8ECA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C2B467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33C0D5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D98E77" w14:textId="77777777" w:rsidR="00000000" w:rsidRDefault="00000000">
      <w:pPr>
        <w:spacing w:before="240" w:after="240"/>
        <w:rPr>
          <w:rFonts w:cs="Arial"/>
          <w:lang w:eastAsia="en-NZ"/>
        </w:rPr>
      </w:pPr>
      <w:r>
        <w:rPr>
          <w:rFonts w:cs="Arial"/>
          <w:lang w:eastAsia="en-NZ"/>
        </w:rPr>
        <w:t>The specifics of this audit included:</w:t>
      </w:r>
    </w:p>
    <w:p w14:paraId="023B315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3E1AE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Ambridge Rose Beach House Limited</w:t>
      </w:r>
      <w:bookmarkEnd w:id="4"/>
    </w:p>
    <w:p w14:paraId="73E5C10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Ambridge Rose Beach House</w:t>
      </w:r>
      <w:bookmarkEnd w:id="5"/>
    </w:p>
    <w:p w14:paraId="502C530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F7B54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April 2026</w:t>
      </w:r>
      <w:bookmarkEnd w:id="7"/>
      <w:r w:rsidRPr="009418D4">
        <w:rPr>
          <w:rFonts w:cs="Arial"/>
        </w:rPr>
        <w:tab/>
        <w:t xml:space="preserve">End date: </w:t>
      </w:r>
      <w:bookmarkStart w:id="8" w:name="AuditEndDate"/>
      <w:r>
        <w:rPr>
          <w:rFonts w:cs="Arial"/>
        </w:rPr>
        <w:t>21 April 2026</w:t>
      </w:r>
      <w:bookmarkEnd w:id="8"/>
    </w:p>
    <w:p w14:paraId="497784D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930D2CD" w14:textId="77777777" w:rsidR="00923D2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3113C50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E79C2F4" w14:textId="77777777" w:rsidR="00000000" w:rsidRDefault="00000000">
      <w:pPr>
        <w:pStyle w:val="Heading1"/>
        <w:rPr>
          <w:rFonts w:cs="Arial"/>
        </w:rPr>
      </w:pPr>
      <w:r>
        <w:rPr>
          <w:rFonts w:cs="Arial"/>
        </w:rPr>
        <w:lastRenderedPageBreak/>
        <w:t>Executive summary of the audit</w:t>
      </w:r>
    </w:p>
    <w:p w14:paraId="0038F3B2" w14:textId="77777777" w:rsidR="00000000" w:rsidRDefault="00000000">
      <w:pPr>
        <w:pStyle w:val="Heading2"/>
        <w:rPr>
          <w:rFonts w:cs="Arial"/>
        </w:rPr>
      </w:pPr>
      <w:r>
        <w:rPr>
          <w:rFonts w:cs="Arial"/>
        </w:rPr>
        <w:t>Introduction</w:t>
      </w:r>
    </w:p>
    <w:p w14:paraId="23E99A1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3C9B84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CAE718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47033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E52480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A28E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8395AA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5804E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AC1B16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23D2D" w14:paraId="1D5B25A5" w14:textId="77777777">
        <w:trPr>
          <w:cantSplit/>
          <w:tblHeader/>
        </w:trPr>
        <w:tc>
          <w:tcPr>
            <w:tcW w:w="1260" w:type="dxa"/>
            <w:tcBorders>
              <w:bottom w:val="single" w:sz="4" w:space="0" w:color="000000"/>
            </w:tcBorders>
            <w:vAlign w:val="center"/>
          </w:tcPr>
          <w:p w14:paraId="03C02DF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B10DC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969DD49" w14:textId="77777777" w:rsidR="00000000" w:rsidRDefault="00000000">
            <w:pPr>
              <w:spacing w:before="60" w:after="60"/>
              <w:rPr>
                <w:rFonts w:eastAsia="Calibri"/>
                <w:b/>
                <w:szCs w:val="24"/>
              </w:rPr>
            </w:pPr>
            <w:r>
              <w:rPr>
                <w:rFonts w:eastAsia="Calibri"/>
                <w:b/>
                <w:szCs w:val="24"/>
              </w:rPr>
              <w:t>Definition</w:t>
            </w:r>
          </w:p>
        </w:tc>
      </w:tr>
      <w:tr w:rsidR="00923D2D" w14:paraId="474666D8" w14:textId="77777777">
        <w:trPr>
          <w:cantSplit/>
          <w:trHeight w:val="964"/>
        </w:trPr>
        <w:tc>
          <w:tcPr>
            <w:tcW w:w="1260" w:type="dxa"/>
            <w:tcBorders>
              <w:bottom w:val="single" w:sz="4" w:space="0" w:color="000000"/>
            </w:tcBorders>
            <w:shd w:val="clear" w:color="0066FF" w:fill="0000FF"/>
            <w:vAlign w:val="center"/>
          </w:tcPr>
          <w:p w14:paraId="4CBFE28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862996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9A4EDD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23D2D" w14:paraId="5780A7E6" w14:textId="77777777">
        <w:trPr>
          <w:cantSplit/>
          <w:trHeight w:val="964"/>
        </w:trPr>
        <w:tc>
          <w:tcPr>
            <w:tcW w:w="1260" w:type="dxa"/>
            <w:shd w:val="clear" w:color="33CC33" w:fill="00FF00"/>
            <w:vAlign w:val="center"/>
          </w:tcPr>
          <w:p w14:paraId="72E4366C" w14:textId="77777777" w:rsidR="00000000" w:rsidRDefault="00000000">
            <w:pPr>
              <w:spacing w:before="60" w:after="60"/>
              <w:rPr>
                <w:rFonts w:eastAsia="Calibri"/>
                <w:szCs w:val="24"/>
              </w:rPr>
            </w:pPr>
          </w:p>
        </w:tc>
        <w:tc>
          <w:tcPr>
            <w:tcW w:w="7095" w:type="dxa"/>
            <w:shd w:val="clear" w:color="auto" w:fill="auto"/>
            <w:vAlign w:val="center"/>
          </w:tcPr>
          <w:p w14:paraId="3808B1C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099633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23D2D" w14:paraId="6EADA500" w14:textId="77777777">
        <w:trPr>
          <w:cantSplit/>
          <w:trHeight w:val="964"/>
        </w:trPr>
        <w:tc>
          <w:tcPr>
            <w:tcW w:w="1260" w:type="dxa"/>
            <w:tcBorders>
              <w:bottom w:val="single" w:sz="4" w:space="0" w:color="000000"/>
            </w:tcBorders>
            <w:shd w:val="clear" w:color="auto" w:fill="FFFF00"/>
            <w:vAlign w:val="center"/>
          </w:tcPr>
          <w:p w14:paraId="7DB5F7BF" w14:textId="77777777" w:rsidR="00000000" w:rsidRDefault="00000000">
            <w:pPr>
              <w:spacing w:before="60" w:after="60"/>
              <w:rPr>
                <w:rFonts w:eastAsia="Calibri"/>
                <w:szCs w:val="24"/>
              </w:rPr>
            </w:pPr>
          </w:p>
        </w:tc>
        <w:tc>
          <w:tcPr>
            <w:tcW w:w="7095" w:type="dxa"/>
            <w:shd w:val="clear" w:color="auto" w:fill="auto"/>
            <w:vAlign w:val="center"/>
          </w:tcPr>
          <w:p w14:paraId="48EE486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85BA3F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23D2D" w14:paraId="795435C0" w14:textId="77777777">
        <w:trPr>
          <w:cantSplit/>
          <w:trHeight w:val="964"/>
        </w:trPr>
        <w:tc>
          <w:tcPr>
            <w:tcW w:w="1260" w:type="dxa"/>
            <w:tcBorders>
              <w:bottom w:val="single" w:sz="4" w:space="0" w:color="000000"/>
            </w:tcBorders>
            <w:shd w:val="clear" w:color="auto" w:fill="FFC800"/>
            <w:vAlign w:val="center"/>
          </w:tcPr>
          <w:p w14:paraId="169FD76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18562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9ACE82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23D2D" w14:paraId="0E151F60" w14:textId="77777777">
        <w:trPr>
          <w:cantSplit/>
          <w:trHeight w:val="964"/>
        </w:trPr>
        <w:tc>
          <w:tcPr>
            <w:tcW w:w="1260" w:type="dxa"/>
            <w:shd w:val="clear" w:color="auto" w:fill="FF0000"/>
            <w:vAlign w:val="center"/>
          </w:tcPr>
          <w:p w14:paraId="2E9F0F7F" w14:textId="77777777" w:rsidR="00000000" w:rsidRDefault="00000000">
            <w:pPr>
              <w:spacing w:before="60" w:after="60"/>
              <w:rPr>
                <w:rFonts w:eastAsia="Calibri"/>
                <w:szCs w:val="24"/>
              </w:rPr>
            </w:pPr>
          </w:p>
        </w:tc>
        <w:tc>
          <w:tcPr>
            <w:tcW w:w="7095" w:type="dxa"/>
            <w:shd w:val="clear" w:color="auto" w:fill="auto"/>
            <w:vAlign w:val="center"/>
          </w:tcPr>
          <w:p w14:paraId="272241A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3D2DD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B61602B" w14:textId="77777777" w:rsidR="00000000" w:rsidRDefault="00000000">
      <w:pPr>
        <w:pStyle w:val="Heading2"/>
        <w:spacing w:after="0"/>
        <w:rPr>
          <w:rFonts w:cs="Arial"/>
        </w:rPr>
      </w:pPr>
      <w:r>
        <w:rPr>
          <w:rFonts w:cs="Arial"/>
        </w:rPr>
        <w:t>General overview of the audit</w:t>
      </w:r>
    </w:p>
    <w:p w14:paraId="41B33799" w14:textId="77777777" w:rsidR="00000000" w:rsidRDefault="00000000">
      <w:pPr>
        <w:spacing w:before="240" w:line="276" w:lineRule="auto"/>
        <w:rPr>
          <w:rFonts w:eastAsia="Calibri"/>
        </w:rPr>
      </w:pPr>
      <w:bookmarkStart w:id="13" w:name="GeneralOverview"/>
      <w:r w:rsidRPr="00A4268A">
        <w:rPr>
          <w:rFonts w:eastAsia="Calibri"/>
        </w:rPr>
        <w:t>Ambridge Rose Group operates Ambridge Rose Beach House as one of three sister facilities within Auckland. The service is certified to provide dementia-level care for up to 20 residents. On the day of the audit, occupancy was full, with 20 residents receiving services.</w:t>
      </w:r>
    </w:p>
    <w:p w14:paraId="1368CA97" w14:textId="77777777" w:rsidR="00923D2D" w:rsidRPr="00A4268A" w:rsidRDefault="00000000">
      <w:pPr>
        <w:spacing w:before="240" w:line="276" w:lineRule="auto"/>
        <w:rPr>
          <w:rFonts w:eastAsia="Calibri"/>
        </w:rPr>
      </w:pPr>
      <w:r w:rsidRPr="00A4268A">
        <w:rPr>
          <w:rFonts w:eastAsia="Calibri"/>
        </w:rPr>
        <w:t>The service is overseen by a facility manager supported by a clinical manager, an enrolled nurse, care staff, and the governing body.</w:t>
      </w:r>
    </w:p>
    <w:p w14:paraId="3630CCD0" w14:textId="77777777" w:rsidR="00923D2D" w:rsidRPr="00A4268A" w:rsidRDefault="00000000">
      <w:pPr>
        <w:spacing w:before="240" w:line="276" w:lineRule="auto"/>
        <w:rPr>
          <w:rFonts w:eastAsia="Calibri"/>
        </w:rPr>
      </w:pPr>
      <w:r w:rsidRPr="00A4268A">
        <w:rPr>
          <w:rFonts w:eastAsia="Calibri"/>
        </w:rPr>
        <w:t>This surveillance audit was conducted against a subsection of the Ngā Paerewa Health and Disability Services Standard 2021 and the funding agreements with Health New Zealand. The audit processes included observations; a review of organisational documents and records, including staff records and residents' files; interviews with family/whānau; and interviews with staff, management, and the general practitioner.</w:t>
      </w:r>
    </w:p>
    <w:p w14:paraId="092E05C2" w14:textId="77777777" w:rsidR="00923D2D" w:rsidRPr="00A4268A" w:rsidRDefault="00000000">
      <w:pPr>
        <w:spacing w:before="240" w:line="276" w:lineRule="auto"/>
        <w:rPr>
          <w:rFonts w:eastAsia="Calibri"/>
        </w:rPr>
      </w:pPr>
      <w:r w:rsidRPr="00A4268A">
        <w:rPr>
          <w:rFonts w:eastAsia="Calibri"/>
        </w:rPr>
        <w:t xml:space="preserve">This surveillance audit did not identify any shortfalls. </w:t>
      </w:r>
    </w:p>
    <w:bookmarkEnd w:id="13"/>
    <w:p w14:paraId="459F8DD0" w14:textId="77777777" w:rsidR="00923D2D" w:rsidRPr="00A4268A" w:rsidRDefault="00923D2D">
      <w:pPr>
        <w:spacing w:before="240" w:line="276" w:lineRule="auto"/>
        <w:rPr>
          <w:rFonts w:eastAsia="Calibri"/>
        </w:rPr>
      </w:pPr>
    </w:p>
    <w:p w14:paraId="1510301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57EF733B" w14:textId="77777777" w:rsidTr="00A4268A">
        <w:trPr>
          <w:cantSplit/>
        </w:trPr>
        <w:tc>
          <w:tcPr>
            <w:tcW w:w="10206" w:type="dxa"/>
            <w:vAlign w:val="center"/>
          </w:tcPr>
          <w:p w14:paraId="2911BFC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F795A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D3414E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12025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82472CE" w14:textId="77777777" w:rsidR="00000000" w:rsidRDefault="00000000">
      <w:pPr>
        <w:spacing w:before="240" w:line="276" w:lineRule="auto"/>
        <w:rPr>
          <w:rFonts w:eastAsia="Calibri"/>
        </w:rPr>
      </w:pPr>
      <w:bookmarkStart w:id="16" w:name="ConsumerRights"/>
      <w:r w:rsidRPr="00A4268A">
        <w:rPr>
          <w:rFonts w:eastAsia="Calibri"/>
        </w:rPr>
        <w:t xml:space="preserve">Ambridge Rose Beach House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4955108B" w14:textId="77777777" w:rsidR="00923D2D"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5F6877D1" w14:textId="77777777" w:rsidR="00923D2D"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are understood, respected, and upheld by the service. Complaints processes are implemented, and complaints and concerns are actively managed and well documented.</w:t>
      </w:r>
    </w:p>
    <w:bookmarkEnd w:id="16"/>
    <w:p w14:paraId="45C9662A" w14:textId="77777777" w:rsidR="00923D2D" w:rsidRPr="00A4268A" w:rsidRDefault="00923D2D">
      <w:pPr>
        <w:spacing w:before="240" w:line="276" w:lineRule="auto"/>
        <w:rPr>
          <w:rFonts w:eastAsia="Calibri"/>
        </w:rPr>
      </w:pPr>
    </w:p>
    <w:p w14:paraId="5A613FE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3A4DF135" w14:textId="77777777" w:rsidTr="00A4268A">
        <w:trPr>
          <w:cantSplit/>
        </w:trPr>
        <w:tc>
          <w:tcPr>
            <w:tcW w:w="10206" w:type="dxa"/>
            <w:vAlign w:val="center"/>
          </w:tcPr>
          <w:p w14:paraId="5FDDA1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8EDBC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9355C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B2B5026"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provision of a quality service and a high level of care. The business plan includes a mission statement and outlines current objectives. There are quality and risk management processes that take a risk-based approach. Policies and procedures are current. </w:t>
      </w:r>
    </w:p>
    <w:p w14:paraId="27AEB01A" w14:textId="77777777" w:rsidR="00923D2D"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Te Whatu Ora (Health New Zealand).</w:t>
      </w:r>
    </w:p>
    <w:p w14:paraId="73A6974E" w14:textId="77777777" w:rsidR="00923D2D"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59077E93" w14:textId="77777777" w:rsidR="00923D2D" w:rsidRPr="00A4268A" w:rsidRDefault="00923D2D">
      <w:pPr>
        <w:spacing w:before="240" w:line="276" w:lineRule="auto"/>
        <w:rPr>
          <w:rFonts w:eastAsia="Calibri"/>
        </w:rPr>
      </w:pPr>
    </w:p>
    <w:p w14:paraId="0F8FB55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55C3F3AF" w14:textId="77777777" w:rsidTr="00A4268A">
        <w:trPr>
          <w:cantSplit/>
        </w:trPr>
        <w:tc>
          <w:tcPr>
            <w:tcW w:w="10206" w:type="dxa"/>
            <w:vAlign w:val="center"/>
          </w:tcPr>
          <w:p w14:paraId="172C2E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50F660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C8D5E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96873D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 level of care required. The clinical team is responsible for the assessment, development, and evaluation of care plans. Care plans are individualised and based on the residents’ assessed needs and routines. Interventions are documented and evaluated.</w:t>
      </w:r>
    </w:p>
    <w:p w14:paraId="172FDA57" w14:textId="77777777" w:rsidR="00923D2D"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 every three months. Staff involved in medication administration are assessed as competent to do so.</w:t>
      </w:r>
    </w:p>
    <w:p w14:paraId="21D8050A" w14:textId="77777777" w:rsidR="00923D2D" w:rsidRPr="00A4268A" w:rsidRDefault="00000000"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77460468" w14:textId="77777777" w:rsidR="00923D2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423F753" w14:textId="77777777" w:rsidR="00923D2D" w:rsidRPr="00A4268A" w:rsidRDefault="00923D2D" w:rsidP="00621629">
      <w:pPr>
        <w:spacing w:before="240" w:line="276" w:lineRule="auto"/>
        <w:rPr>
          <w:rFonts w:eastAsia="Calibri"/>
        </w:rPr>
      </w:pPr>
    </w:p>
    <w:p w14:paraId="02D41A9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249356A2" w14:textId="77777777" w:rsidTr="00A4268A">
        <w:trPr>
          <w:cantSplit/>
        </w:trPr>
        <w:tc>
          <w:tcPr>
            <w:tcW w:w="10206" w:type="dxa"/>
            <w:vAlign w:val="center"/>
          </w:tcPr>
          <w:p w14:paraId="1E0C30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B51ED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36C15F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36F5DA4"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22683FC9" w14:textId="77777777" w:rsidR="00923D2D" w:rsidRPr="00A4268A" w:rsidRDefault="00923D2D">
      <w:pPr>
        <w:spacing w:before="240" w:line="276" w:lineRule="auto"/>
        <w:rPr>
          <w:rFonts w:eastAsia="Calibri"/>
        </w:rPr>
      </w:pPr>
    </w:p>
    <w:p w14:paraId="1463C86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4175955E" w14:textId="77777777" w:rsidTr="00A4268A">
        <w:trPr>
          <w:cantSplit/>
        </w:trPr>
        <w:tc>
          <w:tcPr>
            <w:tcW w:w="10206" w:type="dxa"/>
            <w:vAlign w:val="center"/>
          </w:tcPr>
          <w:p w14:paraId="530AFA3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2E0D0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CB6F22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F01C13"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facility manager coordinates the programme.</w:t>
      </w:r>
    </w:p>
    <w:p w14:paraId="5471F871" w14:textId="77777777" w:rsidR="00923D2D"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outbreak management plan if it is activated. </w:t>
      </w:r>
    </w:p>
    <w:p w14:paraId="3354E456" w14:textId="77777777" w:rsidR="00923D2D"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Manatū Hauora (Ministry of Health) guidelines.</w:t>
      </w:r>
    </w:p>
    <w:bookmarkEnd w:id="28"/>
    <w:p w14:paraId="5AC8968D" w14:textId="77777777" w:rsidR="00923D2D" w:rsidRPr="00A4268A" w:rsidRDefault="00923D2D">
      <w:pPr>
        <w:spacing w:before="240" w:line="276" w:lineRule="auto"/>
        <w:rPr>
          <w:rFonts w:eastAsia="Calibri"/>
        </w:rPr>
      </w:pPr>
    </w:p>
    <w:p w14:paraId="5C447AD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3D2D" w14:paraId="4A04C59E" w14:textId="77777777" w:rsidTr="00A4268A">
        <w:trPr>
          <w:cantSplit/>
        </w:trPr>
        <w:tc>
          <w:tcPr>
            <w:tcW w:w="10206" w:type="dxa"/>
            <w:vAlign w:val="center"/>
          </w:tcPr>
          <w:p w14:paraId="4A2A29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8257D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6F9DC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41E0EA6" w14:textId="77777777" w:rsidR="00000000" w:rsidRDefault="00000000">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is in place, with regular reviews. A suitably qualified restraint coordinator manages the process. The staff interviewed demonstrated a sound knowledge and understanding of providing the least restrictive practice, de-escalation techniques, alternative interventions to restraint, and restraint monitoring. There are no restraints in use at the service.</w:t>
      </w:r>
    </w:p>
    <w:bookmarkEnd w:id="31"/>
    <w:p w14:paraId="0024BE64" w14:textId="77777777" w:rsidR="00923D2D" w:rsidRPr="00A4268A" w:rsidRDefault="00923D2D">
      <w:pPr>
        <w:spacing w:before="240" w:line="276" w:lineRule="auto"/>
        <w:rPr>
          <w:rFonts w:eastAsia="Calibri"/>
        </w:rPr>
      </w:pPr>
    </w:p>
    <w:p w14:paraId="1CA8ABC4" w14:textId="77777777" w:rsidR="00000000" w:rsidRDefault="00000000" w:rsidP="000E6E02">
      <w:pPr>
        <w:pStyle w:val="Heading2"/>
        <w:spacing w:before="0"/>
        <w:rPr>
          <w:rFonts w:cs="Arial"/>
        </w:rPr>
      </w:pPr>
      <w:r>
        <w:rPr>
          <w:rFonts w:cs="Arial"/>
        </w:rPr>
        <w:lastRenderedPageBreak/>
        <w:t>Summary of attainment</w:t>
      </w:r>
    </w:p>
    <w:p w14:paraId="0DD242D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23D2D" w14:paraId="2BD11B83" w14:textId="77777777">
        <w:tc>
          <w:tcPr>
            <w:tcW w:w="1384" w:type="dxa"/>
            <w:vAlign w:val="center"/>
          </w:tcPr>
          <w:p w14:paraId="565B02A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81A49E" w14:textId="77777777" w:rsidR="00000000" w:rsidRDefault="00000000">
            <w:pPr>
              <w:keepNext/>
              <w:spacing w:before="60" w:after="60"/>
              <w:jc w:val="center"/>
              <w:rPr>
                <w:rFonts w:cs="Arial"/>
                <w:b/>
                <w:sz w:val="20"/>
                <w:szCs w:val="20"/>
              </w:rPr>
            </w:pPr>
            <w:r>
              <w:rPr>
                <w:rFonts w:cs="Arial"/>
                <w:b/>
                <w:sz w:val="20"/>
                <w:szCs w:val="20"/>
              </w:rPr>
              <w:t>Continuous Improvement</w:t>
            </w:r>
          </w:p>
          <w:p w14:paraId="14954D7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EC8AE42" w14:textId="77777777" w:rsidR="00000000" w:rsidRDefault="00000000">
            <w:pPr>
              <w:keepNext/>
              <w:spacing w:before="60" w:after="60"/>
              <w:jc w:val="center"/>
              <w:rPr>
                <w:rFonts w:cs="Arial"/>
                <w:b/>
                <w:sz w:val="20"/>
                <w:szCs w:val="20"/>
              </w:rPr>
            </w:pPr>
            <w:r>
              <w:rPr>
                <w:rFonts w:cs="Arial"/>
                <w:b/>
                <w:sz w:val="20"/>
                <w:szCs w:val="20"/>
              </w:rPr>
              <w:t>Fully Attained</w:t>
            </w:r>
          </w:p>
          <w:p w14:paraId="33D1FB6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9A5BD8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6650FE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E20EB2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FEA6B9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2E8F0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832775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318C5A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863865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D2575F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12AA38D" w14:textId="77777777" w:rsidR="00000000" w:rsidRDefault="00000000">
            <w:pPr>
              <w:keepNext/>
              <w:spacing w:before="60" w:after="60"/>
              <w:jc w:val="center"/>
              <w:rPr>
                <w:rFonts w:cs="Arial"/>
                <w:b/>
                <w:sz w:val="20"/>
                <w:szCs w:val="20"/>
              </w:rPr>
            </w:pPr>
            <w:r>
              <w:rPr>
                <w:rFonts w:cs="Arial"/>
                <w:b/>
                <w:sz w:val="20"/>
                <w:szCs w:val="20"/>
              </w:rPr>
              <w:t>(PA Critical)</w:t>
            </w:r>
          </w:p>
        </w:tc>
      </w:tr>
      <w:tr w:rsidR="00923D2D" w14:paraId="6240BB42" w14:textId="77777777">
        <w:tc>
          <w:tcPr>
            <w:tcW w:w="1384" w:type="dxa"/>
            <w:vAlign w:val="center"/>
          </w:tcPr>
          <w:p w14:paraId="1019286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302A5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2D568E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02563B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56E62F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6D7FD5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1DE6D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2E8F6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23D2D" w14:paraId="35341B00" w14:textId="77777777">
        <w:tc>
          <w:tcPr>
            <w:tcW w:w="1384" w:type="dxa"/>
            <w:vAlign w:val="center"/>
          </w:tcPr>
          <w:p w14:paraId="685CC67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A35B35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92F009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B36090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305348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9BCD09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9A4D5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96472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AFCB08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23D2D" w14:paraId="6257CDB0" w14:textId="77777777">
        <w:tc>
          <w:tcPr>
            <w:tcW w:w="1384" w:type="dxa"/>
            <w:vAlign w:val="center"/>
          </w:tcPr>
          <w:p w14:paraId="3B0E247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9973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1EDC4B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9F4E3C" w14:textId="77777777" w:rsidR="00000000" w:rsidRDefault="00000000">
            <w:pPr>
              <w:keepNext/>
              <w:spacing w:before="60" w:after="60"/>
              <w:jc w:val="center"/>
              <w:rPr>
                <w:rFonts w:cs="Arial"/>
                <w:b/>
                <w:sz w:val="20"/>
                <w:szCs w:val="20"/>
              </w:rPr>
            </w:pPr>
            <w:r>
              <w:rPr>
                <w:rFonts w:cs="Arial"/>
                <w:b/>
                <w:sz w:val="20"/>
                <w:szCs w:val="20"/>
              </w:rPr>
              <w:t>Unattained Low Risk</w:t>
            </w:r>
          </w:p>
          <w:p w14:paraId="2F89136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8BA8527" w14:textId="77777777" w:rsidR="00000000" w:rsidRDefault="00000000">
            <w:pPr>
              <w:keepNext/>
              <w:spacing w:before="60" w:after="60"/>
              <w:jc w:val="center"/>
              <w:rPr>
                <w:rFonts w:cs="Arial"/>
                <w:b/>
                <w:sz w:val="20"/>
                <w:szCs w:val="20"/>
              </w:rPr>
            </w:pPr>
            <w:r>
              <w:rPr>
                <w:rFonts w:cs="Arial"/>
                <w:b/>
                <w:sz w:val="20"/>
                <w:szCs w:val="20"/>
              </w:rPr>
              <w:t>Unattained Moderate Risk</w:t>
            </w:r>
          </w:p>
          <w:p w14:paraId="6692F31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E85D0D1" w14:textId="77777777" w:rsidR="00000000" w:rsidRDefault="00000000">
            <w:pPr>
              <w:keepNext/>
              <w:spacing w:before="60" w:after="60"/>
              <w:jc w:val="center"/>
              <w:rPr>
                <w:rFonts w:cs="Arial"/>
                <w:b/>
                <w:sz w:val="20"/>
                <w:szCs w:val="20"/>
              </w:rPr>
            </w:pPr>
            <w:r>
              <w:rPr>
                <w:rFonts w:cs="Arial"/>
                <w:b/>
                <w:sz w:val="20"/>
                <w:szCs w:val="20"/>
              </w:rPr>
              <w:t>Unattained High Risk</w:t>
            </w:r>
          </w:p>
          <w:p w14:paraId="5EA8B29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8D96FA8" w14:textId="77777777" w:rsidR="00000000" w:rsidRDefault="00000000">
            <w:pPr>
              <w:keepNext/>
              <w:spacing w:before="60" w:after="60"/>
              <w:jc w:val="center"/>
              <w:rPr>
                <w:rFonts w:cs="Arial"/>
                <w:b/>
                <w:sz w:val="20"/>
                <w:szCs w:val="20"/>
              </w:rPr>
            </w:pPr>
            <w:r>
              <w:rPr>
                <w:rFonts w:cs="Arial"/>
                <w:b/>
                <w:sz w:val="20"/>
                <w:szCs w:val="20"/>
              </w:rPr>
              <w:t>Unattained Critical Risk</w:t>
            </w:r>
          </w:p>
          <w:p w14:paraId="189D371B" w14:textId="77777777" w:rsidR="00000000" w:rsidRDefault="00000000">
            <w:pPr>
              <w:keepNext/>
              <w:spacing w:before="60" w:after="60"/>
              <w:jc w:val="center"/>
              <w:rPr>
                <w:rFonts w:cs="Arial"/>
                <w:b/>
                <w:sz w:val="20"/>
                <w:szCs w:val="20"/>
              </w:rPr>
            </w:pPr>
            <w:r>
              <w:rPr>
                <w:rFonts w:cs="Arial"/>
                <w:b/>
                <w:sz w:val="20"/>
                <w:szCs w:val="20"/>
              </w:rPr>
              <w:t>(UA Critical)</w:t>
            </w:r>
          </w:p>
        </w:tc>
      </w:tr>
      <w:tr w:rsidR="00923D2D" w14:paraId="43FAEF7A" w14:textId="77777777">
        <w:tc>
          <w:tcPr>
            <w:tcW w:w="1384" w:type="dxa"/>
            <w:vAlign w:val="center"/>
          </w:tcPr>
          <w:p w14:paraId="5D7AD2B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BF1D6D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CD0B8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40A7D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B74B75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7AAF16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23D2D" w14:paraId="31650D8E" w14:textId="77777777">
        <w:tc>
          <w:tcPr>
            <w:tcW w:w="1384" w:type="dxa"/>
            <w:vAlign w:val="center"/>
          </w:tcPr>
          <w:p w14:paraId="0CC201F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9D2817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BBD0A5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43A01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60D05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42598D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CC5C2D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CFE20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71E39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9FF7D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923D2D" w14:paraId="43C8F492" w14:textId="77777777">
        <w:tc>
          <w:tcPr>
            <w:tcW w:w="0" w:type="auto"/>
          </w:tcPr>
          <w:p w14:paraId="3CF47B7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A30E4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B67C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23D2D" w14:paraId="03A9C6B6" w14:textId="77777777">
        <w:tc>
          <w:tcPr>
            <w:tcW w:w="0" w:type="auto"/>
          </w:tcPr>
          <w:p w14:paraId="0F5B58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E651A2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A8D39C" w14:textId="77777777" w:rsidR="00000000" w:rsidRPr="00BE00C7" w:rsidRDefault="00000000" w:rsidP="00BE00C7">
            <w:pPr>
              <w:pStyle w:val="OutcomeDescription"/>
              <w:spacing w:before="120" w:after="120"/>
              <w:rPr>
                <w:rFonts w:cs="Arial"/>
                <w:lang w:eastAsia="en-NZ"/>
              </w:rPr>
            </w:pPr>
          </w:p>
        </w:tc>
        <w:tc>
          <w:tcPr>
            <w:tcW w:w="0" w:type="auto"/>
          </w:tcPr>
          <w:p w14:paraId="32CADD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937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incorporated within the documented cultural awareness and cultural safety policy. The policy acknowledges Te Tiriti o Waitangi as a founding document of New Zealand. Ambridge Rose Beach House is committed to respecting the self-determination, cultural values, beliefs, and preferences of Māori residents and their whānau, as reflected in resident care plans. Māori mana motuhake is recognised, and residents are supported to make choices about all aspects of their lives where possible. This was evidenced in the care plans reviewed.</w:t>
            </w:r>
          </w:p>
          <w:p w14:paraId="536656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policies, procedures, and processes to embed and enact Te Tiriti o Waitangi in all aspects of its work. The owner/chief executive officer, facility manager (FM) and the chief operating officer (COO) reported that there were no residents or staff who identified as Māori, however the service has resources and supports in place to care for Māori residents.</w:t>
            </w:r>
          </w:p>
          <w:p w14:paraId="7221543E" w14:textId="7718EA1A"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that include the FM, COO, clinical manager [CM], a cook, activities coordinator [AC], healthcare assistants [HCAs], owner/chief executive officer, confirmed that the service delivers a service that is focused on the health, well-being, and cultural needs of its residents.</w:t>
            </w:r>
          </w:p>
        </w:tc>
      </w:tr>
      <w:tr w:rsidR="00923D2D" w14:paraId="551C420A" w14:textId="77777777">
        <w:tc>
          <w:tcPr>
            <w:tcW w:w="0" w:type="auto"/>
          </w:tcPr>
          <w:p w14:paraId="2338F5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B1EE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C680F89" w14:textId="77777777" w:rsidR="00000000" w:rsidRPr="00BE00C7" w:rsidRDefault="00000000" w:rsidP="00BE00C7">
            <w:pPr>
              <w:pStyle w:val="OutcomeDescription"/>
              <w:spacing w:before="120" w:after="120"/>
              <w:rPr>
                <w:rFonts w:cs="Arial"/>
                <w:lang w:eastAsia="en-NZ"/>
              </w:rPr>
            </w:pPr>
          </w:p>
        </w:tc>
        <w:tc>
          <w:tcPr>
            <w:tcW w:w="0" w:type="auto"/>
          </w:tcPr>
          <w:p w14:paraId="4F28E6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0EF8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is the basis of the Ambridge Rose Beach House Health policy and procedure. The aim is to uphold the principles of Pacific people by acknowledge respectful relationships, valuing families and provide high quality healthcare. The service had no residents who identify as Pasifika, however there are currently staff employed that identify as Pasifika. The staff interviewed highlighted the importance of understanding and supporting each other’s culture.</w:t>
            </w:r>
          </w:p>
          <w:p w14:paraId="2C5507E2" w14:textId="77777777" w:rsidR="00000000" w:rsidRPr="00BE00C7" w:rsidRDefault="00000000" w:rsidP="00BE00C7">
            <w:pPr>
              <w:pStyle w:val="OutcomeDescription"/>
              <w:spacing w:before="120" w:after="120"/>
              <w:rPr>
                <w:rFonts w:cs="Arial"/>
                <w:lang w:eastAsia="en-NZ"/>
              </w:rPr>
            </w:pPr>
          </w:p>
        </w:tc>
      </w:tr>
      <w:tr w:rsidR="00923D2D" w14:paraId="591EEB88" w14:textId="77777777">
        <w:tc>
          <w:tcPr>
            <w:tcW w:w="0" w:type="auto"/>
          </w:tcPr>
          <w:p w14:paraId="381E6A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1F31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160FDF" w14:textId="77777777" w:rsidR="00000000" w:rsidRPr="00BE00C7" w:rsidRDefault="00000000" w:rsidP="00BE00C7">
            <w:pPr>
              <w:pStyle w:val="OutcomeDescription"/>
              <w:spacing w:before="120" w:after="120"/>
              <w:rPr>
                <w:rFonts w:cs="Arial"/>
                <w:lang w:eastAsia="en-NZ"/>
              </w:rPr>
            </w:pPr>
          </w:p>
        </w:tc>
        <w:tc>
          <w:tcPr>
            <w:tcW w:w="0" w:type="auto"/>
          </w:tcPr>
          <w:p w14:paraId="1A6BD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B1DE3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Five family/whānau reported being made aware of the Code and the Nationwide Health and Disability Advocacy Service (Advocacy Service) and confirmed they were provided with opportunities to discuss and clarify their rights.</w:t>
            </w:r>
          </w:p>
          <w:p w14:paraId="03A7D83A" w14:textId="77777777" w:rsidR="00000000" w:rsidRPr="00BE00C7" w:rsidRDefault="00000000" w:rsidP="00BE00C7">
            <w:pPr>
              <w:pStyle w:val="OutcomeDescription"/>
              <w:spacing w:before="120" w:after="120"/>
              <w:rPr>
                <w:rFonts w:cs="Arial"/>
                <w:lang w:eastAsia="en-NZ"/>
              </w:rPr>
            </w:pPr>
          </w:p>
        </w:tc>
      </w:tr>
      <w:tr w:rsidR="00923D2D" w14:paraId="0A55F3D2" w14:textId="77777777">
        <w:tc>
          <w:tcPr>
            <w:tcW w:w="0" w:type="auto"/>
          </w:tcPr>
          <w:p w14:paraId="123E9E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759CC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B1792E4" w14:textId="77777777" w:rsidR="00000000" w:rsidRPr="00BE00C7" w:rsidRDefault="00000000" w:rsidP="00BE00C7">
            <w:pPr>
              <w:pStyle w:val="OutcomeDescription"/>
              <w:spacing w:before="120" w:after="120"/>
              <w:rPr>
                <w:rFonts w:cs="Arial"/>
                <w:lang w:eastAsia="en-NZ"/>
              </w:rPr>
            </w:pPr>
          </w:p>
        </w:tc>
        <w:tc>
          <w:tcPr>
            <w:tcW w:w="0" w:type="auto"/>
          </w:tcPr>
          <w:p w14:paraId="726AF2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F13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Family/whānau reported that residents' property and finances were respected and that professional boundaries were maintained. Interviews with the staff outlined what systems and processes are in place to safeguard the residents’ management of financial matters. </w:t>
            </w:r>
          </w:p>
          <w:p w14:paraId="3FFA70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reported that staff are guided by the code of conduct to ensure the environment is safe and free from any form of institutional and/or systemic racism. Family/whānau members stated that residents were free from any </w:t>
            </w:r>
            <w:r w:rsidRPr="00BE00C7">
              <w:rPr>
                <w:rFonts w:cs="Arial"/>
                <w:lang w:eastAsia="en-NZ"/>
              </w:rPr>
              <w:lastRenderedPageBreak/>
              <w:t>type of discrimination, harassment, physical, sexual abuse, or neglect and were safe. Policies and procedures, such as the harassment, discrimination, and bullying policy, are in place. The policy applies to all staff, contractors, visitors, and residents.</w:t>
            </w:r>
          </w:p>
          <w:p w14:paraId="05CC5142" w14:textId="77777777" w:rsidR="00000000" w:rsidRPr="00BE00C7" w:rsidRDefault="00000000" w:rsidP="00BE00C7">
            <w:pPr>
              <w:pStyle w:val="OutcomeDescription"/>
              <w:spacing w:before="120" w:after="120"/>
              <w:rPr>
                <w:rFonts w:cs="Arial"/>
                <w:lang w:eastAsia="en-NZ"/>
              </w:rPr>
            </w:pPr>
          </w:p>
        </w:tc>
      </w:tr>
      <w:tr w:rsidR="00923D2D" w14:paraId="16C4E726" w14:textId="77777777">
        <w:tc>
          <w:tcPr>
            <w:tcW w:w="0" w:type="auto"/>
          </w:tcPr>
          <w:p w14:paraId="1E7784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A23DC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C464D9" w14:textId="77777777" w:rsidR="00000000" w:rsidRPr="00BE00C7" w:rsidRDefault="00000000" w:rsidP="00BE00C7">
            <w:pPr>
              <w:pStyle w:val="OutcomeDescription"/>
              <w:spacing w:before="120" w:after="120"/>
              <w:rPr>
                <w:rFonts w:cs="Arial"/>
                <w:lang w:eastAsia="en-NZ"/>
              </w:rPr>
            </w:pPr>
          </w:p>
        </w:tc>
        <w:tc>
          <w:tcPr>
            <w:tcW w:w="0" w:type="auto"/>
          </w:tcPr>
          <w:p w14:paraId="155DD9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6D3F3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legal representatives are provided with the information required to support informed decision-making in accordance with the Code. The admission agreements are appropriately signed by the enduring power of attorney (EPOA). Enduring power of attorney documentation is filed in the residents’ files and is activated for all residents. All residents had a medical certificate for incapacity on file.</w:t>
            </w:r>
          </w:p>
          <w:p w14:paraId="161FF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Legal representatives interviewed, and where appropriate, family/whānau, confirmed they were supported and empowered to participate in decision-making processes. </w:t>
            </w:r>
          </w:p>
          <w:p w14:paraId="630CCB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demonstrated an understanding of informed consent principles and practice, supported by organisational policies aligned with the Code.</w:t>
            </w:r>
          </w:p>
          <w:p w14:paraId="7CF67A75" w14:textId="77777777" w:rsidR="00000000" w:rsidRPr="00BE00C7" w:rsidRDefault="00000000" w:rsidP="00BE00C7">
            <w:pPr>
              <w:pStyle w:val="OutcomeDescription"/>
              <w:spacing w:before="120" w:after="120"/>
              <w:rPr>
                <w:rFonts w:cs="Arial"/>
                <w:lang w:eastAsia="en-NZ"/>
              </w:rPr>
            </w:pPr>
          </w:p>
        </w:tc>
      </w:tr>
      <w:tr w:rsidR="00923D2D" w14:paraId="5CA0114F" w14:textId="77777777">
        <w:tc>
          <w:tcPr>
            <w:tcW w:w="0" w:type="auto"/>
          </w:tcPr>
          <w:p w14:paraId="1AE44E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3926F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D454AF" w14:textId="77777777" w:rsidR="00000000" w:rsidRPr="00BE00C7" w:rsidRDefault="00000000" w:rsidP="00BE00C7">
            <w:pPr>
              <w:pStyle w:val="OutcomeDescription"/>
              <w:spacing w:before="120" w:after="120"/>
              <w:rPr>
                <w:rFonts w:cs="Arial"/>
                <w:lang w:eastAsia="en-NZ"/>
              </w:rPr>
            </w:pPr>
          </w:p>
        </w:tc>
        <w:tc>
          <w:tcPr>
            <w:tcW w:w="0" w:type="auto"/>
          </w:tcPr>
          <w:p w14:paraId="63C1A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2D9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which is the right to complain, to be taken seriously, respected and to receive a timely response. The service maintains a physical complaints register. </w:t>
            </w:r>
          </w:p>
          <w:p w14:paraId="4AA35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complaints in 2025 and in 2026 (year to date) since the previous audit. The FM reported that the complaint process timeframes are adhered to, and service improvement measures are implemented as required. Discussions with family/whānau confirmed that they were provided with information on the complaints process and remarked that any concerns or issues they had were addressed promptly. The FM reported that any issues are discussed promptly with the family/whānau and residents before they escalate into complaints. Satisfaction and </w:t>
            </w:r>
            <w:r w:rsidRPr="00BE00C7">
              <w:rPr>
                <w:rFonts w:cs="Arial"/>
                <w:lang w:eastAsia="en-NZ"/>
              </w:rPr>
              <w:lastRenderedPageBreak/>
              <w:t xml:space="preserve">dissatisfaction outcomes of the complainant would be documented, as reflective in the policy.  </w:t>
            </w:r>
          </w:p>
          <w:p w14:paraId="7652DAA4"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making a complaint can involve an independent support person in the process if they choose. The complaints process is linked to advocacy services. The Code is visible and available in te reo Māori and English. The family/whānau spoken with expressed satisfaction with the complaint process. In the event of a complaint from a Māori resident or family/whānau member, the service would seek the assistance of an interpreter or cultural advisor if needed.</w:t>
            </w:r>
          </w:p>
          <w:p w14:paraId="639AB7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since the last audit.</w:t>
            </w:r>
          </w:p>
          <w:p w14:paraId="418313EC" w14:textId="77777777" w:rsidR="00000000" w:rsidRPr="00BE00C7" w:rsidRDefault="00000000" w:rsidP="00BE00C7">
            <w:pPr>
              <w:pStyle w:val="OutcomeDescription"/>
              <w:spacing w:before="120" w:after="120"/>
              <w:rPr>
                <w:rFonts w:cs="Arial"/>
                <w:lang w:eastAsia="en-NZ"/>
              </w:rPr>
            </w:pPr>
          </w:p>
        </w:tc>
      </w:tr>
      <w:tr w:rsidR="00923D2D" w14:paraId="2A65C159" w14:textId="77777777">
        <w:tc>
          <w:tcPr>
            <w:tcW w:w="0" w:type="auto"/>
          </w:tcPr>
          <w:p w14:paraId="03C4F5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61CDE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963896" w14:textId="77777777" w:rsidR="00000000" w:rsidRPr="00BE00C7" w:rsidRDefault="00000000" w:rsidP="00BE00C7">
            <w:pPr>
              <w:pStyle w:val="OutcomeDescription"/>
              <w:spacing w:before="120" w:after="120"/>
              <w:rPr>
                <w:rFonts w:cs="Arial"/>
                <w:lang w:eastAsia="en-NZ"/>
              </w:rPr>
            </w:pPr>
          </w:p>
        </w:tc>
        <w:tc>
          <w:tcPr>
            <w:tcW w:w="0" w:type="auto"/>
          </w:tcPr>
          <w:p w14:paraId="7A0581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41F4A8" w14:textId="77777777" w:rsidR="00000000" w:rsidRPr="00BE00C7" w:rsidRDefault="00000000" w:rsidP="00BE00C7">
            <w:pPr>
              <w:pStyle w:val="OutcomeDescription"/>
              <w:spacing w:before="120" w:after="120"/>
              <w:rPr>
                <w:rFonts w:cs="Arial"/>
                <w:lang w:eastAsia="en-NZ"/>
              </w:rPr>
            </w:pPr>
            <w:r w:rsidRPr="00BE00C7">
              <w:rPr>
                <w:rFonts w:cs="Arial"/>
                <w:lang w:eastAsia="en-NZ"/>
              </w:rPr>
              <w:t>Ambridge Rose Group operates Ambridge Rose Beach House as one of three sister facilities within Auckland. The service is certified to provide dementia-level care for up to 20 residents. On the day of the audit, there were 20 residents receiving services. All residents were under the aged-related residential care contract (ARRC).</w:t>
            </w:r>
          </w:p>
          <w:p w14:paraId="3D5399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an experienced facility manager, supported by the clinical manager from one of the other sister facilities, an enrolled nurse, the COO, and the owner/chief executive officer.</w:t>
            </w:r>
          </w:p>
          <w:p w14:paraId="4B2E5C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organisation-wide current strategic business plan in place that outlines specific goals for each site. The plan is aligned to the organisation’s vision, mission, values, and strategic direction. Clear short-term and long-term objectives are documented to guide the management of quality and risk, and progress is reviewed quarterly. Meeting minutes evidenced discussion of objectives and progress against these. </w:t>
            </w:r>
          </w:p>
          <w:p w14:paraId="4CB08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is accountable for the delivery of safe and high-quality services, including supporting the meaningful inclusion of Māori and Pasifika in recognition of Te Tiriti o Waitangi, with a focus on improving equitable outcomes. Equity for Māori and Pasifika is addressed through organisational policies and practices that promote choice and control over supports, and by reducing barriers to accessing information, including the availability of information in alternative languages relating to the Code, complaints processes, and infection prevention and control. Local Māori organisations are consulted in relation to policy development and cultural </w:t>
            </w:r>
            <w:r w:rsidRPr="00BE00C7">
              <w:rPr>
                <w:rFonts w:cs="Arial"/>
                <w:lang w:eastAsia="en-NZ"/>
              </w:rPr>
              <w:lastRenderedPageBreak/>
              <w:t>guidance. Management confirmed access to cultural advisory support through an external consultant. Management demonstrated knowledge of relevant legislative and contractual requirements.</w:t>
            </w:r>
          </w:p>
          <w:p w14:paraId="2C597A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group that meets fortnightly and includes members of the management team. The clinical governance group provides a forum to review, share, and benchmark clinical data, discuss clinical risks and concerns, and identify opportunities for quality improvement where required.</w:t>
            </w:r>
          </w:p>
          <w:p w14:paraId="7FBDAB68" w14:textId="77777777" w:rsidR="00000000" w:rsidRPr="00BE00C7" w:rsidRDefault="00000000" w:rsidP="00BE00C7">
            <w:pPr>
              <w:pStyle w:val="OutcomeDescription"/>
              <w:spacing w:before="120" w:after="120"/>
              <w:rPr>
                <w:rFonts w:cs="Arial"/>
                <w:lang w:eastAsia="en-NZ"/>
              </w:rPr>
            </w:pPr>
          </w:p>
        </w:tc>
      </w:tr>
      <w:tr w:rsidR="00923D2D" w14:paraId="315FFD9F" w14:textId="77777777">
        <w:tc>
          <w:tcPr>
            <w:tcW w:w="0" w:type="auto"/>
          </w:tcPr>
          <w:p w14:paraId="1CB743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B3F2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B7255FB" w14:textId="77777777" w:rsidR="00000000" w:rsidRPr="00BE00C7" w:rsidRDefault="00000000" w:rsidP="00BE00C7">
            <w:pPr>
              <w:pStyle w:val="OutcomeDescription"/>
              <w:spacing w:before="120" w:after="120"/>
              <w:rPr>
                <w:rFonts w:cs="Arial"/>
                <w:lang w:eastAsia="en-NZ"/>
              </w:rPr>
            </w:pPr>
          </w:p>
        </w:tc>
        <w:tc>
          <w:tcPr>
            <w:tcW w:w="0" w:type="auto"/>
          </w:tcPr>
          <w:p w14:paraId="2C5944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9EB1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1E1A4E5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completed and discussed in staff and management meetings. Meetings provide an avenue for discussions in relation to key performance indicators (including clinical, such as infections, bruising, skin tears, urinary tract infections, challenging behaviour, etc), quality data, health and safety, infection control/pandemic strategies, complaints received (if any), staffing, and education. Meeting minutes are also available to staff as required.</w:t>
            </w:r>
          </w:p>
          <w:p w14:paraId="723C3E8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 satisfaction surveys completed in May 2025 indicated high levels of satisfaction across all domains, including complaints management, communication, nursing care, food, and environment. The staff satisfaction survey resulted in 80% positive feedback. Areas identified for improvement, including staff recognition, were acknowledged and were being considered by management.</w:t>
            </w:r>
          </w:p>
          <w:p w14:paraId="0C381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plan, together with associated policies and procedures, identifies internal and external risks and documents corresponding mitigation strategies, aligned with the National Adverse Event Reporting Policy.  Management demonstrated understanding of </w:t>
            </w:r>
            <w:r w:rsidRPr="00BE00C7">
              <w:rPr>
                <w:rFonts w:cs="Arial"/>
                <w:lang w:eastAsia="en-NZ"/>
              </w:rPr>
              <w:lastRenderedPageBreak/>
              <w:t>Severity Assessment Codes (SAC), including SAC 1 and SAC 2 reporting requirements. No incidents requiring SAC reporting were identified.</w:t>
            </w:r>
          </w:p>
          <w:p w14:paraId="5E48F21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essential notification requirements to relevant authorities. Notifications sighted included a Covid-19 outbreak in January 2026 and a medication management outage in February 2026. The FM reported that a Covid-19 outbreak notification was completed in accordance with reporting requirements.</w:t>
            </w:r>
          </w:p>
          <w:p w14:paraId="2F7C785C"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implemented. Hazard identification is completed electronically, and an up-to-date hazard register was sighted. Health and safety policies are overseen through the clinical governance committee. Regular manual handling training sessions are provided for staff. Staff interviewed confirmed they are kept informed of health and safety matters.</w:t>
            </w:r>
          </w:p>
          <w:p w14:paraId="55221BA4"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reports are completed for each incident and accident, with immediate actions taken and any required follow-up actions documented. Incident and accident data is collated monthly and analysed for trends, with outcomes discussed at relevant meetings. Ten resident-related accident and incident forms were reviewed. Each resident's event evidenced clinical assessment and follow-up by a registered nurse.</w:t>
            </w:r>
          </w:p>
          <w:p w14:paraId="188B4197" w14:textId="77777777" w:rsidR="00000000" w:rsidRPr="00BE00C7" w:rsidRDefault="00000000" w:rsidP="00BE00C7">
            <w:pPr>
              <w:pStyle w:val="OutcomeDescription"/>
              <w:spacing w:before="120" w:after="120"/>
              <w:rPr>
                <w:rFonts w:cs="Arial"/>
                <w:lang w:eastAsia="en-NZ"/>
              </w:rPr>
            </w:pPr>
          </w:p>
        </w:tc>
      </w:tr>
      <w:tr w:rsidR="00923D2D" w14:paraId="6B37CBAA" w14:textId="77777777">
        <w:tc>
          <w:tcPr>
            <w:tcW w:w="0" w:type="auto"/>
          </w:tcPr>
          <w:p w14:paraId="4A9186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DB9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389BB84" w14:textId="77777777" w:rsidR="00000000" w:rsidRPr="00BE00C7" w:rsidRDefault="00000000" w:rsidP="00BE00C7">
            <w:pPr>
              <w:pStyle w:val="OutcomeDescription"/>
              <w:spacing w:before="120" w:after="120"/>
              <w:rPr>
                <w:rFonts w:cs="Arial"/>
                <w:lang w:eastAsia="en-NZ"/>
              </w:rPr>
            </w:pPr>
          </w:p>
        </w:tc>
        <w:tc>
          <w:tcPr>
            <w:tcW w:w="0" w:type="auto"/>
          </w:tcPr>
          <w:p w14:paraId="15EB80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B1A9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Family/whānau interviewed supported this.</w:t>
            </w:r>
          </w:p>
          <w:p w14:paraId="68BAC2E0" w14:textId="77777777" w:rsidR="00000000" w:rsidRPr="00BE00C7" w:rsidRDefault="00000000" w:rsidP="00BE00C7">
            <w:pPr>
              <w:pStyle w:val="OutcomeDescription"/>
              <w:spacing w:before="120" w:after="120"/>
              <w:rPr>
                <w:rFonts w:cs="Arial"/>
                <w:lang w:eastAsia="en-NZ"/>
              </w:rPr>
            </w:pPr>
            <w:r w:rsidRPr="00BE00C7">
              <w:rPr>
                <w:rFonts w:cs="Arial"/>
                <w:lang w:eastAsia="en-NZ"/>
              </w:rPr>
              <w:t>Rosters reviewed for the previous four weeks evidenced that all shifts were covered by experienced health care assistants, with additional support available from the management team. Clinical oversight is provided by the clinical manager and an enrolled nurse from other sister facilities, who are on-site three days per week and available on call as required. A significant number of staff hold current first aid certificates, ensuring a first aid-trained staff member is always available on site.</w:t>
            </w:r>
          </w:p>
          <w:p w14:paraId="5FD2FB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Continuing education is planned on an annual basis, including mandatory training requirements. The FM reported that most of the training is completed online or face-to-face, every month. Evidence of regular education provided to staff was sighted in attendance records. Training topics included (but not limited to); infection prevention and control, including outbreak management, medication, de-escalation of behaviours that challenge, aspects of consumer rights and health and safety.</w:t>
            </w:r>
          </w:p>
          <w:p w14:paraId="3C117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15 care staff employed. Six have achieved NZQA qualification level four, one with level three, none with level two, and eight with level 0. Thirteen HCAs have completed dementia care education as set out in the age-related residential care (ARRC) agreement, and two are currently in training. The management team reported that the model of care ensured that all residents are treated equitably.</w:t>
            </w:r>
          </w:p>
          <w:p w14:paraId="0577A1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an enrolled nurse are accredited and maintain competencies to conduct interRAI assessments. These staff records sampled demonstrated completion of the required training and competency assessments.</w:t>
            </w:r>
          </w:p>
          <w:p w14:paraId="596DFAB5" w14:textId="77777777" w:rsidR="00000000" w:rsidRPr="00BE00C7" w:rsidRDefault="00000000" w:rsidP="00BE00C7">
            <w:pPr>
              <w:pStyle w:val="OutcomeDescription"/>
              <w:spacing w:before="120" w:after="120"/>
              <w:rPr>
                <w:rFonts w:cs="Arial"/>
                <w:lang w:eastAsia="en-NZ"/>
              </w:rPr>
            </w:pPr>
          </w:p>
        </w:tc>
      </w:tr>
      <w:tr w:rsidR="00923D2D" w14:paraId="69398F42" w14:textId="77777777">
        <w:tc>
          <w:tcPr>
            <w:tcW w:w="0" w:type="auto"/>
          </w:tcPr>
          <w:p w14:paraId="568D37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A109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6EA25A4" w14:textId="77777777" w:rsidR="00000000" w:rsidRPr="00BE00C7" w:rsidRDefault="00000000" w:rsidP="00BE00C7">
            <w:pPr>
              <w:pStyle w:val="OutcomeDescription"/>
              <w:spacing w:before="120" w:after="120"/>
              <w:rPr>
                <w:rFonts w:cs="Arial"/>
                <w:lang w:eastAsia="en-NZ"/>
              </w:rPr>
            </w:pPr>
          </w:p>
        </w:tc>
        <w:tc>
          <w:tcPr>
            <w:tcW w:w="0" w:type="auto"/>
          </w:tcPr>
          <w:p w14:paraId="0FB2EF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89B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64D17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533EB5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are being consistently implemented. All staff records reviewed evidenced completed induction and orientation. A total of five staff files (facility manager, activities coordinator, cleaner/HCA, and two HCAs) were reviewed. Staff files included reference checks; police checks; appraisals; </w:t>
            </w:r>
            <w:r w:rsidRPr="00BE00C7">
              <w:rPr>
                <w:rFonts w:cs="Arial"/>
                <w:lang w:eastAsia="en-NZ"/>
              </w:rPr>
              <w:lastRenderedPageBreak/>
              <w:t>competencies; individual training plans; professional qualifications; orientation; employment agreements; and position descriptions.</w:t>
            </w:r>
          </w:p>
          <w:p w14:paraId="27B7E33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5494BD93" w14:textId="77777777" w:rsidR="00000000" w:rsidRPr="00BE00C7" w:rsidRDefault="00000000" w:rsidP="00BE00C7">
            <w:pPr>
              <w:pStyle w:val="OutcomeDescription"/>
              <w:spacing w:before="120" w:after="120"/>
              <w:rPr>
                <w:rFonts w:cs="Arial"/>
                <w:lang w:eastAsia="en-NZ"/>
              </w:rPr>
            </w:pPr>
          </w:p>
        </w:tc>
      </w:tr>
      <w:tr w:rsidR="00923D2D" w14:paraId="40D2372D" w14:textId="77777777">
        <w:tc>
          <w:tcPr>
            <w:tcW w:w="0" w:type="auto"/>
          </w:tcPr>
          <w:p w14:paraId="6039D5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C19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E605C66" w14:textId="77777777" w:rsidR="00000000" w:rsidRPr="00BE00C7" w:rsidRDefault="00000000" w:rsidP="00BE00C7">
            <w:pPr>
              <w:pStyle w:val="OutcomeDescription"/>
              <w:spacing w:before="120" w:after="120"/>
              <w:rPr>
                <w:rFonts w:cs="Arial"/>
                <w:lang w:eastAsia="en-NZ"/>
              </w:rPr>
            </w:pPr>
          </w:p>
        </w:tc>
        <w:tc>
          <w:tcPr>
            <w:tcW w:w="0" w:type="auto"/>
          </w:tcPr>
          <w:p w14:paraId="21C57B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0DFB23"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five resident files indicated that initial assessments and care plans were resident-centred and completed in a timely manner. All residents were under the aged-related residential care contract (ARRC). The service utilises assessment tools that consider residents' lived experiences, cultural needs, values, and beliefs. Nursing care is provided by appropriately trained and skilled staff, including the nursing team and care staff.</w:t>
            </w:r>
          </w:p>
          <w:p w14:paraId="236832A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and long-term care plans were reviewed following these reassessments. Cultural assessments were conducted by the nursing team in consultation with residents and their family/whānau. Long-term care plans were developed for each resident, with evaluations completed at least six-monthly. Resident, family/whānau, enduring power of attorney (EPOA), and general practitioner (GP) involvement is actively encouraged in the planning of care. Behaviour care plans include a description of activities to meet the resident’s needs in relation to diversional and de-escalation strategies over a 24-hour period.</w:t>
            </w:r>
          </w:p>
          <w:p w14:paraId="6F6BE8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completes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resident-centred. The residents’ files sampled identified service integration with other members of the health team. Multidisciplinary team (MDT) meetings were completed six-monthly.</w:t>
            </w:r>
          </w:p>
          <w:p w14:paraId="19BD29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and an enrolled nurse from one of the other sister facilities, who also provide oversight on this service, reported that sufficient and appropriate information is shared at each staff handover. Interviewed staff </w:t>
            </w:r>
            <w:r w:rsidRPr="00BE00C7">
              <w:rPr>
                <w:rFonts w:cs="Arial"/>
                <w:lang w:eastAsia="en-NZ"/>
              </w:rPr>
              <w:lastRenderedPageBreak/>
              <w:t>confirmed they receive daily updates regarding each resident’s condition. Progress notes are completed every shift and more frequently when there are changes in a resident’s condition.</w:t>
            </w:r>
          </w:p>
          <w:p w14:paraId="08FC28F5"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to address temporary problems or significant changes in a resident’s condition, with interventions clearly outlined to guide staff. These plans are reviewed weekly, or more frequently if clinically indicated, based on assessed risk. If a condition persists beyond three weeks, the short-term plan is incorporated into the long-term care plan. Any changes in condition are reported to the FM, CM, and an enrolled nurse, as evidenced in sampled records. Interviews also confirmed that residents and their family/whānau are kept informed and included in all updates.</w:t>
            </w:r>
          </w:p>
          <w:p w14:paraId="4CBBE36B"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progress differed from expected outcomes, the service, in collaboration with the resident and/or family/whānau, responded by updating the care plan. Where a significant change in a resident’s condition occurred prior to the scheduled review, an InterRAI reassessment was completed. A range of equipment and resources were available, appropriate to the levels of care provided and aligned with residents’ needs. Interviews with family/whānau confirmed their active involvement in evaluating progress and any subsequent changes to care.</w:t>
            </w:r>
          </w:p>
          <w:p w14:paraId="5F10645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one active wound and no pressure injuries. Wound management plans were implemented, with regular evaluations completed as required. The CM reported that wound nurse specialists attend to pressure injuries and chronic wounds as required.</w:t>
            </w:r>
          </w:p>
          <w:p w14:paraId="12E69A6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required health monitoring interventions for individual residents. Health care assistants and the nursing team complete monitoring charts as indicated, including bowel charts, blood pressure, weight, food and fluid intake, pain, behaviour, blood glucose levels, repositioning, and restraint monitoring. All monitoring records reviewed were completed in accordance with scheduled requirements. Neurological observations are undertaken for unwitnessed falls and suspected head injuries in line with policy.</w:t>
            </w:r>
          </w:p>
          <w:p w14:paraId="55A89E6A" w14:textId="77777777" w:rsidR="00000000" w:rsidRPr="00BE00C7" w:rsidRDefault="00000000" w:rsidP="00EF7D37">
            <w:pPr>
              <w:pStyle w:val="OutcomeDescription"/>
              <w:spacing w:before="120" w:after="120"/>
              <w:rPr>
                <w:rFonts w:cs="Arial"/>
                <w:lang w:eastAsia="en-NZ"/>
              </w:rPr>
            </w:pPr>
          </w:p>
        </w:tc>
      </w:tr>
      <w:tr w:rsidR="00923D2D" w14:paraId="09246728" w14:textId="77777777">
        <w:tc>
          <w:tcPr>
            <w:tcW w:w="0" w:type="auto"/>
          </w:tcPr>
          <w:p w14:paraId="5B9B9E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C0B37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5787B5" w14:textId="77777777" w:rsidR="00000000" w:rsidRPr="00BE00C7" w:rsidRDefault="00000000" w:rsidP="00BE00C7">
            <w:pPr>
              <w:pStyle w:val="OutcomeDescription"/>
              <w:spacing w:before="120" w:after="120"/>
              <w:rPr>
                <w:rFonts w:cs="Arial"/>
                <w:lang w:eastAsia="en-NZ"/>
              </w:rPr>
            </w:pPr>
          </w:p>
        </w:tc>
        <w:tc>
          <w:tcPr>
            <w:tcW w:w="0" w:type="auto"/>
          </w:tcPr>
          <w:p w14:paraId="19FE09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AF85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Administration records </w:t>
            </w:r>
            <w:r w:rsidRPr="00BE00C7">
              <w:rPr>
                <w:rFonts w:cs="Arial"/>
                <w:lang w:eastAsia="en-NZ"/>
              </w:rPr>
              <w:lastRenderedPageBreak/>
              <w:t>were maintained. Medications are supplied to the facility from a contracted pharmacy. The GP completes three-monthly medication reviews. A total of 10 medication charts were reviewed. Allergies were documented, and indications for use are noted for pro re nata (PRN) medications. Eye drops were dated on opening.</w:t>
            </w:r>
          </w:p>
          <w:p w14:paraId="059331A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7AE4DE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deviations from normal were reported and attended to promptly. Records were sighted. There was no food in the medication fridge.</w:t>
            </w:r>
          </w:p>
          <w:p w14:paraId="3941B0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HCA was observed administering medications safely and correctly. Medications were stored safely and securely in the trolleys, locked treatment rooms, and cupboards.</w:t>
            </w:r>
          </w:p>
          <w:p w14:paraId="282D84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The CM stated that no residents self-administer medicine due to impaired cognition. There were no standing orders in use.</w:t>
            </w:r>
          </w:p>
          <w:p w14:paraId="7534E439" w14:textId="77777777" w:rsidR="00000000" w:rsidRPr="00BE00C7" w:rsidRDefault="00000000" w:rsidP="00BE00C7">
            <w:pPr>
              <w:pStyle w:val="OutcomeDescription"/>
              <w:spacing w:before="120" w:after="120"/>
              <w:rPr>
                <w:rFonts w:cs="Arial"/>
                <w:lang w:eastAsia="en-NZ"/>
              </w:rPr>
            </w:pPr>
          </w:p>
        </w:tc>
      </w:tr>
      <w:tr w:rsidR="00923D2D" w14:paraId="6F0E7546" w14:textId="77777777">
        <w:tc>
          <w:tcPr>
            <w:tcW w:w="0" w:type="auto"/>
          </w:tcPr>
          <w:p w14:paraId="549614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C9076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24FE58" w14:textId="77777777" w:rsidR="00000000" w:rsidRPr="00BE00C7" w:rsidRDefault="00000000" w:rsidP="00BE00C7">
            <w:pPr>
              <w:pStyle w:val="OutcomeDescription"/>
              <w:spacing w:before="120" w:after="120"/>
              <w:rPr>
                <w:rFonts w:cs="Arial"/>
                <w:lang w:eastAsia="en-NZ"/>
              </w:rPr>
            </w:pPr>
          </w:p>
        </w:tc>
        <w:tc>
          <w:tcPr>
            <w:tcW w:w="0" w:type="auto"/>
          </w:tcPr>
          <w:p w14:paraId="3F3E64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A85F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electronic record management system.</w:t>
            </w:r>
          </w:p>
          <w:p w14:paraId="43E13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25 June 2026.</w:t>
            </w:r>
          </w:p>
          <w:p w14:paraId="3113BEFF"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interviewed indicated satisfaction with the food service.</w:t>
            </w:r>
          </w:p>
          <w:p w14:paraId="5D93180C" w14:textId="77777777" w:rsidR="00000000" w:rsidRPr="00BE00C7" w:rsidRDefault="00000000" w:rsidP="00BE00C7">
            <w:pPr>
              <w:pStyle w:val="OutcomeDescription"/>
              <w:spacing w:before="120" w:after="120"/>
              <w:rPr>
                <w:rFonts w:cs="Arial"/>
                <w:lang w:eastAsia="en-NZ"/>
              </w:rPr>
            </w:pPr>
          </w:p>
        </w:tc>
      </w:tr>
      <w:tr w:rsidR="00923D2D" w14:paraId="095836B9" w14:textId="77777777">
        <w:tc>
          <w:tcPr>
            <w:tcW w:w="0" w:type="auto"/>
          </w:tcPr>
          <w:p w14:paraId="18B5F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76C90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EC28CA" w14:textId="77777777" w:rsidR="00000000" w:rsidRPr="00BE00C7" w:rsidRDefault="00000000" w:rsidP="00BE00C7">
            <w:pPr>
              <w:pStyle w:val="OutcomeDescription"/>
              <w:spacing w:before="120" w:after="120"/>
              <w:rPr>
                <w:rFonts w:cs="Arial"/>
                <w:lang w:eastAsia="en-NZ"/>
              </w:rPr>
            </w:pPr>
          </w:p>
        </w:tc>
        <w:tc>
          <w:tcPr>
            <w:tcW w:w="0" w:type="auto"/>
          </w:tcPr>
          <w:p w14:paraId="10E5AC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21B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included risk mitigation and current residents’ needs. The discharge plan </w:t>
            </w:r>
            <w:r w:rsidRPr="00BE00C7">
              <w:rPr>
                <w:rFonts w:cs="Arial"/>
                <w:lang w:eastAsia="en-NZ"/>
              </w:rPr>
              <w:lastRenderedPageBreak/>
              <w:t>sampled confirmed that, where required, a referral to other allied health providers to ensure the safety of the resident was completed. The management team reported that all transfers and discharges are developed in collaboration with the resident and family/whānau and the accepting service provider.</w:t>
            </w:r>
          </w:p>
          <w:p w14:paraId="677B8989" w14:textId="77777777" w:rsidR="00000000" w:rsidRPr="00BE00C7" w:rsidRDefault="00000000" w:rsidP="00BE00C7">
            <w:pPr>
              <w:pStyle w:val="OutcomeDescription"/>
              <w:spacing w:before="120" w:after="120"/>
              <w:rPr>
                <w:rFonts w:cs="Arial"/>
                <w:lang w:eastAsia="en-NZ"/>
              </w:rPr>
            </w:pPr>
          </w:p>
        </w:tc>
      </w:tr>
      <w:tr w:rsidR="00923D2D" w14:paraId="754FAB24" w14:textId="77777777">
        <w:tc>
          <w:tcPr>
            <w:tcW w:w="0" w:type="auto"/>
          </w:tcPr>
          <w:p w14:paraId="183804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812F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ABB383E" w14:textId="77777777" w:rsidR="00000000" w:rsidRPr="00BE00C7" w:rsidRDefault="00000000" w:rsidP="00BE00C7">
            <w:pPr>
              <w:pStyle w:val="OutcomeDescription"/>
              <w:spacing w:before="120" w:after="120"/>
              <w:rPr>
                <w:rFonts w:cs="Arial"/>
                <w:lang w:eastAsia="en-NZ"/>
              </w:rPr>
            </w:pPr>
          </w:p>
        </w:tc>
        <w:tc>
          <w:tcPr>
            <w:tcW w:w="0" w:type="auto"/>
          </w:tcPr>
          <w:p w14:paraId="0B6978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C744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is a current building warrant of fitness that expires 8 June 2026. Calibration of equipment, and electrical checks were completed, and an inventory is maintained. Hot water temperatures are monitored monthly, with the maintenance team addressing any issues as they arise. There is also a contracted electrician if required.</w:t>
            </w:r>
          </w:p>
          <w:p w14:paraId="7246EE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family/whānau interviewed expressed satisfaction with the environment being suitable for their needs and family member’s needs. There were well-maintained garden areas. The environment was clean and tidy throughout the facility.</w:t>
            </w:r>
          </w:p>
          <w:p w14:paraId="263FB6AC" w14:textId="77777777" w:rsidR="00000000" w:rsidRPr="00BE00C7" w:rsidRDefault="00000000" w:rsidP="00BE00C7">
            <w:pPr>
              <w:pStyle w:val="OutcomeDescription"/>
              <w:spacing w:before="120" w:after="120"/>
              <w:rPr>
                <w:rFonts w:cs="Arial"/>
                <w:lang w:eastAsia="en-NZ"/>
              </w:rPr>
            </w:pPr>
          </w:p>
        </w:tc>
      </w:tr>
      <w:tr w:rsidR="00923D2D" w14:paraId="4EE632B0" w14:textId="77777777">
        <w:tc>
          <w:tcPr>
            <w:tcW w:w="0" w:type="auto"/>
          </w:tcPr>
          <w:p w14:paraId="0C6568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9775F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38B570D" w14:textId="77777777" w:rsidR="00000000" w:rsidRPr="00BE00C7" w:rsidRDefault="00000000" w:rsidP="00BE00C7">
            <w:pPr>
              <w:pStyle w:val="OutcomeDescription"/>
              <w:spacing w:before="120" w:after="120"/>
              <w:rPr>
                <w:rFonts w:cs="Arial"/>
                <w:lang w:eastAsia="en-NZ"/>
              </w:rPr>
            </w:pPr>
          </w:p>
        </w:tc>
        <w:tc>
          <w:tcPr>
            <w:tcW w:w="0" w:type="auto"/>
          </w:tcPr>
          <w:p w14:paraId="73978A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B3D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developed with input from external IPC specialists. The programme has been approved by the clinical governance committee in consultation with the FM and is integrated with the quality improvement programme. The IPC programme is current and reviewed annually. Associated policies have been developed by suitably qualified personnel in compliance with relevant legislation and accepted best practice. Policies reflect the requirements of infection prevention and control standards and include appropriate referencing.</w:t>
            </w:r>
          </w:p>
          <w:p w14:paraId="68E095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receive IPC education during orientation and through ongoing annual online training. Residents and their family/whānau are educated about infection prevention in a manner that meets their needs. Interviews with family/whānau confirmed understanding of these practices.</w:t>
            </w:r>
          </w:p>
          <w:p w14:paraId="0AD600B7" w14:textId="77777777" w:rsidR="00000000" w:rsidRPr="00BE00C7" w:rsidRDefault="00000000" w:rsidP="00BE00C7">
            <w:pPr>
              <w:pStyle w:val="OutcomeDescription"/>
              <w:spacing w:before="120" w:after="120"/>
              <w:rPr>
                <w:rFonts w:cs="Arial"/>
                <w:lang w:eastAsia="en-NZ"/>
              </w:rPr>
            </w:pPr>
          </w:p>
        </w:tc>
      </w:tr>
      <w:tr w:rsidR="00923D2D" w14:paraId="57699E24" w14:textId="77777777">
        <w:tc>
          <w:tcPr>
            <w:tcW w:w="0" w:type="auto"/>
          </w:tcPr>
          <w:p w14:paraId="70336B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FA9ED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5189627" w14:textId="77777777" w:rsidR="00000000" w:rsidRPr="00BE00C7" w:rsidRDefault="00000000" w:rsidP="00BE00C7">
            <w:pPr>
              <w:pStyle w:val="OutcomeDescription"/>
              <w:spacing w:before="120" w:after="120"/>
              <w:rPr>
                <w:rFonts w:cs="Arial"/>
                <w:lang w:eastAsia="en-NZ"/>
              </w:rPr>
            </w:pPr>
          </w:p>
        </w:tc>
        <w:tc>
          <w:tcPr>
            <w:tcW w:w="0" w:type="auto"/>
          </w:tcPr>
          <w:p w14:paraId="0B452A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8C17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governing body.</w:t>
            </w:r>
          </w:p>
          <w:p w14:paraId="54629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65696DE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 and externally.</w:t>
            </w:r>
          </w:p>
          <w:p w14:paraId="18AAF91D"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infections reported included a COVID-19 outbreak in January 2025. This was managed in accordance with the outbreak management plan.</w:t>
            </w:r>
          </w:p>
          <w:p w14:paraId="7223831B" w14:textId="77777777" w:rsidR="00000000" w:rsidRPr="00BE00C7" w:rsidRDefault="00000000" w:rsidP="00BE00C7">
            <w:pPr>
              <w:pStyle w:val="OutcomeDescription"/>
              <w:spacing w:before="120" w:after="120"/>
              <w:rPr>
                <w:rFonts w:cs="Arial"/>
                <w:lang w:eastAsia="en-NZ"/>
              </w:rPr>
            </w:pPr>
          </w:p>
        </w:tc>
      </w:tr>
      <w:tr w:rsidR="00923D2D" w14:paraId="66DF3C56" w14:textId="77777777">
        <w:tc>
          <w:tcPr>
            <w:tcW w:w="0" w:type="auto"/>
          </w:tcPr>
          <w:p w14:paraId="09E4A4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3809E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3D3943" w14:textId="77777777" w:rsidR="00000000" w:rsidRPr="00BE00C7" w:rsidRDefault="00000000" w:rsidP="00BE00C7">
            <w:pPr>
              <w:pStyle w:val="OutcomeDescription"/>
              <w:spacing w:before="120" w:after="120"/>
              <w:rPr>
                <w:rFonts w:cs="Arial"/>
                <w:lang w:eastAsia="en-NZ"/>
              </w:rPr>
            </w:pPr>
          </w:p>
        </w:tc>
        <w:tc>
          <w:tcPr>
            <w:tcW w:w="0" w:type="auto"/>
          </w:tcPr>
          <w:p w14:paraId="7FCA8A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32C4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there were no restraints in use.</w:t>
            </w:r>
          </w:p>
          <w:p w14:paraId="6EAD1F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Training records showed that all clinical staff attended restraint education and completed a restraint competency during orientation/induction. Training is planned annually.</w:t>
            </w:r>
          </w:p>
          <w:p w14:paraId="0299F1D5" w14:textId="77777777" w:rsidR="00000000" w:rsidRPr="00BE00C7" w:rsidRDefault="00000000" w:rsidP="00BE00C7">
            <w:pPr>
              <w:pStyle w:val="OutcomeDescription"/>
              <w:spacing w:before="120" w:after="120"/>
              <w:rPr>
                <w:rFonts w:cs="Arial"/>
                <w:lang w:eastAsia="en-NZ"/>
              </w:rPr>
            </w:pPr>
          </w:p>
        </w:tc>
      </w:tr>
    </w:tbl>
    <w:p w14:paraId="1D1AA5C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256C1C6" w14:textId="77777777" w:rsidR="00000000" w:rsidRDefault="00000000">
      <w:pPr>
        <w:pStyle w:val="Heading1"/>
        <w:rPr>
          <w:rFonts w:cs="Arial"/>
        </w:rPr>
      </w:pPr>
      <w:r>
        <w:rPr>
          <w:rFonts w:cs="Arial"/>
        </w:rPr>
        <w:lastRenderedPageBreak/>
        <w:t>Specific results for criterion where corrective actions are required</w:t>
      </w:r>
    </w:p>
    <w:p w14:paraId="755493C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8B64B1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146C109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23D2D" w14:paraId="59EF0683" w14:textId="77777777">
        <w:tc>
          <w:tcPr>
            <w:tcW w:w="0" w:type="auto"/>
          </w:tcPr>
          <w:p w14:paraId="10C468A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1D9AC8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6BB8D54" w14:textId="77777777" w:rsidR="00000000" w:rsidRDefault="00000000">
      <w:pPr>
        <w:pStyle w:val="Heading1"/>
        <w:rPr>
          <w:rFonts w:cs="Arial"/>
        </w:rPr>
      </w:pPr>
      <w:r>
        <w:rPr>
          <w:rFonts w:cs="Arial"/>
        </w:rPr>
        <w:lastRenderedPageBreak/>
        <w:t>Specific results for criterion where a continuous improvement has been recorded</w:t>
      </w:r>
    </w:p>
    <w:p w14:paraId="7429BFC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AE531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AB561B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23D2D" w14:paraId="467D2FAD" w14:textId="77777777">
        <w:tc>
          <w:tcPr>
            <w:tcW w:w="0" w:type="auto"/>
          </w:tcPr>
          <w:p w14:paraId="5B722EE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B9AD3B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DB810F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E4C0" w14:textId="77777777" w:rsidR="00B53B16" w:rsidRDefault="00B53B16">
      <w:r>
        <w:separator/>
      </w:r>
    </w:p>
  </w:endnote>
  <w:endnote w:type="continuationSeparator" w:id="0">
    <w:p w14:paraId="7F1420A3" w14:textId="77777777" w:rsidR="00B53B16" w:rsidRDefault="00B5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4963" w14:textId="77777777" w:rsidR="00000000" w:rsidRDefault="00000000">
    <w:pPr>
      <w:pStyle w:val="Footer"/>
    </w:pPr>
  </w:p>
  <w:p w14:paraId="70564F2D" w14:textId="77777777" w:rsidR="00000000" w:rsidRDefault="00000000"/>
  <w:p w14:paraId="3A28671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4C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Ambridge Rose Beach House Limited - Ambridge Rose Beach House</w:t>
    </w:r>
    <w:bookmarkEnd w:id="59"/>
    <w:r>
      <w:rPr>
        <w:rFonts w:cs="Arial"/>
        <w:sz w:val="16"/>
        <w:szCs w:val="20"/>
      </w:rPr>
      <w:tab/>
      <w:t xml:space="preserve">Date of Audit: </w:t>
    </w:r>
    <w:bookmarkStart w:id="60" w:name="AuditStartDate1"/>
    <w:r>
      <w:rPr>
        <w:rFonts w:cs="Arial"/>
        <w:sz w:val="16"/>
        <w:szCs w:val="20"/>
      </w:rPr>
      <w:t>20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6F28D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0FC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CB3C" w14:textId="77777777" w:rsidR="00B53B16" w:rsidRDefault="00B53B16">
      <w:r>
        <w:separator/>
      </w:r>
    </w:p>
  </w:footnote>
  <w:footnote w:type="continuationSeparator" w:id="0">
    <w:p w14:paraId="2D3A4B10" w14:textId="77777777" w:rsidR="00B53B16" w:rsidRDefault="00B5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B090" w14:textId="77777777" w:rsidR="00000000" w:rsidRDefault="00000000">
    <w:pPr>
      <w:pStyle w:val="Header"/>
    </w:pPr>
  </w:p>
  <w:p w14:paraId="42A2511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4B86" w14:textId="77777777" w:rsidR="00000000" w:rsidRDefault="00000000">
    <w:pPr>
      <w:pStyle w:val="Header"/>
    </w:pPr>
  </w:p>
  <w:p w14:paraId="2D2E07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E10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1DAFC56">
      <w:start w:val="1"/>
      <w:numFmt w:val="decimal"/>
      <w:lvlText w:val="%1."/>
      <w:lvlJc w:val="left"/>
      <w:pPr>
        <w:ind w:left="360" w:hanging="360"/>
      </w:pPr>
    </w:lvl>
    <w:lvl w:ilvl="1" w:tplc="317230D8" w:tentative="1">
      <w:start w:val="1"/>
      <w:numFmt w:val="lowerLetter"/>
      <w:lvlText w:val="%2."/>
      <w:lvlJc w:val="left"/>
      <w:pPr>
        <w:ind w:left="1080" w:hanging="360"/>
      </w:pPr>
    </w:lvl>
    <w:lvl w:ilvl="2" w:tplc="4AECD816" w:tentative="1">
      <w:start w:val="1"/>
      <w:numFmt w:val="lowerRoman"/>
      <w:lvlText w:val="%3."/>
      <w:lvlJc w:val="right"/>
      <w:pPr>
        <w:ind w:left="1800" w:hanging="180"/>
      </w:pPr>
    </w:lvl>
    <w:lvl w:ilvl="3" w:tplc="688C3358" w:tentative="1">
      <w:start w:val="1"/>
      <w:numFmt w:val="decimal"/>
      <w:lvlText w:val="%4."/>
      <w:lvlJc w:val="left"/>
      <w:pPr>
        <w:ind w:left="2520" w:hanging="360"/>
      </w:pPr>
    </w:lvl>
    <w:lvl w:ilvl="4" w:tplc="1778C9C2" w:tentative="1">
      <w:start w:val="1"/>
      <w:numFmt w:val="lowerLetter"/>
      <w:lvlText w:val="%5."/>
      <w:lvlJc w:val="left"/>
      <w:pPr>
        <w:ind w:left="3240" w:hanging="360"/>
      </w:pPr>
    </w:lvl>
    <w:lvl w:ilvl="5" w:tplc="B80647D0" w:tentative="1">
      <w:start w:val="1"/>
      <w:numFmt w:val="lowerRoman"/>
      <w:lvlText w:val="%6."/>
      <w:lvlJc w:val="right"/>
      <w:pPr>
        <w:ind w:left="3960" w:hanging="180"/>
      </w:pPr>
    </w:lvl>
    <w:lvl w:ilvl="6" w:tplc="7370F9DC" w:tentative="1">
      <w:start w:val="1"/>
      <w:numFmt w:val="decimal"/>
      <w:lvlText w:val="%7."/>
      <w:lvlJc w:val="left"/>
      <w:pPr>
        <w:ind w:left="4680" w:hanging="360"/>
      </w:pPr>
    </w:lvl>
    <w:lvl w:ilvl="7" w:tplc="04D48E1A" w:tentative="1">
      <w:start w:val="1"/>
      <w:numFmt w:val="lowerLetter"/>
      <w:lvlText w:val="%8."/>
      <w:lvlJc w:val="left"/>
      <w:pPr>
        <w:ind w:left="5400" w:hanging="360"/>
      </w:pPr>
    </w:lvl>
    <w:lvl w:ilvl="8" w:tplc="DC2662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6C307A">
      <w:start w:val="1"/>
      <w:numFmt w:val="bullet"/>
      <w:lvlText w:val=""/>
      <w:lvlJc w:val="left"/>
      <w:pPr>
        <w:ind w:left="720" w:hanging="360"/>
      </w:pPr>
      <w:rPr>
        <w:rFonts w:ascii="Symbol" w:hAnsi="Symbol" w:hint="default"/>
      </w:rPr>
    </w:lvl>
    <w:lvl w:ilvl="1" w:tplc="019E4C2A" w:tentative="1">
      <w:start w:val="1"/>
      <w:numFmt w:val="bullet"/>
      <w:lvlText w:val="o"/>
      <w:lvlJc w:val="left"/>
      <w:pPr>
        <w:ind w:left="1440" w:hanging="360"/>
      </w:pPr>
      <w:rPr>
        <w:rFonts w:ascii="Courier New" w:hAnsi="Courier New" w:cs="Courier New" w:hint="default"/>
      </w:rPr>
    </w:lvl>
    <w:lvl w:ilvl="2" w:tplc="49DA7F4C" w:tentative="1">
      <w:start w:val="1"/>
      <w:numFmt w:val="bullet"/>
      <w:lvlText w:val=""/>
      <w:lvlJc w:val="left"/>
      <w:pPr>
        <w:ind w:left="2160" w:hanging="360"/>
      </w:pPr>
      <w:rPr>
        <w:rFonts w:ascii="Wingdings" w:hAnsi="Wingdings" w:hint="default"/>
      </w:rPr>
    </w:lvl>
    <w:lvl w:ilvl="3" w:tplc="2098DFEE" w:tentative="1">
      <w:start w:val="1"/>
      <w:numFmt w:val="bullet"/>
      <w:lvlText w:val=""/>
      <w:lvlJc w:val="left"/>
      <w:pPr>
        <w:ind w:left="2880" w:hanging="360"/>
      </w:pPr>
      <w:rPr>
        <w:rFonts w:ascii="Symbol" w:hAnsi="Symbol" w:hint="default"/>
      </w:rPr>
    </w:lvl>
    <w:lvl w:ilvl="4" w:tplc="6FB61BDC" w:tentative="1">
      <w:start w:val="1"/>
      <w:numFmt w:val="bullet"/>
      <w:lvlText w:val="o"/>
      <w:lvlJc w:val="left"/>
      <w:pPr>
        <w:ind w:left="3600" w:hanging="360"/>
      </w:pPr>
      <w:rPr>
        <w:rFonts w:ascii="Courier New" w:hAnsi="Courier New" w:cs="Courier New" w:hint="default"/>
      </w:rPr>
    </w:lvl>
    <w:lvl w:ilvl="5" w:tplc="37422B3C" w:tentative="1">
      <w:start w:val="1"/>
      <w:numFmt w:val="bullet"/>
      <w:lvlText w:val=""/>
      <w:lvlJc w:val="left"/>
      <w:pPr>
        <w:ind w:left="4320" w:hanging="360"/>
      </w:pPr>
      <w:rPr>
        <w:rFonts w:ascii="Wingdings" w:hAnsi="Wingdings" w:hint="default"/>
      </w:rPr>
    </w:lvl>
    <w:lvl w:ilvl="6" w:tplc="DFF66E66" w:tentative="1">
      <w:start w:val="1"/>
      <w:numFmt w:val="bullet"/>
      <w:lvlText w:val=""/>
      <w:lvlJc w:val="left"/>
      <w:pPr>
        <w:ind w:left="5040" w:hanging="360"/>
      </w:pPr>
      <w:rPr>
        <w:rFonts w:ascii="Symbol" w:hAnsi="Symbol" w:hint="default"/>
      </w:rPr>
    </w:lvl>
    <w:lvl w:ilvl="7" w:tplc="CD0A7FF6" w:tentative="1">
      <w:start w:val="1"/>
      <w:numFmt w:val="bullet"/>
      <w:lvlText w:val="o"/>
      <w:lvlJc w:val="left"/>
      <w:pPr>
        <w:ind w:left="5760" w:hanging="360"/>
      </w:pPr>
      <w:rPr>
        <w:rFonts w:ascii="Courier New" w:hAnsi="Courier New" w:cs="Courier New" w:hint="default"/>
      </w:rPr>
    </w:lvl>
    <w:lvl w:ilvl="8" w:tplc="881C2E7A" w:tentative="1">
      <w:start w:val="1"/>
      <w:numFmt w:val="bullet"/>
      <w:lvlText w:val=""/>
      <w:lvlJc w:val="left"/>
      <w:pPr>
        <w:ind w:left="6480" w:hanging="360"/>
      </w:pPr>
      <w:rPr>
        <w:rFonts w:ascii="Wingdings" w:hAnsi="Wingdings" w:hint="default"/>
      </w:rPr>
    </w:lvl>
  </w:abstractNum>
  <w:num w:numId="1" w16cid:durableId="959265517">
    <w:abstractNumId w:val="1"/>
  </w:num>
  <w:num w:numId="2" w16cid:durableId="23759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D"/>
    <w:rsid w:val="00441BC0"/>
    <w:rsid w:val="00923D2D"/>
    <w:rsid w:val="00A55D88"/>
    <w:rsid w:val="00B53B16"/>
    <w:rsid w:val="00EF7D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073A"/>
  <w15:docId w15:val="{78D36715-3759-4F11-B026-061501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2026-05-17T20:09:00Z</dcterms:created>
  <dcterms:modified xsi:type="dcterms:W3CDTF">2026-05-17T20:10:00Z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