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DD5C" w14:textId="77777777" w:rsidR="00000000" w:rsidRDefault="00000000">
      <w:pPr>
        <w:pStyle w:val="Heading1"/>
        <w:rPr>
          <w:rFonts w:cs="Arial"/>
        </w:rPr>
      </w:pPr>
      <w:bookmarkStart w:id="0" w:name="PRMS_RIName"/>
      <w:r>
        <w:rPr>
          <w:rFonts w:cs="Arial"/>
        </w:rPr>
        <w:t>Kevin Hickman Retirement Village Limited - Kevin Hickman Retirement Village</w:t>
      </w:r>
      <w:bookmarkEnd w:id="0"/>
    </w:p>
    <w:p w14:paraId="69D9CF1D" w14:textId="77777777" w:rsidR="00000000" w:rsidRDefault="00000000">
      <w:pPr>
        <w:pStyle w:val="Heading2"/>
        <w:spacing w:after="0"/>
        <w:rPr>
          <w:rFonts w:cs="Arial"/>
        </w:rPr>
      </w:pPr>
      <w:r>
        <w:rPr>
          <w:rFonts w:cs="Arial"/>
        </w:rPr>
        <w:t>Introduction</w:t>
      </w:r>
    </w:p>
    <w:p w14:paraId="63EB815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CCD154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2B74E7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4A121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DA57EB5" w14:textId="77777777" w:rsidR="00000000" w:rsidRDefault="00000000">
      <w:pPr>
        <w:spacing w:before="240" w:after="240"/>
        <w:rPr>
          <w:rFonts w:cs="Arial"/>
          <w:lang w:eastAsia="en-NZ"/>
        </w:rPr>
      </w:pPr>
      <w:r>
        <w:rPr>
          <w:rFonts w:cs="Arial"/>
          <w:lang w:eastAsia="en-NZ"/>
        </w:rPr>
        <w:t>The specifics of this audit included:</w:t>
      </w:r>
    </w:p>
    <w:p w14:paraId="00FACAF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049E8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Kevin Hickman Retirement Village Limited</w:t>
      </w:r>
      <w:bookmarkEnd w:id="4"/>
    </w:p>
    <w:p w14:paraId="1E61F2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Kevin Hickman Retirement Village</w:t>
      </w:r>
      <w:bookmarkEnd w:id="5"/>
    </w:p>
    <w:p w14:paraId="2E9FCD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43A64E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2026</w:t>
      </w:r>
      <w:bookmarkEnd w:id="7"/>
      <w:r w:rsidRPr="009418D4">
        <w:rPr>
          <w:rFonts w:cs="Arial"/>
        </w:rPr>
        <w:tab/>
        <w:t xml:space="preserve">End date: </w:t>
      </w:r>
      <w:bookmarkStart w:id="8" w:name="AuditEndDate"/>
      <w:r>
        <w:rPr>
          <w:rFonts w:cs="Arial"/>
        </w:rPr>
        <w:t>18 March 2026</w:t>
      </w:r>
      <w:bookmarkEnd w:id="8"/>
    </w:p>
    <w:p w14:paraId="5E14041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977CC6A" w14:textId="19C08EC6" w:rsidR="00000000" w:rsidRDefault="00000000" w:rsidP="00A902AF">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03E9F44D" w14:textId="77777777" w:rsidR="00000000" w:rsidRDefault="00000000">
      <w:pPr>
        <w:pStyle w:val="Heading1"/>
        <w:rPr>
          <w:rFonts w:cs="Arial"/>
        </w:rPr>
      </w:pPr>
      <w:r>
        <w:rPr>
          <w:rFonts w:cs="Arial"/>
        </w:rPr>
        <w:lastRenderedPageBreak/>
        <w:t>Executive summary of the audit</w:t>
      </w:r>
    </w:p>
    <w:p w14:paraId="414DCFC4" w14:textId="77777777" w:rsidR="00000000" w:rsidRDefault="00000000">
      <w:pPr>
        <w:pStyle w:val="Heading2"/>
        <w:rPr>
          <w:rFonts w:cs="Arial"/>
        </w:rPr>
      </w:pPr>
      <w:r>
        <w:rPr>
          <w:rFonts w:cs="Arial"/>
        </w:rPr>
        <w:t>Introduction</w:t>
      </w:r>
    </w:p>
    <w:p w14:paraId="612868F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64FD8F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438AF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38178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4EA728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139580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FF2BEF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E95BD7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9231A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64E58" w14:paraId="5D2DEA90" w14:textId="77777777">
        <w:trPr>
          <w:cantSplit/>
          <w:tblHeader/>
        </w:trPr>
        <w:tc>
          <w:tcPr>
            <w:tcW w:w="1260" w:type="dxa"/>
            <w:tcBorders>
              <w:bottom w:val="single" w:sz="4" w:space="0" w:color="000000"/>
            </w:tcBorders>
            <w:vAlign w:val="center"/>
          </w:tcPr>
          <w:p w14:paraId="0086DE8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114CB1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5C04BF0" w14:textId="77777777" w:rsidR="00000000" w:rsidRDefault="00000000">
            <w:pPr>
              <w:spacing w:before="60" w:after="60"/>
              <w:rPr>
                <w:rFonts w:eastAsia="Calibri"/>
                <w:b/>
                <w:szCs w:val="24"/>
              </w:rPr>
            </w:pPr>
            <w:r>
              <w:rPr>
                <w:rFonts w:eastAsia="Calibri"/>
                <w:b/>
                <w:szCs w:val="24"/>
              </w:rPr>
              <w:t>Definition</w:t>
            </w:r>
          </w:p>
        </w:tc>
      </w:tr>
      <w:tr w:rsidR="00164E58" w14:paraId="759D90E9" w14:textId="77777777">
        <w:trPr>
          <w:cantSplit/>
          <w:trHeight w:val="964"/>
        </w:trPr>
        <w:tc>
          <w:tcPr>
            <w:tcW w:w="1260" w:type="dxa"/>
            <w:tcBorders>
              <w:bottom w:val="single" w:sz="4" w:space="0" w:color="000000"/>
            </w:tcBorders>
            <w:shd w:val="clear" w:color="0066FF" w:fill="0000FF"/>
            <w:vAlign w:val="center"/>
          </w:tcPr>
          <w:p w14:paraId="458C6EE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867C0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515E5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64E58" w14:paraId="1813C1B2" w14:textId="77777777">
        <w:trPr>
          <w:cantSplit/>
          <w:trHeight w:val="964"/>
        </w:trPr>
        <w:tc>
          <w:tcPr>
            <w:tcW w:w="1260" w:type="dxa"/>
            <w:shd w:val="clear" w:color="33CC33" w:fill="00FF00"/>
            <w:vAlign w:val="center"/>
          </w:tcPr>
          <w:p w14:paraId="38CD4244" w14:textId="77777777" w:rsidR="00000000" w:rsidRDefault="00000000">
            <w:pPr>
              <w:spacing w:before="60" w:after="60"/>
              <w:rPr>
                <w:rFonts w:eastAsia="Calibri"/>
                <w:szCs w:val="24"/>
              </w:rPr>
            </w:pPr>
          </w:p>
        </w:tc>
        <w:tc>
          <w:tcPr>
            <w:tcW w:w="7095" w:type="dxa"/>
            <w:shd w:val="clear" w:color="auto" w:fill="auto"/>
            <w:vAlign w:val="center"/>
          </w:tcPr>
          <w:p w14:paraId="3573FBD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D91A92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64E58" w14:paraId="02A857E8" w14:textId="77777777">
        <w:trPr>
          <w:cantSplit/>
          <w:trHeight w:val="964"/>
        </w:trPr>
        <w:tc>
          <w:tcPr>
            <w:tcW w:w="1260" w:type="dxa"/>
            <w:tcBorders>
              <w:bottom w:val="single" w:sz="4" w:space="0" w:color="000000"/>
            </w:tcBorders>
            <w:shd w:val="clear" w:color="auto" w:fill="FFFF00"/>
            <w:vAlign w:val="center"/>
          </w:tcPr>
          <w:p w14:paraId="48FA92CB" w14:textId="77777777" w:rsidR="00000000" w:rsidRDefault="00000000">
            <w:pPr>
              <w:spacing w:before="60" w:after="60"/>
              <w:rPr>
                <w:rFonts w:eastAsia="Calibri"/>
                <w:szCs w:val="24"/>
              </w:rPr>
            </w:pPr>
          </w:p>
        </w:tc>
        <w:tc>
          <w:tcPr>
            <w:tcW w:w="7095" w:type="dxa"/>
            <w:shd w:val="clear" w:color="auto" w:fill="auto"/>
            <w:vAlign w:val="center"/>
          </w:tcPr>
          <w:p w14:paraId="4FDE5A6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03DEC8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64E58" w14:paraId="393F3C6F" w14:textId="77777777">
        <w:trPr>
          <w:cantSplit/>
          <w:trHeight w:val="964"/>
        </w:trPr>
        <w:tc>
          <w:tcPr>
            <w:tcW w:w="1260" w:type="dxa"/>
            <w:tcBorders>
              <w:bottom w:val="single" w:sz="4" w:space="0" w:color="000000"/>
            </w:tcBorders>
            <w:shd w:val="clear" w:color="auto" w:fill="FFC800"/>
            <w:vAlign w:val="center"/>
          </w:tcPr>
          <w:p w14:paraId="0F4116B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F11C74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817846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64E58" w14:paraId="7EF19E85" w14:textId="77777777">
        <w:trPr>
          <w:cantSplit/>
          <w:trHeight w:val="964"/>
        </w:trPr>
        <w:tc>
          <w:tcPr>
            <w:tcW w:w="1260" w:type="dxa"/>
            <w:shd w:val="clear" w:color="auto" w:fill="FF0000"/>
            <w:vAlign w:val="center"/>
          </w:tcPr>
          <w:p w14:paraId="49FE4012" w14:textId="77777777" w:rsidR="00000000" w:rsidRDefault="00000000">
            <w:pPr>
              <w:spacing w:before="60" w:after="60"/>
              <w:rPr>
                <w:rFonts w:eastAsia="Calibri"/>
                <w:szCs w:val="24"/>
              </w:rPr>
            </w:pPr>
          </w:p>
        </w:tc>
        <w:tc>
          <w:tcPr>
            <w:tcW w:w="7095" w:type="dxa"/>
            <w:shd w:val="clear" w:color="auto" w:fill="auto"/>
            <w:vAlign w:val="center"/>
          </w:tcPr>
          <w:p w14:paraId="39ECD2E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638BA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65B4323" w14:textId="77777777" w:rsidR="00000000" w:rsidRDefault="00000000">
      <w:pPr>
        <w:pStyle w:val="Heading2"/>
        <w:spacing w:after="0"/>
        <w:rPr>
          <w:rFonts w:cs="Arial"/>
        </w:rPr>
      </w:pPr>
      <w:r>
        <w:rPr>
          <w:rFonts w:cs="Arial"/>
        </w:rPr>
        <w:t>General overview of the audit</w:t>
      </w:r>
    </w:p>
    <w:p w14:paraId="462B6211" w14:textId="77777777" w:rsidR="00000000" w:rsidRDefault="00000000">
      <w:pPr>
        <w:spacing w:before="240" w:line="276" w:lineRule="auto"/>
        <w:rPr>
          <w:rFonts w:eastAsia="Calibri"/>
        </w:rPr>
      </w:pPr>
      <w:bookmarkStart w:id="13" w:name="GeneralOverview"/>
      <w:r w:rsidRPr="00A4268A">
        <w:rPr>
          <w:rFonts w:eastAsia="Calibri"/>
        </w:rPr>
        <w:t>Kevin Hickman Retirement Village is part of Ryman Healthcare. The service opened their newly purpose-built 80 bed care centre in June 2025. This included 26 serviced apartments certified as suitable for rest home level of care and 4 serviced apartments certified dual-purpose, making a total of 110 beds.</w:t>
      </w:r>
    </w:p>
    <w:p w14:paraId="095E038A" w14:textId="77777777" w:rsidR="00164E5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76BA850B" w14:textId="77777777" w:rsidR="00164E58"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quality manager and a general manager operations. </w:t>
      </w:r>
    </w:p>
    <w:p w14:paraId="6C8EF4E0" w14:textId="77777777" w:rsidR="00164E58"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43551535" w14:textId="77777777" w:rsidR="00164E58" w:rsidRPr="00A4268A" w:rsidRDefault="00000000">
      <w:pPr>
        <w:spacing w:before="240" w:line="276" w:lineRule="auto"/>
        <w:rPr>
          <w:rFonts w:eastAsia="Calibri"/>
        </w:rPr>
      </w:pPr>
      <w:r w:rsidRPr="00A4268A">
        <w:rPr>
          <w:rFonts w:eastAsia="Calibri"/>
        </w:rPr>
        <w:t>There were no shortfalls identified as this certification audit.</w:t>
      </w:r>
    </w:p>
    <w:bookmarkEnd w:id="13"/>
    <w:p w14:paraId="321B7862" w14:textId="77777777" w:rsidR="00164E58" w:rsidRPr="00A4268A" w:rsidRDefault="00164E58">
      <w:pPr>
        <w:spacing w:before="240" w:line="276" w:lineRule="auto"/>
        <w:rPr>
          <w:rFonts w:eastAsia="Calibri"/>
        </w:rPr>
      </w:pPr>
    </w:p>
    <w:p w14:paraId="62E6112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7A172FEB" w14:textId="77777777" w:rsidTr="00A4268A">
        <w:trPr>
          <w:cantSplit/>
        </w:trPr>
        <w:tc>
          <w:tcPr>
            <w:tcW w:w="10206" w:type="dxa"/>
            <w:vAlign w:val="center"/>
          </w:tcPr>
          <w:p w14:paraId="2F2DF9C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1D4795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3F2EC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F383E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6963AC3" w14:textId="77777777" w:rsidR="00000000" w:rsidRDefault="00000000">
      <w:pPr>
        <w:spacing w:before="240" w:line="276" w:lineRule="auto"/>
        <w:rPr>
          <w:rFonts w:eastAsia="Calibri"/>
        </w:rPr>
      </w:pPr>
      <w:bookmarkStart w:id="16" w:name="ConsumerRights"/>
      <w:r w:rsidRPr="00A4268A">
        <w:rPr>
          <w:rFonts w:eastAsia="Calibri"/>
        </w:rPr>
        <w:t xml:space="preserve">Kevin Hickman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2C59365D" w14:textId="77777777" w:rsidR="00164E58"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Kevin Hickman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5875A5C" w14:textId="77777777" w:rsidR="00164E58"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w:t>
      </w:r>
    </w:p>
    <w:bookmarkEnd w:id="16"/>
    <w:p w14:paraId="64A26DB0" w14:textId="77777777" w:rsidR="00164E58" w:rsidRPr="00A4268A" w:rsidRDefault="00164E58">
      <w:pPr>
        <w:spacing w:before="240" w:line="276" w:lineRule="auto"/>
        <w:rPr>
          <w:rFonts w:eastAsia="Calibri"/>
        </w:rPr>
      </w:pPr>
    </w:p>
    <w:p w14:paraId="4656D2E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6DA622E6" w14:textId="77777777" w:rsidTr="00A4268A">
        <w:trPr>
          <w:cantSplit/>
        </w:trPr>
        <w:tc>
          <w:tcPr>
            <w:tcW w:w="10206" w:type="dxa"/>
            <w:vAlign w:val="center"/>
          </w:tcPr>
          <w:p w14:paraId="0BE6AD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A2C9E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F2871E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995C10D"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resident services manager, and the clinical manager are responsible for the day-to-day operations. The organisational strategic plan informs the site-specific operational objectives which are reviewed on a regular basis. </w:t>
      </w:r>
    </w:p>
    <w:p w14:paraId="211BCDFE" w14:textId="77777777" w:rsidR="00164E58" w:rsidRPr="00A4268A" w:rsidRDefault="00000000">
      <w:pPr>
        <w:spacing w:before="240" w:line="276" w:lineRule="auto"/>
        <w:rPr>
          <w:rFonts w:eastAsia="Calibri"/>
        </w:rPr>
      </w:pPr>
      <w:r w:rsidRPr="00A4268A">
        <w:rPr>
          <w:rFonts w:eastAsia="Calibri"/>
        </w:rPr>
        <w:t xml:space="preserve">Kevin Hickman Retirement Village has a documented quality and risk management system that is directed by Ryman Healthcare. Quality and risk performance is reported across the various facility meetings and to the organisation's management team. Kevin Hickman Retirement Village provides clinical indicator data for the three services being provided. </w:t>
      </w:r>
    </w:p>
    <w:p w14:paraId="42BA3A94" w14:textId="77777777" w:rsidR="00164E58"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w:t>
      </w:r>
    </w:p>
    <w:p w14:paraId="7D66072B" w14:textId="77777777" w:rsidR="00164E58"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4E2E00CB" w14:textId="77777777" w:rsidR="00164E58" w:rsidRPr="00A4268A" w:rsidRDefault="00164E58">
      <w:pPr>
        <w:spacing w:before="240" w:line="276" w:lineRule="auto"/>
        <w:rPr>
          <w:rFonts w:eastAsia="Calibri"/>
        </w:rPr>
      </w:pPr>
    </w:p>
    <w:p w14:paraId="55E1557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6B2FD262" w14:textId="77777777" w:rsidTr="00A4268A">
        <w:trPr>
          <w:cantSplit/>
        </w:trPr>
        <w:tc>
          <w:tcPr>
            <w:tcW w:w="10206" w:type="dxa"/>
            <w:vAlign w:val="center"/>
          </w:tcPr>
          <w:p w14:paraId="4098C1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F4D9E7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C5328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4A6F10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3379D4CA" w14:textId="77777777" w:rsidR="00164E58"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63E52026" w14:textId="77777777" w:rsidR="00164E58" w:rsidRPr="00A4268A" w:rsidRDefault="00000000" w:rsidP="00621629">
      <w:pPr>
        <w:spacing w:before="240" w:line="276" w:lineRule="auto"/>
        <w:rPr>
          <w:rFonts w:eastAsia="Calibri"/>
        </w:rPr>
      </w:pPr>
      <w:r w:rsidRPr="00A4268A">
        <w:rPr>
          <w:rFonts w:eastAsia="Calibri"/>
        </w:rPr>
        <w:lastRenderedPageBreak/>
        <w:t xml:space="preserve">The activities programme meets the individual needs, preferences, and abilities of the residents, with separate calendars for the rest home, hospital, and dementia levels of care.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680F38AE" w14:textId="77777777" w:rsidR="00164E58" w:rsidRPr="00A4268A" w:rsidRDefault="00000000"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2AFE541D" w14:textId="77777777" w:rsidR="00164E58" w:rsidRPr="00A4268A" w:rsidRDefault="00000000" w:rsidP="00621629">
      <w:pPr>
        <w:spacing w:before="240" w:line="276" w:lineRule="auto"/>
        <w:rPr>
          <w:rFonts w:eastAsia="Calibri"/>
        </w:rPr>
      </w:pPr>
      <w:r w:rsidRPr="00A4268A">
        <w:rPr>
          <w:rFonts w:eastAsia="Calibri"/>
        </w:rPr>
        <w:t>Transfer between services is coordinated and planned.</w:t>
      </w:r>
    </w:p>
    <w:bookmarkEnd w:id="22"/>
    <w:p w14:paraId="79ED9B66" w14:textId="77777777" w:rsidR="00164E58" w:rsidRPr="00A4268A" w:rsidRDefault="00164E58" w:rsidP="00621629">
      <w:pPr>
        <w:spacing w:before="240" w:line="276" w:lineRule="auto"/>
        <w:rPr>
          <w:rFonts w:eastAsia="Calibri"/>
        </w:rPr>
      </w:pPr>
    </w:p>
    <w:p w14:paraId="2B6F811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5C6C95B5" w14:textId="77777777" w:rsidTr="00A4268A">
        <w:trPr>
          <w:cantSplit/>
        </w:trPr>
        <w:tc>
          <w:tcPr>
            <w:tcW w:w="10206" w:type="dxa"/>
            <w:vAlign w:val="center"/>
          </w:tcPr>
          <w:p w14:paraId="6FB8B5C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21C23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24CA2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CB82289"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w:t>
      </w:r>
    </w:p>
    <w:p w14:paraId="4F11BD2E" w14:textId="77777777" w:rsidR="00164E58"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There are emergency supplies for at least three days. A staff member trained in resuscitation skills and first aid is always on duty. The appropriate security measures are undertaken.</w:t>
      </w:r>
    </w:p>
    <w:bookmarkEnd w:id="25"/>
    <w:p w14:paraId="76937EA0" w14:textId="77777777" w:rsidR="00164E58" w:rsidRPr="00A4268A" w:rsidRDefault="00164E58">
      <w:pPr>
        <w:spacing w:before="240" w:line="276" w:lineRule="auto"/>
        <w:rPr>
          <w:rFonts w:eastAsia="Calibri"/>
        </w:rPr>
      </w:pPr>
    </w:p>
    <w:p w14:paraId="136DB61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345B3DDF" w14:textId="77777777" w:rsidTr="00A4268A">
        <w:trPr>
          <w:cantSplit/>
        </w:trPr>
        <w:tc>
          <w:tcPr>
            <w:tcW w:w="10206" w:type="dxa"/>
            <w:vAlign w:val="center"/>
          </w:tcPr>
          <w:p w14:paraId="72EE5A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D01A78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85856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B61671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52BD6181" w14:textId="77777777" w:rsidR="00164E58"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465284E1" w14:textId="77777777" w:rsidR="00164E58" w:rsidRPr="00A4268A" w:rsidRDefault="00000000">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There have been outbreaks reported since last audit that were managed effectively. </w:t>
      </w:r>
    </w:p>
    <w:p w14:paraId="66C07E9B" w14:textId="77777777" w:rsidR="00164E58"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01C5FC78" w14:textId="77777777" w:rsidR="00164E58" w:rsidRPr="00A4268A" w:rsidRDefault="00164E58">
      <w:pPr>
        <w:spacing w:before="240" w:line="276" w:lineRule="auto"/>
        <w:rPr>
          <w:rFonts w:eastAsia="Calibri"/>
        </w:rPr>
      </w:pPr>
    </w:p>
    <w:p w14:paraId="23733A3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4E58" w14:paraId="7EF381C4" w14:textId="77777777" w:rsidTr="00A4268A">
        <w:trPr>
          <w:cantSplit/>
        </w:trPr>
        <w:tc>
          <w:tcPr>
            <w:tcW w:w="10206" w:type="dxa"/>
            <w:vAlign w:val="center"/>
          </w:tcPr>
          <w:p w14:paraId="168E54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51C23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94790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EC62B05"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Restraint is not in use at the time of audit. Maintaining a restraint-free environment is included as part of the education and training plan. The service considers least restrictive practices, implementing de-escalation and support techniques and alternative interventions, and only use an approved restraint as the last resort.</w:t>
      </w:r>
    </w:p>
    <w:bookmarkEnd w:id="31"/>
    <w:p w14:paraId="736D5187" w14:textId="77777777" w:rsidR="00164E58" w:rsidRPr="00A4268A" w:rsidRDefault="00164E58">
      <w:pPr>
        <w:spacing w:before="240" w:line="276" w:lineRule="auto"/>
        <w:rPr>
          <w:rFonts w:eastAsia="Calibri"/>
        </w:rPr>
      </w:pPr>
    </w:p>
    <w:p w14:paraId="43DDABC4" w14:textId="77777777" w:rsidR="00000000" w:rsidRDefault="00000000" w:rsidP="000E6E02">
      <w:pPr>
        <w:pStyle w:val="Heading2"/>
        <w:spacing w:before="0"/>
        <w:rPr>
          <w:rFonts w:cs="Arial"/>
        </w:rPr>
      </w:pPr>
      <w:r>
        <w:rPr>
          <w:rFonts w:cs="Arial"/>
        </w:rPr>
        <w:t>Summary of attainment</w:t>
      </w:r>
    </w:p>
    <w:p w14:paraId="2A1364A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64E58" w14:paraId="5F95EEDC" w14:textId="77777777">
        <w:tc>
          <w:tcPr>
            <w:tcW w:w="1384" w:type="dxa"/>
            <w:vAlign w:val="center"/>
          </w:tcPr>
          <w:p w14:paraId="450859F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6F4A24" w14:textId="77777777" w:rsidR="00000000" w:rsidRDefault="00000000">
            <w:pPr>
              <w:keepNext/>
              <w:spacing w:before="60" w:after="60"/>
              <w:jc w:val="center"/>
              <w:rPr>
                <w:rFonts w:cs="Arial"/>
                <w:b/>
                <w:sz w:val="20"/>
                <w:szCs w:val="20"/>
              </w:rPr>
            </w:pPr>
            <w:r>
              <w:rPr>
                <w:rFonts w:cs="Arial"/>
                <w:b/>
                <w:sz w:val="20"/>
                <w:szCs w:val="20"/>
              </w:rPr>
              <w:t>Continuous Improvement</w:t>
            </w:r>
          </w:p>
          <w:p w14:paraId="047C2DE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AF8F2AC" w14:textId="77777777" w:rsidR="00000000" w:rsidRDefault="00000000">
            <w:pPr>
              <w:keepNext/>
              <w:spacing w:before="60" w:after="60"/>
              <w:jc w:val="center"/>
              <w:rPr>
                <w:rFonts w:cs="Arial"/>
                <w:b/>
                <w:sz w:val="20"/>
                <w:szCs w:val="20"/>
              </w:rPr>
            </w:pPr>
            <w:r>
              <w:rPr>
                <w:rFonts w:cs="Arial"/>
                <w:b/>
                <w:sz w:val="20"/>
                <w:szCs w:val="20"/>
              </w:rPr>
              <w:t>Fully Attained</w:t>
            </w:r>
          </w:p>
          <w:p w14:paraId="2B82737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94AB4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7B466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448396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CE09E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5F41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95C0B3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B2834A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0797A9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F6086A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519F341" w14:textId="77777777" w:rsidR="00000000" w:rsidRDefault="00000000">
            <w:pPr>
              <w:keepNext/>
              <w:spacing w:before="60" w:after="60"/>
              <w:jc w:val="center"/>
              <w:rPr>
                <w:rFonts w:cs="Arial"/>
                <w:b/>
                <w:sz w:val="20"/>
                <w:szCs w:val="20"/>
              </w:rPr>
            </w:pPr>
            <w:r>
              <w:rPr>
                <w:rFonts w:cs="Arial"/>
                <w:b/>
                <w:sz w:val="20"/>
                <w:szCs w:val="20"/>
              </w:rPr>
              <w:t>(PA Critical)</w:t>
            </w:r>
          </w:p>
        </w:tc>
      </w:tr>
      <w:tr w:rsidR="00164E58" w14:paraId="3F1DFB9E" w14:textId="77777777">
        <w:tc>
          <w:tcPr>
            <w:tcW w:w="1384" w:type="dxa"/>
            <w:vAlign w:val="center"/>
          </w:tcPr>
          <w:p w14:paraId="15F95D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84700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C9D04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A47D53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CB52E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338636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54A271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8CA2C9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64E58" w14:paraId="3758AD20" w14:textId="77777777">
        <w:tc>
          <w:tcPr>
            <w:tcW w:w="1384" w:type="dxa"/>
            <w:vAlign w:val="center"/>
          </w:tcPr>
          <w:p w14:paraId="7C4AB6E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957F2A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0564D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FFB247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0B39DB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5B621D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73CFCF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C14A9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FF665A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64E58" w14:paraId="4230A5E5" w14:textId="77777777">
        <w:tc>
          <w:tcPr>
            <w:tcW w:w="1384" w:type="dxa"/>
            <w:vAlign w:val="center"/>
          </w:tcPr>
          <w:p w14:paraId="0AA6F7B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79C98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533F8C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DCF7B6" w14:textId="77777777" w:rsidR="00000000" w:rsidRDefault="00000000">
            <w:pPr>
              <w:keepNext/>
              <w:spacing w:before="60" w:after="60"/>
              <w:jc w:val="center"/>
              <w:rPr>
                <w:rFonts w:cs="Arial"/>
                <w:b/>
                <w:sz w:val="20"/>
                <w:szCs w:val="20"/>
              </w:rPr>
            </w:pPr>
            <w:r>
              <w:rPr>
                <w:rFonts w:cs="Arial"/>
                <w:b/>
                <w:sz w:val="20"/>
                <w:szCs w:val="20"/>
              </w:rPr>
              <w:t>Unattained Low Risk</w:t>
            </w:r>
          </w:p>
          <w:p w14:paraId="4917EB2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A49EBE" w14:textId="77777777" w:rsidR="00000000" w:rsidRDefault="00000000">
            <w:pPr>
              <w:keepNext/>
              <w:spacing w:before="60" w:after="60"/>
              <w:jc w:val="center"/>
              <w:rPr>
                <w:rFonts w:cs="Arial"/>
                <w:b/>
                <w:sz w:val="20"/>
                <w:szCs w:val="20"/>
              </w:rPr>
            </w:pPr>
            <w:r>
              <w:rPr>
                <w:rFonts w:cs="Arial"/>
                <w:b/>
                <w:sz w:val="20"/>
                <w:szCs w:val="20"/>
              </w:rPr>
              <w:t>Unattained Moderate Risk</w:t>
            </w:r>
          </w:p>
          <w:p w14:paraId="076AB0A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06962F" w14:textId="77777777" w:rsidR="00000000" w:rsidRDefault="00000000">
            <w:pPr>
              <w:keepNext/>
              <w:spacing w:before="60" w:after="60"/>
              <w:jc w:val="center"/>
              <w:rPr>
                <w:rFonts w:cs="Arial"/>
                <w:b/>
                <w:sz w:val="20"/>
                <w:szCs w:val="20"/>
              </w:rPr>
            </w:pPr>
            <w:r>
              <w:rPr>
                <w:rFonts w:cs="Arial"/>
                <w:b/>
                <w:sz w:val="20"/>
                <w:szCs w:val="20"/>
              </w:rPr>
              <w:t>Unattained High Risk</w:t>
            </w:r>
          </w:p>
          <w:p w14:paraId="4EBC5B6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B0C099D" w14:textId="77777777" w:rsidR="00000000" w:rsidRDefault="00000000">
            <w:pPr>
              <w:keepNext/>
              <w:spacing w:before="60" w:after="60"/>
              <w:jc w:val="center"/>
              <w:rPr>
                <w:rFonts w:cs="Arial"/>
                <w:b/>
                <w:sz w:val="20"/>
                <w:szCs w:val="20"/>
              </w:rPr>
            </w:pPr>
            <w:r>
              <w:rPr>
                <w:rFonts w:cs="Arial"/>
                <w:b/>
                <w:sz w:val="20"/>
                <w:szCs w:val="20"/>
              </w:rPr>
              <w:t>Unattained Critical Risk</w:t>
            </w:r>
          </w:p>
          <w:p w14:paraId="07D99B8A" w14:textId="77777777" w:rsidR="00000000" w:rsidRDefault="00000000">
            <w:pPr>
              <w:keepNext/>
              <w:spacing w:before="60" w:after="60"/>
              <w:jc w:val="center"/>
              <w:rPr>
                <w:rFonts w:cs="Arial"/>
                <w:b/>
                <w:sz w:val="20"/>
                <w:szCs w:val="20"/>
              </w:rPr>
            </w:pPr>
            <w:r>
              <w:rPr>
                <w:rFonts w:cs="Arial"/>
                <w:b/>
                <w:sz w:val="20"/>
                <w:szCs w:val="20"/>
              </w:rPr>
              <w:t>(UA Critical)</w:t>
            </w:r>
          </w:p>
        </w:tc>
      </w:tr>
      <w:tr w:rsidR="00164E58" w14:paraId="2DF98667" w14:textId="77777777">
        <w:tc>
          <w:tcPr>
            <w:tcW w:w="1384" w:type="dxa"/>
            <w:vAlign w:val="center"/>
          </w:tcPr>
          <w:p w14:paraId="5F5914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7813CF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0DC1A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CAF45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0D85A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0CE1B4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64E58" w14:paraId="5AB510EB" w14:textId="77777777">
        <w:tc>
          <w:tcPr>
            <w:tcW w:w="1384" w:type="dxa"/>
            <w:vAlign w:val="center"/>
          </w:tcPr>
          <w:p w14:paraId="58A5F0F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119FB8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CD2AAE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8F24EE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CAEE7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2ACA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F56EDA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4E7D0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C42E81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CFD36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164E58" w14:paraId="42A799A5" w14:textId="77777777">
        <w:tc>
          <w:tcPr>
            <w:tcW w:w="0" w:type="auto"/>
          </w:tcPr>
          <w:p w14:paraId="18ED6CF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7AC8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603A4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64E58" w14:paraId="6ED37B9D" w14:textId="77777777">
        <w:tc>
          <w:tcPr>
            <w:tcW w:w="0" w:type="auto"/>
          </w:tcPr>
          <w:p w14:paraId="32BE14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115F60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8C1016" w14:textId="77777777" w:rsidR="00000000" w:rsidRPr="00BE00C7" w:rsidRDefault="00000000" w:rsidP="00BE00C7">
            <w:pPr>
              <w:pStyle w:val="OutcomeDescription"/>
              <w:spacing w:before="120" w:after="120"/>
              <w:rPr>
                <w:rFonts w:cs="Arial"/>
                <w:lang w:eastAsia="en-NZ"/>
              </w:rPr>
            </w:pPr>
          </w:p>
        </w:tc>
        <w:tc>
          <w:tcPr>
            <w:tcW w:w="0" w:type="auto"/>
          </w:tcPr>
          <w:p w14:paraId="5251CF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93E0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The Hauora Māori Plan Partnership &amp; Te Tiriti o Waitangi policy is documented to guide practice and service provided to residents at Kevin Hickman Retirement Village. Policies are developed in partnership with relevant teams, whānau representation, and cultural groups. A dedicated Nau Mai Haere Mai Māori Cultural Resource SharePoint page, developed with internal and external collaboration, including Kaumātua, Whare Creative and team members who identify as Māori is accessible to all staff. At the time of the audit there were residents who identified as Māori. There are clear processes to include tikanga in everyday practice and training for staff. </w:t>
            </w:r>
          </w:p>
          <w:p w14:paraId="6F0A8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Kevin Hickman Retirement Village has extensive links with local marae, kaumātua, kuia and other providers in the community. These established relationships ensure provision of guidance to the service regarding cultural practices, providing interpreting support as required as well as engagement for Māori residents in community cultural activities. Residents and family/whānau at Kevin Hickman retirement village engage in providing input into the resident’s care planning, their activities, and their dietary needs. The service can also access kaumātua from Health New Zealand for support and guidance. Cultural assessments are completed for residents who identify as Māori when </w:t>
            </w:r>
            <w:r w:rsidRPr="00BE00C7">
              <w:rPr>
                <w:rFonts w:cs="Arial"/>
                <w:lang w:eastAsia="en-NZ"/>
              </w:rPr>
              <w:lastRenderedPageBreak/>
              <w:t xml:space="preserve">admitted. </w:t>
            </w:r>
          </w:p>
          <w:p w14:paraId="0282D1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Kevin Hickman Retirement Village focuses on recruitment practices which includes building a diverse workforce that meets the needs of the residents receiving care and support. The regional operations manager stated that they support increasing Māori capacity within the workforce and will employ Māori applicants when they do apply for employment opportunities at the service. At the time of the audit there were staff who identified as Māori who support the service in implementing the principles and ensuring recognition of the importance of tāngata Māori. Kevin Hickman Retirement Village evidence commitment to a culturally diverse workforce as demonstrated in the Hauora Māori Plan Partnership and Te Tiriti o Waitangi policy. </w:t>
            </w:r>
          </w:p>
          <w:p w14:paraId="6FA9C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5FEF9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22 staff (ten caregivers, five registered nurses [including two unit coordinators], one laundry staff, two cleaners, one lead maintenance, one lead chef, two activity and lifestyle coordinators), and six managers (regional operations manager, operations quality lead, regional clinical lead, village manager, clinical manager, resident services manager), and documentation reviewed described how care is based on the resident’s individual values and beliefs. The service accesses online training that covers Māori health development, cultural diversity and cultural awareness, safety, and spirituality training, which support the principles of Te Tiriti o Waitangi. All staff have completed training around Te Tiriti o Waitangi. </w:t>
            </w:r>
          </w:p>
          <w:p w14:paraId="05B0E87B" w14:textId="77777777" w:rsidR="00000000" w:rsidRPr="00BE00C7" w:rsidRDefault="00000000" w:rsidP="00BE00C7">
            <w:pPr>
              <w:pStyle w:val="OutcomeDescription"/>
              <w:spacing w:before="120" w:after="120"/>
              <w:rPr>
                <w:rFonts w:cs="Arial"/>
                <w:lang w:eastAsia="en-NZ"/>
              </w:rPr>
            </w:pPr>
          </w:p>
        </w:tc>
      </w:tr>
      <w:tr w:rsidR="00164E58" w14:paraId="10014A78" w14:textId="77777777">
        <w:tc>
          <w:tcPr>
            <w:tcW w:w="0" w:type="auto"/>
          </w:tcPr>
          <w:p w14:paraId="423A3A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EE08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17813585" w14:textId="77777777" w:rsidR="00000000" w:rsidRPr="00BE00C7" w:rsidRDefault="00000000" w:rsidP="00BE00C7">
            <w:pPr>
              <w:pStyle w:val="OutcomeDescription"/>
              <w:spacing w:before="120" w:after="120"/>
              <w:rPr>
                <w:rFonts w:cs="Arial"/>
                <w:lang w:eastAsia="en-NZ"/>
              </w:rPr>
            </w:pPr>
          </w:p>
        </w:tc>
        <w:tc>
          <w:tcPr>
            <w:tcW w:w="0" w:type="auto"/>
          </w:tcPr>
          <w:p w14:paraId="52EEE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488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has a health plan for Pacific residents. The Providing Services for Pacific Elders and Other Ethnicities policy is documented which acknowledges respectful relationships, valuing family/whānau, and providing high quality health care. The service has Pacific linkages through their own staff with community activities, cultural celebrations, leaders, and church groups relevant to residents’ preferences and needs. </w:t>
            </w:r>
          </w:p>
          <w:p w14:paraId="248A71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the audit there were residents that identified as Pasifika. On admission all residents state their ethnicity, which is recorded in their individual files. The unit coordinators and registered nurses advised that family/whānau members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 The Code is accessible in Tongan, Samoan, and other Pasifika languages when required.</w:t>
            </w:r>
          </w:p>
          <w:p w14:paraId="6E352F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quality lead confirmed how they support staff that identify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share worldviews of Pacific people with staff and residents. </w:t>
            </w:r>
          </w:p>
          <w:p w14:paraId="09760743" w14:textId="77777777" w:rsidR="00000000" w:rsidRPr="00BE00C7" w:rsidRDefault="00000000" w:rsidP="00BE00C7">
            <w:pPr>
              <w:pStyle w:val="OutcomeDescription"/>
              <w:spacing w:before="120" w:after="120"/>
              <w:rPr>
                <w:rFonts w:cs="Arial"/>
                <w:lang w:eastAsia="en-NZ"/>
              </w:rPr>
            </w:pPr>
          </w:p>
        </w:tc>
      </w:tr>
      <w:tr w:rsidR="00164E58" w14:paraId="26CA31B2" w14:textId="77777777">
        <w:tc>
          <w:tcPr>
            <w:tcW w:w="0" w:type="auto"/>
          </w:tcPr>
          <w:p w14:paraId="1C9288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C951F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FE8D425" w14:textId="77777777" w:rsidR="00000000" w:rsidRPr="00BE00C7" w:rsidRDefault="00000000" w:rsidP="00BE00C7">
            <w:pPr>
              <w:pStyle w:val="OutcomeDescription"/>
              <w:spacing w:before="120" w:after="120"/>
              <w:rPr>
                <w:rFonts w:cs="Arial"/>
                <w:lang w:eastAsia="en-NZ"/>
              </w:rPr>
            </w:pPr>
          </w:p>
        </w:tc>
        <w:tc>
          <w:tcPr>
            <w:tcW w:w="0" w:type="auto"/>
          </w:tcPr>
          <w:p w14:paraId="621F5A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DD9A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family/whānau meetings provide a forum to discuss any concerns. </w:t>
            </w:r>
          </w:p>
          <w:p w14:paraId="3B7A78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645C8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residents (six rest home and one hospital) and eight family/whānau (four rest home, three hospital and one dementia) interviewed stated they felt their rights were upheld and they were treated with dignity, respect, and kindness. The residents and </w:t>
            </w:r>
            <w:r w:rsidRPr="00BE00C7">
              <w:rPr>
                <w:rFonts w:cs="Arial"/>
                <w:lang w:eastAsia="en-NZ"/>
              </w:rPr>
              <w:lastRenderedPageBreak/>
              <w:t>family/whānau felt they were encouraged to make their own choices. Interactions observed between staff and residents were respectful. Caregivers and registered nurses interviewed described how they support residents to choose what they want to do and be as independent as they are able.</w:t>
            </w:r>
          </w:p>
          <w:p w14:paraId="4BEEA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as indicated for Māori residents. Clinical staff described their awareness of how to support Māori residents and their family/whānau by identifying what is important to them, enabling self-determination and authority in decision-making that supports health and wellbeing. </w:t>
            </w:r>
          </w:p>
          <w:p w14:paraId="1D998D30" w14:textId="77777777" w:rsidR="00000000" w:rsidRPr="00BE00C7" w:rsidRDefault="00000000" w:rsidP="00BE00C7">
            <w:pPr>
              <w:pStyle w:val="OutcomeDescription"/>
              <w:spacing w:before="120" w:after="120"/>
              <w:rPr>
                <w:rFonts w:cs="Arial"/>
                <w:lang w:eastAsia="en-NZ"/>
              </w:rPr>
            </w:pPr>
          </w:p>
        </w:tc>
      </w:tr>
      <w:tr w:rsidR="00164E58" w14:paraId="15D27770" w14:textId="77777777">
        <w:tc>
          <w:tcPr>
            <w:tcW w:w="0" w:type="auto"/>
          </w:tcPr>
          <w:p w14:paraId="35E149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ECEFE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60F56B4" w14:textId="77777777" w:rsidR="00000000" w:rsidRPr="00BE00C7" w:rsidRDefault="00000000" w:rsidP="00BE00C7">
            <w:pPr>
              <w:pStyle w:val="OutcomeDescription"/>
              <w:spacing w:before="120" w:after="120"/>
              <w:rPr>
                <w:rFonts w:cs="Arial"/>
                <w:lang w:eastAsia="en-NZ"/>
              </w:rPr>
            </w:pPr>
          </w:p>
        </w:tc>
        <w:tc>
          <w:tcPr>
            <w:tcW w:w="0" w:type="auto"/>
          </w:tcPr>
          <w:p w14:paraId="157DFA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F27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kaumātua, tikanga Māori (Māori Culture), best practice and providing services for Pacific Elders and other ethnic groups. </w:t>
            </w:r>
          </w:p>
          <w:p w14:paraId="1DD63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and training provided in 2024-2025 and in the current year includes (but is not limited to): sexuality/intimacy; informed consent; the Code; consent; abuse and neglect; advocacy; spirituality; cultural safety, and tikanga Māori. The spirituality, counselling and chaplaincy policy is in place and is understood by care staff. The caregivers and registered nurses described how they implement a rights-based model of service provision through their focus on delivering a person-centred model of care. </w:t>
            </w:r>
          </w:p>
          <w:p w14:paraId="3EEA2B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family/whānau interviewed were positive about </w:t>
            </w:r>
            <w:r w:rsidRPr="00BE00C7">
              <w:rPr>
                <w:rFonts w:cs="Arial"/>
                <w:lang w:eastAsia="en-NZ"/>
              </w:rPr>
              <w:lastRenderedPageBreak/>
              <w:t xml:space="preserve">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388BF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family/whānau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on files reviewed. Electronic myRyman care plans identified resident’s preferred names. MyRyman cultural assessment information naturally weaves through care planning. The service demonstrated an understanding of how to respond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6DCABD71" w14:textId="77777777" w:rsidR="00000000" w:rsidRPr="00BE00C7" w:rsidRDefault="00000000" w:rsidP="00BE00C7">
            <w:pPr>
              <w:pStyle w:val="OutcomeDescription"/>
              <w:spacing w:before="120" w:after="120"/>
              <w:rPr>
                <w:rFonts w:cs="Arial"/>
                <w:lang w:eastAsia="en-NZ"/>
              </w:rPr>
            </w:pPr>
          </w:p>
        </w:tc>
      </w:tr>
      <w:tr w:rsidR="00164E58" w14:paraId="29956C95" w14:textId="77777777">
        <w:tc>
          <w:tcPr>
            <w:tcW w:w="0" w:type="auto"/>
          </w:tcPr>
          <w:p w14:paraId="463CC0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39EC8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D852DF3" w14:textId="77777777" w:rsidR="00000000" w:rsidRPr="00BE00C7" w:rsidRDefault="00000000" w:rsidP="00BE00C7">
            <w:pPr>
              <w:pStyle w:val="OutcomeDescription"/>
              <w:spacing w:before="120" w:after="120"/>
              <w:rPr>
                <w:rFonts w:cs="Arial"/>
                <w:lang w:eastAsia="en-NZ"/>
              </w:rPr>
            </w:pPr>
          </w:p>
        </w:tc>
        <w:tc>
          <w:tcPr>
            <w:tcW w:w="0" w:type="auto"/>
          </w:tcPr>
          <w:p w14:paraId="194097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FB03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Ryman Code of Residents Rights and follows the Code, which supports the consumer to be treated fairly and with respect, free from discrimination, harassment, and exploitation. Policies reflect acceptable and unacceptable behaviours. Training around bullying and harassment is held annually. </w:t>
            </w:r>
          </w:p>
          <w:p w14:paraId="01C335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on all staff as part of the employment process. A staff code of conduct/house rules is discussed during the new employee’s induction to the service and is signed by the new employee. </w:t>
            </w:r>
          </w:p>
          <w:p w14:paraId="38F59D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w:t>
            </w:r>
            <w:r w:rsidRPr="00BE00C7">
              <w:rPr>
                <w:rFonts w:cs="Arial"/>
                <w:lang w:eastAsia="en-NZ"/>
              </w:rPr>
              <w:lastRenderedPageBreak/>
              <w:t xml:space="preserve">Staff interviewed could easily describe signs and symptoms of abuse they may witness and were aware of how to escalate their concerns. Residents have enduring power of attorney for finance and wellbeing documented in their files. Residents in the dementia unit have enacted enduring power of attorney documents in their files (sighted). Residents have property documented and signed for on entry to the service. Residents and family/whānau have written information on residents’ possessions and accountability for management of resident’s possessions within the resident’s signed service level agreement. </w:t>
            </w:r>
          </w:p>
          <w:p w14:paraId="41AAD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(April 2025). Staff are educated on how to value the older person, showing them respect and dignity. All residents interviewed confirmed that the staff are very caring, supportive, and respectful. Family/whānau interviewed confirmed that the care provided to their family/ whānau is of a high standard.</w:t>
            </w:r>
          </w:p>
          <w:p w14:paraId="533168FC" w14:textId="77777777" w:rsidR="00000000" w:rsidRPr="00BE00C7" w:rsidRDefault="00000000" w:rsidP="00BE00C7">
            <w:pPr>
              <w:pStyle w:val="OutcomeDescription"/>
              <w:spacing w:before="120" w:after="120"/>
              <w:rPr>
                <w:rFonts w:cs="Arial"/>
                <w:lang w:eastAsia="en-NZ"/>
              </w:rPr>
            </w:pPr>
          </w:p>
        </w:tc>
      </w:tr>
      <w:tr w:rsidR="00164E58" w14:paraId="13314BA8" w14:textId="77777777">
        <w:tc>
          <w:tcPr>
            <w:tcW w:w="0" w:type="auto"/>
          </w:tcPr>
          <w:p w14:paraId="64734C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63FF4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E84A200" w14:textId="77777777" w:rsidR="00000000" w:rsidRPr="00BE00C7" w:rsidRDefault="00000000" w:rsidP="00BE00C7">
            <w:pPr>
              <w:pStyle w:val="OutcomeDescription"/>
              <w:spacing w:before="120" w:after="120"/>
              <w:rPr>
                <w:rFonts w:cs="Arial"/>
                <w:lang w:eastAsia="en-NZ"/>
              </w:rPr>
            </w:pPr>
          </w:p>
        </w:tc>
        <w:tc>
          <w:tcPr>
            <w:tcW w:w="0" w:type="auto"/>
          </w:tcPr>
          <w:p w14:paraId="5147AC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C29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 monthly resident meetings and six-monthly family/whānau meetings identify feedback from residents and consequent follow up by the service. 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w:t>
            </w:r>
          </w:p>
          <w:p w14:paraId="56016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During the audit, all residents were able to communicate in English. Staff interviewed confirmed the use of staff as interpreter’s, family/whānau, cue cards, </w:t>
            </w:r>
            <w:r w:rsidRPr="00BE00C7">
              <w:rPr>
                <w:rFonts w:cs="Arial"/>
                <w:lang w:eastAsia="en-NZ"/>
              </w:rPr>
              <w:lastRenderedPageBreak/>
              <w:t>picture charts, and online translation tools, if there were residents who could not speak English. Staff completed training in communication related to residents with sensory deficits.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0FDBE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Nurse Maude,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unit coordinators and registered nurses described an implemented process around providing residents with time for discussion around care, time to consider decisions, and opportunity for further discussion, if required. Family/whānau interviewed stated they receive appropriate timely notification to attend.</w:t>
            </w:r>
          </w:p>
          <w:p w14:paraId="01CC3C48" w14:textId="77777777" w:rsidR="00000000" w:rsidRPr="00BE00C7" w:rsidRDefault="00000000" w:rsidP="00BE00C7">
            <w:pPr>
              <w:pStyle w:val="OutcomeDescription"/>
              <w:spacing w:before="120" w:after="120"/>
              <w:rPr>
                <w:rFonts w:cs="Arial"/>
                <w:lang w:eastAsia="en-NZ"/>
              </w:rPr>
            </w:pPr>
          </w:p>
        </w:tc>
      </w:tr>
      <w:tr w:rsidR="00164E58" w14:paraId="12586902" w14:textId="77777777">
        <w:tc>
          <w:tcPr>
            <w:tcW w:w="0" w:type="auto"/>
          </w:tcPr>
          <w:p w14:paraId="65303A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62F39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CAF2989" w14:textId="77777777" w:rsidR="00000000" w:rsidRPr="00BE00C7" w:rsidRDefault="00000000" w:rsidP="00BE00C7">
            <w:pPr>
              <w:pStyle w:val="OutcomeDescription"/>
              <w:spacing w:before="120" w:after="120"/>
              <w:rPr>
                <w:rFonts w:cs="Arial"/>
                <w:lang w:eastAsia="en-NZ"/>
              </w:rPr>
            </w:pPr>
          </w:p>
        </w:tc>
        <w:tc>
          <w:tcPr>
            <w:tcW w:w="0" w:type="auto"/>
          </w:tcPr>
          <w:p w14:paraId="46D94D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795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Nine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Discussions with care staff confirmed that they are familiar with the requirements to obtain informed consent for entering rooms and supporting in personal care. </w:t>
            </w:r>
          </w:p>
          <w:p w14:paraId="5EB363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as with the </w:t>
            </w:r>
            <w:r w:rsidRPr="00BE00C7">
              <w:rPr>
                <w:rFonts w:cs="Arial"/>
                <w:lang w:eastAsia="en-NZ"/>
              </w:rPr>
              <w:lastRenderedPageBreak/>
              <w:t xml:space="preserve">residents in the dementia unit (special care unit). </w:t>
            </w:r>
          </w:p>
          <w:p w14:paraId="22FDAEE6"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Code, informed consent, and enduring power of attorney, as part of orientation and mandatory training.</w:t>
            </w:r>
          </w:p>
          <w:p w14:paraId="792B6F43" w14:textId="77777777" w:rsidR="00000000" w:rsidRPr="00BE00C7" w:rsidRDefault="00000000" w:rsidP="00BE00C7">
            <w:pPr>
              <w:pStyle w:val="OutcomeDescription"/>
              <w:spacing w:before="120" w:after="120"/>
              <w:rPr>
                <w:rFonts w:cs="Arial"/>
                <w:lang w:eastAsia="en-NZ"/>
              </w:rPr>
            </w:pPr>
          </w:p>
        </w:tc>
      </w:tr>
      <w:tr w:rsidR="00164E58" w14:paraId="18E4CBDE" w14:textId="77777777">
        <w:tc>
          <w:tcPr>
            <w:tcW w:w="0" w:type="auto"/>
          </w:tcPr>
          <w:p w14:paraId="64C13B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40FE7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289656" w14:textId="77777777" w:rsidR="00000000" w:rsidRPr="00BE00C7" w:rsidRDefault="00000000" w:rsidP="00BE00C7">
            <w:pPr>
              <w:pStyle w:val="OutcomeDescription"/>
              <w:spacing w:before="120" w:after="120"/>
              <w:rPr>
                <w:rFonts w:cs="Arial"/>
                <w:lang w:eastAsia="en-NZ"/>
              </w:rPr>
            </w:pPr>
          </w:p>
        </w:tc>
        <w:tc>
          <w:tcPr>
            <w:tcW w:w="0" w:type="auto"/>
          </w:tcPr>
          <w:p w14:paraId="1D1C51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749F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w:t>
            </w:r>
          </w:p>
          <w:p w14:paraId="2F12F2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complaints have been made since June 2025 (three in 2025 and six in 2026 year to date). The complaints reviewed evidenced acknowledgement of the lodged complaint and an investigation, communication with the complainants and outcomes to the satisfaction of the complainants. There have been no external complaints received from other agencies. </w:t>
            </w:r>
          </w:p>
          <w:p w14:paraId="04EC1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complaints and subsequent corrective actions are discussed at meetings. </w:t>
            </w:r>
          </w:p>
          <w:p w14:paraId="70633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 </w:t>
            </w:r>
          </w:p>
          <w:p w14:paraId="2964BE49" w14:textId="77777777" w:rsidR="00000000" w:rsidRPr="00BE00C7" w:rsidRDefault="00000000" w:rsidP="00BE00C7">
            <w:pPr>
              <w:pStyle w:val="OutcomeDescription"/>
              <w:spacing w:before="120" w:after="120"/>
              <w:rPr>
                <w:rFonts w:cs="Arial"/>
                <w:lang w:eastAsia="en-NZ"/>
              </w:rPr>
            </w:pPr>
          </w:p>
        </w:tc>
      </w:tr>
      <w:tr w:rsidR="00164E58" w14:paraId="7EC61104" w14:textId="77777777">
        <w:tc>
          <w:tcPr>
            <w:tcW w:w="0" w:type="auto"/>
          </w:tcPr>
          <w:p w14:paraId="1C6DB2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7733F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B5E613B" w14:textId="77777777" w:rsidR="00000000" w:rsidRPr="00BE00C7" w:rsidRDefault="00000000" w:rsidP="00BE00C7">
            <w:pPr>
              <w:pStyle w:val="OutcomeDescription"/>
              <w:spacing w:before="120" w:after="120"/>
              <w:rPr>
                <w:rFonts w:cs="Arial"/>
                <w:lang w:eastAsia="en-NZ"/>
              </w:rPr>
            </w:pPr>
          </w:p>
        </w:tc>
        <w:tc>
          <w:tcPr>
            <w:tcW w:w="0" w:type="auto"/>
          </w:tcPr>
          <w:p w14:paraId="4EC4F3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4BBCA"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Kevin Hickman Retirement Village is a Ryman Healthcare facility located in Christchurch. This is a newly built facility and serviced apartments that opened in June 2025 and provide care for up to 110 residents. This 80-bed care centre is located across three levels. All 60 beds in the hospital (geriatric and medical) and rest home are certified as dual-purpose. There is a 20 bed dementia (special care) unit (SCU), on ground level (Darfield East). Twenty-six serviced apartments are certified for rest home level and four serviced apartments adjacent to the care centre wings are certified dual-purpose. There were no residents receiving rest home care in the serviced apartments. All rooms are single occupancy.</w:t>
            </w:r>
          </w:p>
          <w:p w14:paraId="3A6517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74 residents: 19 dementia level care; 37 rest home level care residents in the care centre and 18 hospital level care, including one on respite care and one funded under an end of life (EOL) contract. All the other residents were under the age-related residential care (ARRC) agreement. </w:t>
            </w:r>
          </w:p>
          <w:p w14:paraId="535521A4"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03F872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improve Māori and people with disabilities wellbeing </w:t>
            </w:r>
            <w:r w:rsidRPr="00BE00C7">
              <w:rPr>
                <w:rFonts w:cs="Arial"/>
                <w:lang w:eastAsia="en-NZ"/>
              </w:rPr>
              <w:lastRenderedPageBreak/>
              <w:t xml:space="preserve">outcomes. Reports are regularly provided to the Board and senior leadership to address inequity as required. A dedicated Nau Mai Haere Mai Māori Cultural Resource SharePoint page, developed with internal and external collaboration, including kaumātua support to the Board. The Board ensures compliance with legislative, contractual, and regulatory requirements. </w:t>
            </w:r>
          </w:p>
          <w:p w14:paraId="6D452EF6"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is provided to ensure competence with Te Tiriti, health equity, and cultural safety. A cultural advisor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w:t>
            </w:r>
          </w:p>
          <w:p w14:paraId="12278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11A8C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post admission surveys, annual satisfaction surveys and through feedback from resident and family/whānau meetings. These avenues offer tāngata whaikaha the opportunity to provide feedback around how Kevin Hickman Retirement Village can deliver a service to improve outcomes and achieve equity for tāngata whaikaha. </w:t>
            </w:r>
          </w:p>
          <w:p w14:paraId="13D252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Kevin Hickman Retirement Village business ‘plan on a page’ FY26 is based around Ryman strategic direction and reflect the values and philosophy of providing quality of care, manage internal and external risk, opening of a new facility with sustainable financial results. There are village </w:t>
            </w:r>
            <w:r w:rsidRPr="00BE00C7">
              <w:rPr>
                <w:rFonts w:cs="Arial"/>
                <w:lang w:eastAsia="en-NZ"/>
              </w:rPr>
              <w:lastRenderedPageBreak/>
              <w:t xml:space="preserve">objectives documented and these are reviewed quarterly. </w:t>
            </w:r>
          </w:p>
          <w:p w14:paraId="06B55306"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and staff input through feedback and meetings. All of this is discussed/reviewed from Board level down to village level.</w:t>
            </w:r>
          </w:p>
          <w:p w14:paraId="753EC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Kevin Hickman Retirement Village has been in the role for six weeks. They succeeded the previous village manager who worked at Kevin Hickman Retirement Village for 3 years. The resident services manager acted as the interim village manager for the last five months. The current village manager is a registered nurse with more than seven years’ experience in management of aged care facilities. The clinical manager has been in the role since the care facility opened. </w:t>
            </w:r>
          </w:p>
          <w:p w14:paraId="055788DA" w14:textId="77777777" w:rsidR="00000000" w:rsidRPr="00BE00C7" w:rsidRDefault="00000000" w:rsidP="00BE00C7">
            <w:pPr>
              <w:pStyle w:val="OutcomeDescription"/>
              <w:spacing w:before="120" w:after="120"/>
              <w:rPr>
                <w:rFonts w:cs="Arial"/>
                <w:lang w:eastAsia="en-NZ"/>
              </w:rPr>
            </w:pPr>
            <w:r w:rsidRPr="00BE00C7">
              <w:rPr>
                <w:rFonts w:cs="Arial"/>
                <w:lang w:eastAsia="en-NZ"/>
              </w:rPr>
              <w:t>A clinical manager and village manager are well inducted to their roles, and the clinical manager completed the Ryman endorsed leadership programmes. The management team (village manager, clinical manager and resident services manager) was supported at this audit by the GM operations, operations quality lead and regional clinical lead.</w:t>
            </w:r>
          </w:p>
          <w:p w14:paraId="0A29C061" w14:textId="77777777" w:rsidR="00000000" w:rsidRPr="00BE00C7" w:rsidRDefault="00000000" w:rsidP="00BE00C7">
            <w:pPr>
              <w:pStyle w:val="OutcomeDescription"/>
              <w:spacing w:before="120" w:after="120"/>
              <w:rPr>
                <w:rFonts w:cs="Arial"/>
                <w:lang w:eastAsia="en-NZ"/>
              </w:rPr>
            </w:pPr>
          </w:p>
        </w:tc>
      </w:tr>
      <w:tr w:rsidR="00164E58" w14:paraId="579CF140" w14:textId="77777777">
        <w:tc>
          <w:tcPr>
            <w:tcW w:w="0" w:type="auto"/>
          </w:tcPr>
          <w:p w14:paraId="0F87C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6EE2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A1AE9FE" w14:textId="77777777" w:rsidR="00000000" w:rsidRPr="00BE00C7" w:rsidRDefault="00000000" w:rsidP="00BE00C7">
            <w:pPr>
              <w:pStyle w:val="OutcomeDescription"/>
              <w:spacing w:before="120" w:after="120"/>
              <w:rPr>
                <w:rFonts w:cs="Arial"/>
                <w:lang w:eastAsia="en-NZ"/>
              </w:rPr>
            </w:pPr>
          </w:p>
        </w:tc>
        <w:tc>
          <w:tcPr>
            <w:tcW w:w="0" w:type="auto"/>
          </w:tcPr>
          <w:p w14:paraId="558FA7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C7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Kevin Hickman Retirement Village is implementing the Ryman quality and risk management programme. A strength, weakness, opportunities, and threats (SWOT) analysis is included as part of the business plan. Quality goals for 2026 are documented and progress towards quality goals are regularly reviewed. Two Ryman aged care facilities (rest home) closed in Christchurch and the residents residing in the two facilities including the staff were transferred (between June 2025 to October 2025) in planned stages to Kevin Hickman Retirement Village. The focus since opening the new care centre was to create a cohesive team culture and embedding the Ryman processes within the new facility. Furthermore, staff are continuously upskilled with a comprehensive orientation and education programme to meet residents’ needs. </w:t>
            </w:r>
          </w:p>
          <w:p w14:paraId="5B28A7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The service actively looks for opportunities to improve the </w:t>
            </w:r>
            <w:r w:rsidRPr="00BE00C7">
              <w:rPr>
                <w:rFonts w:cs="Arial"/>
                <w:lang w:eastAsia="en-NZ"/>
              </w:rPr>
              <w:lastRenderedPageBreak/>
              <w:t xml:space="preserve">falls prevention programme to decrease falls within the care facility. </w:t>
            </w:r>
          </w:p>
          <w:p w14:paraId="41A8B2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including monthly full facility meetings, health and safety, RN meetings, two monthly infection control, and six-monthly restraint meetings. There are weekly managers/quality meetings. Discussions include (but are not limited to): quality data; health and safety; infection prevention and control/pandemic strategies; complaints received (if any); staffing; and education. Internal audits, meetings, and collation of data were documented as taking place corrective actions have been documented to address service improvements. Quality data and trends in data are posted in the staffroom. Data is benchmarked and analysed within the organisation and at a national level. </w:t>
            </w:r>
          </w:p>
          <w:p w14:paraId="7FD435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February 2026 resident and family/whānau satisfaction survey were to be collated and analysed and the results were not yet available at the time of the audit. The general manager operations provided post admission survey results and comments collated by Ryman head office. The initial comments related to a smooth transition and the care being delivered were positive. </w:t>
            </w:r>
          </w:p>
          <w:p w14:paraId="0B23F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Kevin Hickman Retirement Village implements a continuous quality improvement approach with service delivery, including critical review of clinical data and benchmarking and identifying opportunities for improvement. </w:t>
            </w:r>
          </w:p>
          <w:p w14:paraId="7E8AC1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Cultural safety reflects throughout the quality system and staff are provided with cultural training to provide high quality services for Māori.</w:t>
            </w:r>
          </w:p>
          <w:p w14:paraId="2C3C2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service has a health and safety committee in place with representatives from all the service areas. The health and safety representative interviewed confirmed that the committee maintains oversight of the health and safety and contractor management on site. Hazard identification forms and an up-to-date electronic hazard and risk </w:t>
            </w:r>
            <w:r w:rsidRPr="00BE00C7">
              <w:rPr>
                <w:rFonts w:cs="Arial"/>
                <w:lang w:eastAsia="en-NZ"/>
              </w:rPr>
              <w:lastRenderedPageBreak/>
              <w:t xml:space="preserve">register were sighted. A current hazard and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implement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There have not been any serious incidents reported to WorkSafe NZ since last audit. </w:t>
            </w:r>
          </w:p>
          <w:p w14:paraId="1BCBF2B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incidents and accidents are recorded on the myRyman resident management system, and data is collated through the electronic system. The incident forms reviewed evidenced immediate action noted and any follow-up action(s) required. Incident and accident data is collated monthly and analysed. Results are discussed in the management/quality and full facility meetings and at handover. Each event involving a resident reflected a clinical assessment and follow up by a registered nurse. All external and internal risks and opportunities, including potential inequities, are responded to.</w:t>
            </w:r>
          </w:p>
          <w:p w14:paraId="7A2B282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previous audit. The change in village manager was notified to HealthCERT. There have been four outbreaks which were appropriately reported to the Ryman’s IPAS Nurse Specialist and Public Health.</w:t>
            </w:r>
          </w:p>
          <w:p w14:paraId="64B0398E" w14:textId="77777777" w:rsidR="00000000" w:rsidRPr="00BE00C7" w:rsidRDefault="00000000" w:rsidP="00BE00C7">
            <w:pPr>
              <w:pStyle w:val="OutcomeDescription"/>
              <w:spacing w:before="120" w:after="120"/>
              <w:rPr>
                <w:rFonts w:cs="Arial"/>
                <w:lang w:eastAsia="en-NZ"/>
              </w:rPr>
            </w:pPr>
          </w:p>
        </w:tc>
      </w:tr>
      <w:tr w:rsidR="00164E58" w14:paraId="3064E8AF" w14:textId="77777777">
        <w:tc>
          <w:tcPr>
            <w:tcW w:w="0" w:type="auto"/>
          </w:tcPr>
          <w:p w14:paraId="3ADFF6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127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51BC53" w14:textId="77777777" w:rsidR="00000000" w:rsidRPr="00BE00C7" w:rsidRDefault="00000000" w:rsidP="00BE00C7">
            <w:pPr>
              <w:pStyle w:val="OutcomeDescription"/>
              <w:spacing w:before="120" w:after="120"/>
              <w:rPr>
                <w:rFonts w:cs="Arial"/>
                <w:lang w:eastAsia="en-NZ"/>
              </w:rPr>
            </w:pPr>
          </w:p>
        </w:tc>
        <w:tc>
          <w:tcPr>
            <w:tcW w:w="0" w:type="auto"/>
          </w:tcPr>
          <w:p w14:paraId="42B266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1E14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and resident services manager work Monday to Friday. The clinical manager works Sunday to Thursday. Furthermore, there are three unit-coordinators (one for the serviced </w:t>
            </w:r>
            <w:r w:rsidRPr="00BE00C7">
              <w:rPr>
                <w:rFonts w:cs="Arial"/>
                <w:lang w:eastAsia="en-NZ"/>
              </w:rPr>
              <w:lastRenderedPageBreak/>
              <w:t xml:space="preserve">apartments; one for the special care /rest home and one for the dual purpose unit. The roster reviewed demonstrates that unit coordinators ensure there is seven days cover, with at least one senior clinical staff on site. The unit coordinators and clinical manager share on call after hours for all clinical matters. The village manager and resident services manager are on call 24/7 for any non-clinical concerns. The maintenance lead is available for maintenance and property related calls. There are separate staff dedicated to laundry, cleaning, recreation, maintenance, and food services. </w:t>
            </w:r>
          </w:p>
          <w:p w14:paraId="0A0240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registered nurses 24/7 on site to provide clinical oversight. Feedback from the registered nurses were positive. There is a registered nurse in the special care unit seven days a week; five of the seven days are covered by the unit coordinator.</w:t>
            </w:r>
          </w:p>
          <w:p w14:paraId="136539D2"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previous six-week planned roster provides sufficient and appropriate coverage for the effective delivery of care and support to meet the needs of the service and provide culturally, and clinically safe services proportionate to the needs and number of residents on site. There is a registered nurse on each shift. The number of caregivers on each shift is sufficient for the acuity, layout of the facility, support with the workload, and to provide safe and timely care. Caregivers are replaced for planned absences or sick leave. Agency staff are also used to replace registered nurses and caregivers. At the time of the audit, caregivers were allocated to providing and facilitating activities in the special care unit covering sick leave for the diversional therapist.</w:t>
            </w:r>
          </w:p>
          <w:p w14:paraId="2D67F299" w14:textId="77777777" w:rsidR="00000000" w:rsidRPr="00BE00C7" w:rsidRDefault="00000000" w:rsidP="00BE00C7">
            <w:pPr>
              <w:pStyle w:val="OutcomeDescription"/>
              <w:spacing w:before="120" w:after="120"/>
              <w:rPr>
                <w:rFonts w:cs="Arial"/>
                <w:lang w:eastAsia="en-NZ"/>
              </w:rPr>
            </w:pPr>
            <w:r w:rsidRPr="00BE00C7">
              <w:rPr>
                <w:rFonts w:cs="Arial"/>
                <w:lang w:eastAsia="en-NZ"/>
              </w:rPr>
              <w:t>A Ryman cover pool is still being established. Staff and residents are informed when there are changes to staffing levels, evidenced in meeting minutes. Residents confirm their care requirements are attended to in a timely manner.</w:t>
            </w:r>
          </w:p>
          <w:p w14:paraId="07D2B2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staff were visible and were attending to call bells in a timely manner, as confirmed by the residents interviewed. Staff interviewed stated that overall, the staffing levels are satisfactory, with challenges especially in the special care unit when there are absences and sick leave. There are staff till 9.30 pm in the serviced apartments. The serviced apartment call system is linked to staff pagers and staff from the hospital are allocated to answer call bells. Residents and family/whānau interviewed reported that there are adequate staff </w:t>
            </w:r>
            <w:r w:rsidRPr="00BE00C7">
              <w:rPr>
                <w:rFonts w:cs="Arial"/>
                <w:lang w:eastAsia="en-NZ"/>
              </w:rPr>
              <w:lastRenderedPageBreak/>
              <w:t xml:space="preserve">numbers. </w:t>
            </w:r>
          </w:p>
          <w:p w14:paraId="39072C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orientation programme has been implemented for all new employed staff and staff who transferred to Kevin Hickman Retirement Village. The Ryman annual training programme was implemented for the rest of 2025 and being implemented for 2026. There is an attendance register for each training session and an electronic individual staff member record of educational courses offered, including: in-services; competency questionnaires; online learning; and external professional development. All senior caregivers (duty leaders) and registered nurses have current medication competencies. </w:t>
            </w:r>
          </w:p>
          <w:p w14:paraId="634C4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Kevin Hickman Retirement Village supports and encourages caregivers to obtain a New Zealand Qualification Authority (NZQA) qualification through Careerforce. There are 44 caregivers in total, 14 of whom have achieved NZQA level three and above qualification. Eighteen staff are regularly rostered in the dementia unit (special care unit); seven caregivers have achieved the required dementia related unit standards and 11 are enrolled and in the progress of completing the unit standards. </w:t>
            </w:r>
          </w:p>
          <w:p w14:paraId="0199E48A"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and caregivers related to specialised procedures or treatments, including (but not limited to) infection prevention and control, wound management, medication, and insulin competencies. At the time of the audit there were nine registered nurses, plus a clinical manager (CM), and three unit-coordinators (UC) employed at Kevin Hickman. Eight have completed interRAI training.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Topics related to dementia care including managing of challenging behaviour and diversion strategies were included throughout the year.</w:t>
            </w:r>
          </w:p>
          <w:p w14:paraId="07E12E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to promote health care and staff wellbeing. Staff interviewed reported an established team culture is still developing, the clinical manager </w:t>
            </w:r>
            <w:r w:rsidRPr="00BE00C7">
              <w:rPr>
                <w:rFonts w:cs="Arial"/>
                <w:lang w:eastAsia="en-NZ"/>
              </w:rPr>
              <w:lastRenderedPageBreak/>
              <w:t>reported and quality documents reviewed indicated this is a focus for Ryman. Ryman as an organisation have several initiatives implemented around staff wellness, including the monthly kindness award and staff appreciation award. At the time of the audit a “Speak up” campaign and training were implemented to encourage staff to provide feedback to improve the service.</w:t>
            </w:r>
          </w:p>
          <w:p w14:paraId="64B5E025" w14:textId="77777777" w:rsidR="00000000" w:rsidRPr="00BE00C7" w:rsidRDefault="00000000" w:rsidP="00BE00C7">
            <w:pPr>
              <w:pStyle w:val="OutcomeDescription"/>
              <w:spacing w:before="120" w:after="120"/>
              <w:rPr>
                <w:rFonts w:cs="Arial"/>
                <w:lang w:eastAsia="en-NZ"/>
              </w:rPr>
            </w:pPr>
          </w:p>
        </w:tc>
      </w:tr>
      <w:tr w:rsidR="00164E58" w14:paraId="00536E89" w14:textId="77777777">
        <w:tc>
          <w:tcPr>
            <w:tcW w:w="0" w:type="auto"/>
          </w:tcPr>
          <w:p w14:paraId="2A3F5F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469B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BD428DF" w14:textId="77777777" w:rsidR="00000000" w:rsidRPr="00BE00C7" w:rsidRDefault="00000000" w:rsidP="00BE00C7">
            <w:pPr>
              <w:pStyle w:val="OutcomeDescription"/>
              <w:spacing w:before="120" w:after="120"/>
              <w:rPr>
                <w:rFonts w:cs="Arial"/>
                <w:lang w:eastAsia="en-NZ"/>
              </w:rPr>
            </w:pPr>
          </w:p>
        </w:tc>
        <w:tc>
          <w:tcPr>
            <w:tcW w:w="0" w:type="auto"/>
          </w:tcPr>
          <w:p w14:paraId="3530B0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E58A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staff training and development. Staff files are securely stored. Ten staff files reviewed evidenced implementation of the recruitment process, employment contracts, police vetting,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2BF653C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practitioner(s), physiotherapist, pharmacist, dietitian, and podiatrist. All staff employed had a three and six-month performance appraisal completed. Annual performance appraisals were not yet due.</w:t>
            </w:r>
          </w:p>
          <w:p w14:paraId="23F9D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The orientation programme is tailored specifically to each position and monitored from the e-learning platform. All staff files reviewed had completed orientation records. Competencies are completed at orientation and annually. The service demonstrates that the orientation programmes support staff to provide a culturally safe environment to Māori. </w:t>
            </w:r>
          </w:p>
          <w:p w14:paraId="43D5E3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and is a focus of the health and safety team. Staff </w:t>
            </w:r>
            <w:r w:rsidRPr="00BE00C7">
              <w:rPr>
                <w:rFonts w:cs="Arial"/>
                <w:lang w:eastAsia="en-NZ"/>
              </w:rPr>
              <w:lastRenderedPageBreak/>
              <w:t>wellbeing is acknowledged through regular social events. Employee assistance programmes are made available through the occupational counselling (OCP) programme.</w:t>
            </w:r>
          </w:p>
          <w:p w14:paraId="7F8DDC90" w14:textId="77777777" w:rsidR="00000000" w:rsidRPr="00BE00C7" w:rsidRDefault="00000000" w:rsidP="00BE00C7">
            <w:pPr>
              <w:pStyle w:val="OutcomeDescription"/>
              <w:spacing w:before="120" w:after="120"/>
              <w:rPr>
                <w:rFonts w:cs="Arial"/>
                <w:lang w:eastAsia="en-NZ"/>
              </w:rPr>
            </w:pPr>
          </w:p>
        </w:tc>
      </w:tr>
      <w:tr w:rsidR="00164E58" w14:paraId="050816B1" w14:textId="77777777">
        <w:tc>
          <w:tcPr>
            <w:tcW w:w="0" w:type="auto"/>
          </w:tcPr>
          <w:p w14:paraId="1BC438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1C18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7BD25CC" w14:textId="77777777" w:rsidR="00000000" w:rsidRPr="00BE00C7" w:rsidRDefault="00000000" w:rsidP="00BE00C7">
            <w:pPr>
              <w:pStyle w:val="OutcomeDescription"/>
              <w:spacing w:before="120" w:after="120"/>
              <w:rPr>
                <w:rFonts w:cs="Arial"/>
                <w:lang w:eastAsia="en-NZ"/>
              </w:rPr>
            </w:pPr>
          </w:p>
        </w:tc>
        <w:tc>
          <w:tcPr>
            <w:tcW w:w="0" w:type="auto"/>
          </w:tcPr>
          <w:p w14:paraId="7E5FA5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54680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associated with residents and staff are retained electronically and in hard copy (kept in locked cabinets when not in use). Electronic information is regularly backed-up using cloud-based technology and password protected. There is a documented business continuity plan in case of information systems failure.</w:t>
            </w:r>
          </w:p>
          <w:p w14:paraId="5F2819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on site for two years, then transferred to an offsite secure location to be archived for ten years. Records are easily retrievable when required. The village manager is the privacy officer at Kevin Hickman Retirement Village.</w:t>
            </w:r>
          </w:p>
          <w:p w14:paraId="20797D9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6FD2CCCF" w14:textId="77777777" w:rsidR="00000000" w:rsidRPr="00BE00C7" w:rsidRDefault="00000000" w:rsidP="00BE00C7">
            <w:pPr>
              <w:pStyle w:val="OutcomeDescription"/>
              <w:spacing w:before="120" w:after="120"/>
              <w:rPr>
                <w:rFonts w:cs="Arial"/>
                <w:lang w:eastAsia="en-NZ"/>
              </w:rPr>
            </w:pPr>
          </w:p>
        </w:tc>
      </w:tr>
      <w:tr w:rsidR="00164E58" w14:paraId="14140742" w14:textId="77777777">
        <w:tc>
          <w:tcPr>
            <w:tcW w:w="0" w:type="auto"/>
          </w:tcPr>
          <w:p w14:paraId="225B30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F63AB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4DB28D9E" w14:textId="77777777" w:rsidR="00000000" w:rsidRPr="00BE00C7" w:rsidRDefault="00000000" w:rsidP="00BE00C7">
            <w:pPr>
              <w:pStyle w:val="OutcomeDescription"/>
              <w:spacing w:before="120" w:after="120"/>
              <w:rPr>
                <w:rFonts w:cs="Arial"/>
                <w:lang w:eastAsia="en-NZ"/>
              </w:rPr>
            </w:pPr>
          </w:p>
        </w:tc>
        <w:tc>
          <w:tcPr>
            <w:tcW w:w="0" w:type="auto"/>
          </w:tcPr>
          <w:p w14:paraId="55EFB7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4D25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implemented admission policy and procedure that supports safe, transparent, and equitable entry to services. The policy outlines clear entry and declining entry processes. </w:t>
            </w:r>
          </w:p>
          <w:p w14:paraId="72ADA5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provided with comprehensive information in multiple formats, including written admission information packs and direct engagement with management and clinical staff. Information provided includes service scope, entry criteria, assessment processes, costs, and exclusions. Documented entry criteria are clearly defined and communicated to residents, family/whānau, and referral agencies, including Needs Assessment Service Coordination (NASC) </w:t>
            </w:r>
            <w:r w:rsidRPr="00BE00C7">
              <w:rPr>
                <w:rFonts w:cs="Arial"/>
                <w:lang w:eastAsia="en-NZ"/>
              </w:rPr>
              <w:lastRenderedPageBreak/>
              <w:t>requirements, level of care suitability, and eligibility criteria.</w:t>
            </w:r>
          </w:p>
          <w:p w14:paraId="0AA81BD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 NASC assessment completed prior to entry, identifying level of care requirements. The village manager and clinical manager undertake pre-entry screening of all enquiries to determine whether the service can meet the resident’s assessed needs, with clinical input obtained where required. Admission decisions are based on assessed need, service capability, and resident compatibility.</w:t>
            </w:r>
          </w:p>
          <w:p w14:paraId="6E4151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24 hours per day, seven days per week, and maintains ongoing communication with prospective residents and family/whānau throughout the admission process. The entry process reflects a person-centred and whānau-centred approach, with evidence of family/whānau involvement in decision-making and care planning. For residents entering secure dementia care, NASC approval is required, and files reviewed confirmed enacted enduring power of attorney and documented family/whānau engagement.</w:t>
            </w:r>
          </w:p>
          <w:p w14:paraId="5AD473D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admission agreements reviewed (nine) were consistent with ARRC requirements, including documentation of exclusions from service. Signed agreements were sighted in all sampled files. Processes are in place to support inter-NASC transfers, including coordination between referring and receiving NASC teams, ensuring continuity of care and funding responsibilities.</w:t>
            </w:r>
          </w:p>
          <w:p w14:paraId="236D751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entry is declined, this is limited to situations where there are no available beds or where the service is unable to meet the assessed needs of the prospective resident. Reasons for declining entry are documented and communicated to the person, whānau, and NASC where appropriate, to support alternative placement and minimise barriers to access.</w:t>
            </w:r>
          </w:p>
          <w:p w14:paraId="393200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data at the time of admission and demonstrates routine analysis of entry and decline rates, including for Māori, through organisational reporting systems.</w:t>
            </w:r>
          </w:p>
          <w:p w14:paraId="4E3991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relationships with local Māori health practitioners and organisations, supporting equitable access and improved outcomes for Māori. The admission process reflects culturally safe practices, with staff engaging respectfully with Māori residents and whānau and supporting culturally appropriate care pathways.</w:t>
            </w:r>
          </w:p>
          <w:p w14:paraId="117D6EE5" w14:textId="77777777" w:rsidR="00000000" w:rsidRPr="00BE00C7" w:rsidRDefault="00000000" w:rsidP="00BE00C7">
            <w:pPr>
              <w:pStyle w:val="OutcomeDescription"/>
              <w:spacing w:before="120" w:after="120"/>
              <w:rPr>
                <w:rFonts w:cs="Arial"/>
                <w:lang w:eastAsia="en-NZ"/>
              </w:rPr>
            </w:pPr>
          </w:p>
        </w:tc>
      </w:tr>
      <w:tr w:rsidR="00164E58" w14:paraId="114F7740" w14:textId="77777777">
        <w:tc>
          <w:tcPr>
            <w:tcW w:w="0" w:type="auto"/>
          </w:tcPr>
          <w:p w14:paraId="5F672E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45F19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F6C5B02" w14:textId="77777777" w:rsidR="00000000" w:rsidRPr="00BE00C7" w:rsidRDefault="00000000" w:rsidP="00BE00C7">
            <w:pPr>
              <w:pStyle w:val="OutcomeDescription"/>
              <w:spacing w:before="120" w:after="120"/>
              <w:rPr>
                <w:rFonts w:cs="Arial"/>
                <w:lang w:eastAsia="en-NZ"/>
              </w:rPr>
            </w:pPr>
          </w:p>
        </w:tc>
        <w:tc>
          <w:tcPr>
            <w:tcW w:w="0" w:type="auto"/>
          </w:tcPr>
          <w:p w14:paraId="1AEC17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468198"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three residents receiving rest home level care; three residents receiving hospital-level care, including residents under respite and end-of-life care funding; and three residents receiving secure dementia level care.</w:t>
            </w:r>
          </w:p>
          <w:p w14:paraId="21E68CE5"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completing assessments and developing care plans. There was evidence of resident and family/whānau involvement in interRAI assessments and long-term care plans.</w:t>
            </w:r>
          </w:p>
          <w:p w14:paraId="24B7FD97"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assessment information was collected, and initial care plans were completed within required timeframes, including provision of care planning within 48 hours to guide safe care delivery. Comprehensive interRAI assessments were completed within required timeframes, informing the development of long-term care plans. Reassessments, care plan development, and reviews were completed within required timeframes. Residents receiving respite and end-of-life care had comprehensive nursing assessments completed, which informed the initial and ongoing plan of care.</w:t>
            </w:r>
          </w:p>
          <w:p w14:paraId="41885F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long-term care plan (myRyman) reflects a holistic approach and includes personal history and social wellbeing; mobility; continence; activities of daily living; nutrition; pain management; sleep; sensory and communication; medication; skin care; cognitive function and behaviours; resident identity and cultural awareness; spiritual wellbeing; sexuality and intimacy; and social and cultural activities. Risk assessments are completed on admission and include falls, pressure injury, continence, nutrition, skin, and pain. A specific cultural assessment is completed for all residents. For the files reviewed, assessment findings and identified risks were reflected in care plans. Care plans were goal-oriented and included clear interventions to support residents’ needs. Short-term care plans or equivalent documentation were in place to guide care for acute or short-term changes.</w:t>
            </w:r>
          </w:p>
          <w:p w14:paraId="27D2DB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at least six-monthly in conjunction with interRAI reassessment and multidisciplinary input. Multidisciplinary case conference meetings include input from registered nurses, the general </w:t>
            </w:r>
            <w:r w:rsidRPr="00BE00C7">
              <w:rPr>
                <w:rFonts w:cs="Arial"/>
                <w:lang w:eastAsia="en-NZ"/>
              </w:rPr>
              <w:lastRenderedPageBreak/>
              <w:t>practitioner, allied health professionals, and residents and family/whānau where appropriate. Care plan updates reflect reassessment findings and changes in residents’ goals, needs, and risks.</w:t>
            </w:r>
          </w:p>
          <w:p w14:paraId="5F4C2535"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changes in residents’ condition occur, registered nurses initiate reassessment and update care plans in a timely manner. Progress notes evidenced that changes in health status, including infections, incidents, and deterioration, were documented, and care interventions were adjusted accordingly. Short-term care planning and monitoring were implemented to support changes in condition.</w:t>
            </w:r>
          </w:p>
          <w:p w14:paraId="073C43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Māori and family/whānau to identify their own pae ora outcomes through input into the electronic care plan. Barriers that may prevent tāngata whaikaha and whānau from independently accessing information are identified, and strategies to address these are documented.</w:t>
            </w:r>
          </w:p>
          <w:p w14:paraId="2DFF693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unit had comprehensive behaviour assessments and behaviour support plans in place. These included identification of individual triggers, risks, and required support, along with documented strategies for de-escalation, redirection, and safe management of behaviours. Care plans reflected the level of supervision required, routine preferences, and safety strategies, including management of wandering and risk behaviours.</w:t>
            </w:r>
          </w:p>
          <w:p w14:paraId="3A73A49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the general practitioner within five working days of admission and were reviewed at least three-monthly or earlier if required. The general practitioner provides 24/7 support. In emergencies, residents are transferred via ambulance or referred to 24-hour medical services. The general practitioner confirmed that nursing staff demonstrated competence and good clinical judgement, with referrals initiated appropriately and in a timely manner, and that family/whānau meetings are arranged when required.</w:t>
            </w:r>
          </w:p>
          <w:p w14:paraId="017D1CC1" w14:textId="77777777" w:rsidR="00000000" w:rsidRPr="00BE00C7" w:rsidRDefault="00000000" w:rsidP="00BE00C7">
            <w:pPr>
              <w:pStyle w:val="OutcomeDescription"/>
              <w:spacing w:before="120" w:after="120"/>
              <w:rPr>
                <w:rFonts w:cs="Arial"/>
                <w:lang w:eastAsia="en-NZ"/>
              </w:rPr>
            </w:pPr>
            <w:r w:rsidRPr="00BE00C7">
              <w:rPr>
                <w:rFonts w:cs="Arial"/>
                <w:lang w:eastAsia="en-NZ"/>
              </w:rPr>
              <w:t>Allied health interventions were documented and integrated into care plans. A podiatrist visits regularly, and a dietitian, speech language therapist, local hospice, mental health services for older people, and wound care specialist nurse are available as required. A contracted physiotherapist attends weekly, with a physiotherapy assistant available five days per week.</w:t>
            </w:r>
          </w:p>
          <w:p w14:paraId="37C4D5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Caregivers described and demonstrated verbal and written handovers at the beginning of each shift, maintaining continuity of care. Registered nurses document regularly, including daily documentation for hospital-level residents and as required for rest home and dementia-level residents. Monitoring charts were completed as scheduled and included observations, behaviour, bowel, weight, fluid balance, and other required monitoring. Neurological observations were completed following unwitnessed falls.</w:t>
            </w:r>
          </w:p>
          <w:p w14:paraId="154FDF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four residents with a total of eight active wounds, including graft sites, donor sites, lesions, and ulcers. Wound assessments, management plans, measurements, and photographic documentation were completed. An electronic wound register was maintained. Wound care interventions were scheduled within the registered nurse workflow, and dressing changes and evaluations were completed as planned. Documentation confirmed that wound management plans reflected current needs and were updated following reassessment.</w:t>
            </w:r>
          </w:p>
          <w:p w14:paraId="344501C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that their needs and expectations were met. Family/whānau confirmed they were informed of changes in health status and involved in care planning and decision-making.</w:t>
            </w:r>
          </w:p>
          <w:p w14:paraId="3363A8CC" w14:textId="7A0FF40A" w:rsidR="00000000" w:rsidRPr="00BE00C7" w:rsidRDefault="00000000" w:rsidP="00A902AF">
            <w:pPr>
              <w:pStyle w:val="OutcomeDescription"/>
              <w:spacing w:before="120" w:after="120"/>
              <w:rPr>
                <w:rFonts w:cs="Arial"/>
                <w:lang w:eastAsia="en-NZ"/>
              </w:rPr>
            </w:pPr>
          </w:p>
        </w:tc>
      </w:tr>
      <w:tr w:rsidR="00164E58" w14:paraId="14CC6AA2" w14:textId="77777777">
        <w:tc>
          <w:tcPr>
            <w:tcW w:w="0" w:type="auto"/>
          </w:tcPr>
          <w:p w14:paraId="309E7D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383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5B72045" w14:textId="77777777" w:rsidR="00000000" w:rsidRPr="00BE00C7" w:rsidRDefault="00000000" w:rsidP="00BE00C7">
            <w:pPr>
              <w:pStyle w:val="OutcomeDescription"/>
              <w:spacing w:before="120" w:after="120"/>
              <w:rPr>
                <w:rFonts w:cs="Arial"/>
                <w:lang w:eastAsia="en-NZ"/>
              </w:rPr>
            </w:pPr>
          </w:p>
        </w:tc>
        <w:tc>
          <w:tcPr>
            <w:tcW w:w="0" w:type="auto"/>
          </w:tcPr>
          <w:p w14:paraId="1D5DC1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CE4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 team of activities and lifestyle coordinators, including full-time and part-time staff, with oversight and support provided by a qualified diversional therapist on site and additional support from the organisation’s diversional therapist. Staff interviewed demonstrated knowledge of residents’ individual preferences, abilities, and needs.</w:t>
            </w:r>
          </w:p>
          <w:p w14:paraId="739AD1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delivers the “Engage” activities programme, which provides residents with a variety of meaningful activities, including involvement from the community such as school groups. This was verified through staff interviews, documentation review, and observations during the audit.</w:t>
            </w:r>
          </w:p>
          <w:p w14:paraId="156E65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activity needs, interests, abilities, and social requirements are assessed on admission, with input from residents, family/whānau, and EPOAs. Activity assessments and plans are completed within the electronic system (myRyman care) and are integrated with the nursing </w:t>
            </w:r>
            <w:r w:rsidRPr="00BE00C7">
              <w:rPr>
                <w:rFonts w:cs="Arial"/>
                <w:lang w:eastAsia="en-NZ"/>
              </w:rPr>
              <w:lastRenderedPageBreak/>
              <w:t>care plan. The assessment process includes documentation of residents’ life experiences, preferences, and level of participation. Records reviewed and staff interviews confirmed that this information informs the development of individualised activity and lifestyle plans.</w:t>
            </w:r>
          </w:p>
          <w:p w14:paraId="474A375A"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structured activities programme is implemented across all units and is tailored to reflect residents’ physical, cognitive, social, cultural, emotional, and spiritual needs, supporting holistic wellbeing, individual identity, and meaningful engagement. Monthly activities calendars were sighted, displayed, and available to residents and family/whānau. Daily activities were communicated via unit whiteboards.</w:t>
            </w:r>
          </w:p>
          <w:p w14:paraId="053A5F4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invited and supported to participate in activities daily. The programme includes a range of meaningful group and individual activities that support residents’ strengths, interests, and wellbeing. Activities include social engagement, physical exercise, creative and recreational pursuits, and community-based activities appropriate to residents’ level of care. Activity participation records were reviewed, and residents were observed engaging in activities during the audit.</w:t>
            </w:r>
          </w:p>
          <w:p w14:paraId="2B64CEC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maintain connections with their communities through regular outings and engagement with community groups. A contracted physiotherapist and assistant support mobility and participation in physical activities.</w:t>
            </w:r>
          </w:p>
          <w:p w14:paraId="555D686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for residents in the secure dementia unit are tailored to meet individual needs, including the use of 24-hour activity plans and strategies for distraction and de-escalation. Individualised resources, including sensory boxes reflecting residents’ life history, interests, and preferences, were sighted. Care staff support the implementation of activities within the unit.</w:t>
            </w:r>
          </w:p>
          <w:p w14:paraId="7B7C30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facilitates opportunities for Māori residents and whānau to participate in te ao Māori through culturally meaningful activities. Activities observed and records reviewed included kapa haka, poi making, harakeke weaving, and celebration of cultural events such as Māori Language Week and Matariki. The activities programme is supported by the organisation and cultural kaitiaki to further strengthen integration of te reo Māori and cultural practices into daily routines. Māori artwork and te reo Māori are visible within the environment.</w:t>
            </w:r>
          </w:p>
          <w:p w14:paraId="6658F3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from residents, family/whānau, and EPOAs confirmed </w:t>
            </w:r>
            <w:r w:rsidRPr="00BE00C7">
              <w:rPr>
                <w:rFonts w:cs="Arial"/>
                <w:lang w:eastAsia="en-NZ"/>
              </w:rPr>
              <w:lastRenderedPageBreak/>
              <w:t>satisfaction with the range and quality of activities provided.</w:t>
            </w:r>
          </w:p>
          <w:p w14:paraId="7D71E0DD" w14:textId="77777777" w:rsidR="00000000" w:rsidRPr="00BE00C7" w:rsidRDefault="00000000" w:rsidP="00BE00C7">
            <w:pPr>
              <w:pStyle w:val="OutcomeDescription"/>
              <w:spacing w:before="120" w:after="120"/>
              <w:rPr>
                <w:rFonts w:cs="Arial"/>
                <w:lang w:eastAsia="en-NZ"/>
              </w:rPr>
            </w:pPr>
          </w:p>
        </w:tc>
      </w:tr>
      <w:tr w:rsidR="00164E58" w14:paraId="70CCD929" w14:textId="77777777">
        <w:tc>
          <w:tcPr>
            <w:tcW w:w="0" w:type="auto"/>
          </w:tcPr>
          <w:p w14:paraId="012395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D2B4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922A18" w14:textId="77777777" w:rsidR="00000000" w:rsidRPr="00BE00C7" w:rsidRDefault="00000000" w:rsidP="00BE00C7">
            <w:pPr>
              <w:pStyle w:val="OutcomeDescription"/>
              <w:spacing w:before="120" w:after="120"/>
              <w:rPr>
                <w:rFonts w:cs="Arial"/>
                <w:lang w:eastAsia="en-NZ"/>
              </w:rPr>
            </w:pPr>
          </w:p>
        </w:tc>
        <w:tc>
          <w:tcPr>
            <w:tcW w:w="0" w:type="auto"/>
          </w:tcPr>
          <w:p w14:paraId="526598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A513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in pre-packaged formats. Registered nurses check medications against electronic medication charts on receipt, and medication reconciliation processes are completed. Any discrepancies are identified and communicated to the supplying pharmacy. Expired medications are returned to the pharmacy in a safe and timely manner. </w:t>
            </w:r>
          </w:p>
          <w:p w14:paraId="3DE8D89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administration is undertaken by staff who have completed medication competencies. Staff receive regular medication education, including safe administration and monitoring practices.</w:t>
            </w:r>
          </w:p>
          <w:p w14:paraId="28CA8F5F"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Eighteen electronic medication charts were reviewed and met prescribing requirements. Medication charts included photo identification and documented allergy status. General practitioner complete three-monthly medication reviews, with evidence of resident consultation where changes are made. As required (PRN) medications included clear indications for use, and effectiveness was documented in the electronic medication system.</w:t>
            </w:r>
          </w:p>
          <w:p w14:paraId="7DEAF9E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storage and monitoring systems are in place. Medication room and fridge temperatures are recorded daily and were within acceptable ranges at the time of audit. Eye drops were dated on opening and all were within expiry dates. Over-the-counter medications and supplements are prescribed and managed within the electronic medication system. Standing orders are not in use.</w:t>
            </w:r>
          </w:p>
          <w:p w14:paraId="3A826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residents were self-administering medications at the time of audit. Self-administration processes were managed in accordance with organisational policy, which includes assessment of the resident’s competency to self-administer, documented authorisation, secure storage of medications, and regular review by a registered nurse. Documentation confirmed that residents had been assessed as competent, understood their medication regimen, and that ongoing monitoring and review requirements were in place. </w:t>
            </w:r>
          </w:p>
          <w:p w14:paraId="38C321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described processes for supporting residents, including Māori residents and family/whānau, to access medications, understand treatment options, and participate in decision-making to </w:t>
            </w:r>
            <w:r w:rsidRPr="00BE00C7">
              <w:rPr>
                <w:rFonts w:cs="Arial"/>
                <w:lang w:eastAsia="en-NZ"/>
              </w:rPr>
              <w:lastRenderedPageBreak/>
              <w:t xml:space="preserve">support equitable health outcomes. </w:t>
            </w:r>
          </w:p>
          <w:p w14:paraId="30D83097" w14:textId="77777777" w:rsidR="00000000" w:rsidRPr="00BE00C7" w:rsidRDefault="00000000" w:rsidP="00BE00C7">
            <w:pPr>
              <w:pStyle w:val="OutcomeDescription"/>
              <w:spacing w:before="120" w:after="120"/>
              <w:rPr>
                <w:rFonts w:cs="Arial"/>
                <w:lang w:eastAsia="en-NZ"/>
              </w:rPr>
            </w:pPr>
          </w:p>
        </w:tc>
      </w:tr>
      <w:tr w:rsidR="00164E58" w14:paraId="2530EE21" w14:textId="77777777">
        <w:tc>
          <w:tcPr>
            <w:tcW w:w="0" w:type="auto"/>
          </w:tcPr>
          <w:p w14:paraId="7DB3DE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86F72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7D91B4" w14:textId="77777777" w:rsidR="00000000" w:rsidRPr="00BE00C7" w:rsidRDefault="00000000" w:rsidP="00BE00C7">
            <w:pPr>
              <w:pStyle w:val="OutcomeDescription"/>
              <w:spacing w:before="120" w:after="120"/>
              <w:rPr>
                <w:rFonts w:cs="Arial"/>
                <w:lang w:eastAsia="en-NZ"/>
              </w:rPr>
            </w:pPr>
          </w:p>
        </w:tc>
        <w:tc>
          <w:tcPr>
            <w:tcW w:w="0" w:type="auto"/>
          </w:tcPr>
          <w:p w14:paraId="7A4B8B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381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services are provided in accordance with organisational policies and recognised nutritional guidelines for older people. Meals are prepared on site by kitchen staff with appropriate food safety qualifications. A current food control plan is in place and food services were observed to comply with safe food handling practices during the audit. </w:t>
            </w:r>
          </w:p>
          <w:p w14:paraId="659BA9BA" w14:textId="77777777" w:rsidR="00000000" w:rsidRPr="00BE00C7" w:rsidRDefault="00000000" w:rsidP="00BE00C7">
            <w:pPr>
              <w:pStyle w:val="OutcomeDescription"/>
              <w:spacing w:before="120" w:after="120"/>
              <w:rPr>
                <w:rFonts w:cs="Arial"/>
                <w:lang w:eastAsia="en-NZ"/>
              </w:rPr>
            </w:pPr>
            <w:r w:rsidRPr="00BE00C7">
              <w:rPr>
                <w:rFonts w:cs="Arial"/>
                <w:lang w:eastAsia="en-NZ"/>
              </w:rPr>
              <w:t>Menus are developed on a seasonal cycle and are reviewed at least annually by a qualified dietitian to ensure nutritional adequacy. The menu offers a variety of options to meet residents’ preferences and nutritional requirements.</w:t>
            </w:r>
          </w:p>
          <w:p w14:paraId="1FCB33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needs are assessed on admission and reviewed regularly. This includes completion of nutritional screening tools (e.g. MNA), with outcomes informing care planning. Care plans include residents’ dietary needs, preferences, cultural requirements, allergies, intolerances, and texture-modified diets where required.</w:t>
            </w:r>
          </w:p>
          <w:p w14:paraId="517C6FBC"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information is communicated effectively between clinical and kitchen staff. Dietary notification forms are completed for all residents and used by kitchen staff to ensure awareness of individual requirements, preferences, and cultural needs. This information is entered into the electronic meal management system (Saffron), supporting accurate meal selection and service delivery.</w:t>
            </w:r>
          </w:p>
          <w:p w14:paraId="2DD759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interviewed demonstrated knowledge of residents’ individual dietary requirements, preferences, and cultural needs, including special diets and texture modifications. Kitchen staff confirmed that dietary requirements are followed and meals are modified as required.</w:t>
            </w:r>
          </w:p>
          <w:p w14:paraId="399D4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weights are monitored regularly, and supplements are provided for residents identified at nutritional risk. Snacks and fluids are available throughout the day and night. Residents were observed to have access to food and drinks as required, supporting hydration and </w:t>
            </w:r>
            <w:r w:rsidRPr="00BE00C7">
              <w:rPr>
                <w:rFonts w:cs="Arial"/>
                <w:lang w:eastAsia="en-NZ"/>
              </w:rPr>
              <w:lastRenderedPageBreak/>
              <w:t>nutritional intake.</w:t>
            </w:r>
          </w:p>
          <w:p w14:paraId="614F19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a dining experience that supports dignity, choice, and independence. Residents are able to choose where to eat and are supported as needed. Communal dining areas are appropriately set up and conducive to a pleasant dining experience.</w:t>
            </w:r>
          </w:p>
          <w:p w14:paraId="328D23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needs are incorporated into menu planning and service delivery. Residents’ cultural preferences are identified through assessment and care planning processes. The lead chef confirmed that culturally appropriate meals are provided. Examples include meals aligned with te ao Māori, such as boil-ups, Māori bread, and pork dishes, and the celebration of events such as Matariki and Māori Language Week. </w:t>
            </w:r>
          </w:p>
          <w:p w14:paraId="6B88BB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satisfaction with the quality, variety, and cultural appropriateness of food provided.</w:t>
            </w:r>
          </w:p>
          <w:p w14:paraId="77918890" w14:textId="77777777" w:rsidR="00000000" w:rsidRPr="00BE00C7" w:rsidRDefault="00000000" w:rsidP="00BE00C7">
            <w:pPr>
              <w:pStyle w:val="OutcomeDescription"/>
              <w:spacing w:before="120" w:after="120"/>
              <w:rPr>
                <w:rFonts w:cs="Arial"/>
                <w:lang w:eastAsia="en-NZ"/>
              </w:rPr>
            </w:pPr>
          </w:p>
        </w:tc>
      </w:tr>
      <w:tr w:rsidR="00164E58" w14:paraId="6A62E771" w14:textId="77777777">
        <w:tc>
          <w:tcPr>
            <w:tcW w:w="0" w:type="auto"/>
          </w:tcPr>
          <w:p w14:paraId="612C3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67B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B3F8D24" w14:textId="77777777" w:rsidR="00000000" w:rsidRPr="00BE00C7" w:rsidRDefault="00000000" w:rsidP="00BE00C7">
            <w:pPr>
              <w:pStyle w:val="OutcomeDescription"/>
              <w:spacing w:before="120" w:after="120"/>
              <w:rPr>
                <w:rFonts w:cs="Arial"/>
                <w:lang w:eastAsia="en-NZ"/>
              </w:rPr>
            </w:pPr>
          </w:p>
        </w:tc>
        <w:tc>
          <w:tcPr>
            <w:tcW w:w="0" w:type="auto"/>
          </w:tcPr>
          <w:p w14:paraId="70165B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D0346A"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and transfers are coordinated in collaboration with the resident and family/whānau to ensure continuity of care. Documented policies and procedures guide staff to ensure discharge and transfer processes are undertaken in a timely and safe manner. The service participates in the local Health New Zealand ‘yellow envelope’ scheme (sighted), ensuring relevant clinical information accompanies residents to support safe transitions.</w:t>
            </w:r>
          </w:p>
          <w:p w14:paraId="627780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involved in all transfers and discharges from the service. Discharge documentation is completed and uploaded to the electronic system, and discharge instructions are incorporated into the care plan. Family/whānau are advised of options to access other health and disability services, including social support and Kaupapa Māori agencies, where required.</w:t>
            </w:r>
          </w:p>
          <w:p w14:paraId="1D80FF5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Transfers and discharges are managed in consultation with the resident, family/whānau, EPOA, and the GP. Residents requiring acute care are transferred to the emergency department via ambulance. Appropriate documentation, including clinical summaries and relevant medical information, accompanies residents to ensure continuity of care.</w:t>
            </w:r>
          </w:p>
          <w:p w14:paraId="78D11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confirmed that the reason for transfer or discharge is </w:t>
            </w:r>
            <w:r w:rsidRPr="00BE00C7">
              <w:rPr>
                <w:rFonts w:cs="Arial"/>
                <w:lang w:eastAsia="en-NZ"/>
              </w:rPr>
              <w:lastRenderedPageBreak/>
              <w:t>documented in transfer forms and progress notes. Transition planning includes consideration of the resident’s current needs and risk mitigation. Referrals to allied health and specialist services are completed as required to support safe transitions.</w:t>
            </w:r>
          </w:p>
          <w:p w14:paraId="098DCE8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other health and disability services as appropriate. Referrals for non-urgent specialist services are completed by the GP, NP, or registered nurses. Residents and family/whānau are kept informed of the referral process and reasons for transition, transfer, or discharge, as confirmed through documentation review and interviews.</w:t>
            </w:r>
          </w:p>
          <w:p w14:paraId="2039F46E" w14:textId="77777777" w:rsidR="00000000" w:rsidRPr="00BE00C7" w:rsidRDefault="00000000" w:rsidP="00BE00C7">
            <w:pPr>
              <w:pStyle w:val="OutcomeDescription"/>
              <w:spacing w:before="120" w:after="120"/>
              <w:rPr>
                <w:rFonts w:cs="Arial"/>
                <w:lang w:eastAsia="en-NZ"/>
              </w:rPr>
            </w:pPr>
          </w:p>
        </w:tc>
      </w:tr>
      <w:tr w:rsidR="00164E58" w14:paraId="37C8B8B5" w14:textId="77777777">
        <w:tc>
          <w:tcPr>
            <w:tcW w:w="0" w:type="auto"/>
          </w:tcPr>
          <w:p w14:paraId="6F55BE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786B0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53282EE" w14:textId="77777777" w:rsidR="00000000" w:rsidRPr="00BE00C7" w:rsidRDefault="00000000" w:rsidP="00BE00C7">
            <w:pPr>
              <w:pStyle w:val="OutcomeDescription"/>
              <w:spacing w:before="120" w:after="120"/>
              <w:rPr>
                <w:rFonts w:cs="Arial"/>
                <w:lang w:eastAsia="en-NZ"/>
              </w:rPr>
            </w:pPr>
          </w:p>
        </w:tc>
        <w:tc>
          <w:tcPr>
            <w:tcW w:w="0" w:type="auto"/>
          </w:tcPr>
          <w:p w14:paraId="4DD59C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E7BB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environment is purpose-built, modern, culturally inclusive, and well maintained, supporting safe, dignified, and person-centred care. The environment, including artwork and décor, reflects cultural inclusivity and supports cultural practices.</w:t>
            </w:r>
          </w:p>
          <w:p w14:paraId="531917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Compliance for building systems, including lifts and air conditioning, is managed through contracted providers. A preventative maintenance programme is implemented and overseen by a full-time maintenance lead who is responsible for scheduled tasks completion and sign off. Staff log maintenance requests electronically, which are actioned and signed off by the maintenance lead. Urgent repairs are managed directly with access to essential contractors. Hot water temperatures are monitored within safe limits, and call bells are routinely checked and were operational on the day of audit.</w:t>
            </w:r>
          </w:p>
          <w:p w14:paraId="04A470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provides rest home, hospital, and dementia levels of care across a multi-level facility with lift and stair access.</w:t>
            </w:r>
          </w:p>
          <w:p w14:paraId="336BE9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supports safe mobility and independence. corridors are wide, with clear pathways, and residents were observed mobilising safely with aids. Bedrooms and communal areas provide adequate space for the safe use of mobility equipment, including hoists. Ensuites are accessible, with handrails and non-slip flooring. Clinical and mobility equipment appropriate for rest home and hospital level of care is available and maintained, including hoists, transfer equipment, </w:t>
            </w:r>
            <w:r w:rsidRPr="00BE00C7">
              <w:rPr>
                <w:rFonts w:cs="Arial"/>
                <w:lang w:eastAsia="en-NZ"/>
              </w:rPr>
              <w:lastRenderedPageBreak/>
              <w:t>pressure-relieving devices, and oxygen equipment.</w:t>
            </w:r>
          </w:p>
          <w:p w14:paraId="4DF8554C" w14:textId="77777777" w:rsidR="00000000" w:rsidRPr="00BE00C7" w:rsidRDefault="00000000" w:rsidP="00BE00C7">
            <w:pPr>
              <w:pStyle w:val="OutcomeDescription"/>
              <w:spacing w:before="120" w:after="120"/>
              <w:rPr>
                <w:rFonts w:cs="Arial"/>
                <w:lang w:eastAsia="en-NZ"/>
              </w:rPr>
            </w:pPr>
            <w:r w:rsidRPr="00BE00C7">
              <w:rPr>
                <w:rFonts w:cs="Arial"/>
                <w:lang w:eastAsia="en-NZ"/>
              </w:rPr>
              <w:t>Level 1 includes Darfield East, the special care (dementia) unit, and Darfield West, a rest home unit. These units are designed with a mirrored layout, each having its own lounge and dining areas, kitchenettes with adjacent pantry access, quiet rooms, and access to shared clinical support areas. The dementia unit is secure, with controlled entry via keypad or fob access, and includes safe internal walking areas and access to a secure outdoor deck.</w:t>
            </w:r>
          </w:p>
          <w:p w14:paraId="4AED2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two units share a centrally located nurses’ station that provides separation between the units and supports visibility of communal areas. This area is accessible to residents. Behind the open nurses’ station is a shared office space used for handover and clinical tasks. A secure medication room is shared between the two units. Each unit also has access to shared clinical support areas, including a secure sluice, cleaners’ room, and linen storage, all located in proximity to the nurses’ station. The layout supports resident freedom of movement while enabling staff to supervise and monitor residents in a safe and non-intrusive manner.</w:t>
            </w:r>
          </w:p>
          <w:p w14:paraId="07344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 supports safe mobility and supervision. Sensor lighting is in place within bedrooms and activates based on resident movement to support safe night-time mobility. This system is linked to the security system and can be configured to alert staff if residents do not return to bed. Staffing rosters support supervision of communal areas. A closed-circuit monitoring system is in place, with monitoring screens located at the nurses’ station to support oversight of hallways and outdoor areas.</w:t>
            </w:r>
          </w:p>
          <w:p w14:paraId="7ADE5F9F" w14:textId="77777777" w:rsidR="00000000" w:rsidRPr="00BE00C7" w:rsidRDefault="00000000" w:rsidP="00BE00C7">
            <w:pPr>
              <w:pStyle w:val="OutcomeDescription"/>
              <w:spacing w:before="120" w:after="120"/>
              <w:rPr>
                <w:rFonts w:cs="Arial"/>
                <w:lang w:eastAsia="en-NZ"/>
              </w:rPr>
            </w:pPr>
            <w:r w:rsidRPr="00BE00C7">
              <w:rPr>
                <w:rFonts w:cs="Arial"/>
                <w:lang w:eastAsia="en-NZ"/>
              </w:rPr>
              <w:t>Level 2 (Rakaia) and Level 3 (Westport) comprise dual-purpose units with mirrored design layouts consistent with Level 1. Each level includes 20 dual-purpose beds, with lounges, dining areas, kitchenettes, and nurses’ stations positioned to support efficient care delivery and supervision. The consistent layout across all levels supports staff familiarity, promotes safe and efficient care practices, and enhances resident safety.</w:t>
            </w:r>
          </w:p>
          <w:p w14:paraId="40075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dual-purpose rooms are single occupancy with ensuites and are of sufficient size to accommodate residents requiring rest home or hospital level of care. Bedrooms allow for safe use of mobility equipment and can be personalised. Communal areas are spacious and support </w:t>
            </w:r>
            <w:r w:rsidRPr="00BE00C7">
              <w:rPr>
                <w:rFonts w:cs="Arial"/>
                <w:lang w:eastAsia="en-NZ"/>
              </w:rPr>
              <w:lastRenderedPageBreak/>
              <w:t>mobility, with access to balconies that include appropriate safety features. The environment across all levels is maintained at a comfortable temperature and supports resident independence and comfort.</w:t>
            </w:r>
          </w:p>
          <w:p w14:paraId="749A53BC"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Communal and personal toilet and shower facilities are accessible and sufficient to meet resident needs. Facilities include disability-access toilets near communal areas and separate toilets for staff and visitors. Hand hygiene resources are available throughout the facility.</w:t>
            </w:r>
          </w:p>
          <w:p w14:paraId="5F8B3BE5" w14:textId="77777777" w:rsidR="00000000" w:rsidRPr="00BE00C7" w:rsidRDefault="00000000" w:rsidP="00BE00C7">
            <w:pPr>
              <w:pStyle w:val="OutcomeDescription"/>
              <w:spacing w:before="120" w:after="120"/>
              <w:rPr>
                <w:rFonts w:cs="Arial"/>
                <w:lang w:eastAsia="en-NZ"/>
              </w:rPr>
            </w:pPr>
            <w:r w:rsidRPr="00BE00C7">
              <w:rPr>
                <w:rFonts w:cs="Arial"/>
                <w:lang w:eastAsia="en-NZ"/>
              </w:rPr>
              <w:t>Outdoor areas are landscaped with safe pathways, seating, shade, and appropriate lighting, and are accessible to residents. The environment supports safe indoor and outdoor flow.</w:t>
            </w:r>
          </w:p>
          <w:p w14:paraId="7B85AF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engaged with Māori through a Taha Māori kaitiaki and consultation with local iwi to ensure Māori identity and aspirations are reflected in the environment.</w:t>
            </w:r>
          </w:p>
          <w:p w14:paraId="52BA50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satisfaction with the environment, including safety, accessibility, and comfort.</w:t>
            </w:r>
          </w:p>
          <w:p w14:paraId="50BB2D61" w14:textId="77777777" w:rsidR="00000000" w:rsidRPr="00BE00C7" w:rsidRDefault="00000000" w:rsidP="00BE00C7">
            <w:pPr>
              <w:pStyle w:val="OutcomeDescription"/>
              <w:spacing w:before="120" w:after="120"/>
              <w:rPr>
                <w:rFonts w:cs="Arial"/>
                <w:lang w:eastAsia="en-NZ"/>
              </w:rPr>
            </w:pPr>
          </w:p>
        </w:tc>
      </w:tr>
      <w:tr w:rsidR="00164E58" w14:paraId="3759CD2D" w14:textId="77777777">
        <w:tc>
          <w:tcPr>
            <w:tcW w:w="0" w:type="auto"/>
          </w:tcPr>
          <w:p w14:paraId="2A62C2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9D65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01A6EDE" w14:textId="77777777" w:rsidR="00000000" w:rsidRPr="00BE00C7" w:rsidRDefault="00000000" w:rsidP="00BE00C7">
            <w:pPr>
              <w:pStyle w:val="OutcomeDescription"/>
              <w:spacing w:before="120" w:after="120"/>
              <w:rPr>
                <w:rFonts w:cs="Arial"/>
                <w:lang w:eastAsia="en-NZ"/>
              </w:rPr>
            </w:pPr>
          </w:p>
        </w:tc>
        <w:tc>
          <w:tcPr>
            <w:tcW w:w="0" w:type="auto"/>
          </w:tcPr>
          <w:p w14:paraId="311C0B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EF00BC"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and procedures are in place and align with organisational requirements. These include emergency response, evacuation, communication, training, pandemic management, and civil defence preparedness. Policies outline staff roles and responsibilities and support a coordinated response to emergencies.</w:t>
            </w:r>
          </w:p>
          <w:p w14:paraId="3AFBDF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a structured emergency management approach consistent with organisational policy, including preparedness, response, and recovery. Emergency management resources are available on site, including an emergency management folder, emergency flip charts, and site-specific information to guide staff response. </w:t>
            </w:r>
          </w:p>
          <w:p w14:paraId="6BB061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scheme has been approved by Fire and Emergency New Zealand (9 June 2025). Fire exits, signage, fire separation, and manual call points are in place throughout the facility. Evacuation equipment, including evacuation chairs and evacuation mattresses, is available. Fire drills are conducted at regular intervals, with the most recent drill completed in October 2025. Staff confirmed understanding of </w:t>
            </w:r>
            <w:r w:rsidRPr="00BE00C7">
              <w:rPr>
                <w:rFonts w:cs="Arial"/>
                <w:lang w:eastAsia="en-NZ"/>
              </w:rPr>
              <w:lastRenderedPageBreak/>
              <w:t>emergency procedures.</w:t>
            </w:r>
          </w:p>
          <w:p w14:paraId="6899881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preparedness is supported by adequate resources. A generator is available (through an external contractor) to provide emergency power supply, and water storage of approximately 6000 litres is maintained in accordance with civil defence requirements. Civil defence kits are available in each unit and at reception. Emergency supplies, role-specific lanyards, and response tools are in place to support effective management of emergency events.</w:t>
            </w:r>
          </w:p>
          <w:p w14:paraId="650719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response is coordinated by the most senior staff member on site at the time of an event, with escalation to management and external emergency services as required. The organisation utilises a structured emergency management system to support coordinated response and communication during incidents. </w:t>
            </w:r>
          </w:p>
          <w:p w14:paraId="5C5E85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education includes emergency management, fire safety, first aid, and CPR as part of the mandatory training programme. Staff hold current first aid certificates, ensuring first aid coverage on each shift. First aid kits are available at nurses’ stations and key locations, and an external defibrillator is located at reception.</w:t>
            </w:r>
          </w:p>
          <w:p w14:paraId="313486BF" w14:textId="77777777" w:rsidR="00000000" w:rsidRPr="00BE00C7" w:rsidRDefault="00000000" w:rsidP="00BE00C7">
            <w:pPr>
              <w:pStyle w:val="OutcomeDescription"/>
              <w:spacing w:before="120" w:after="120"/>
              <w:rPr>
                <w:rFonts w:cs="Arial"/>
                <w:lang w:eastAsia="en-NZ"/>
              </w:rPr>
            </w:pPr>
            <w:r w:rsidRPr="00BE00C7">
              <w:rPr>
                <w:rFonts w:cs="Arial"/>
                <w:lang w:eastAsia="en-NZ"/>
              </w:rPr>
              <w:t>A call bell system is installed throughout the facility, including bedrooms, ensuites, and communal areas. The system includes pager functionality to alert staff and supports the use of pendant devices where required. Sensor technology is integrated, including bed sensors and lighting activation to support resident safety. Call bell response times are monitored, and routine testing is completed as part of the maintenance programme. The system was operational on the day of audit.</w:t>
            </w:r>
          </w:p>
          <w:p w14:paraId="472221E8" w14:textId="77777777" w:rsidR="00000000" w:rsidRPr="00BE00C7" w:rsidRDefault="00000000" w:rsidP="00BE00C7">
            <w:pPr>
              <w:pStyle w:val="OutcomeDescription"/>
              <w:spacing w:before="120" w:after="120"/>
              <w:rPr>
                <w:rFonts w:cs="Arial"/>
                <w:lang w:eastAsia="en-NZ"/>
              </w:rPr>
            </w:pPr>
            <w:r w:rsidRPr="00BE00C7">
              <w:rPr>
                <w:rFonts w:cs="Arial"/>
                <w:lang w:eastAsia="en-NZ"/>
              </w:rPr>
              <w:t>Security systems are in place to ensure a safe environment. External doors are secured at pre-determined times, with keypad or controlled access afterhours. Entry to the facility is managed via intercom and speaker access. Closed-circuit monitoring is in place at entrances and key areas. Staff are identifiable and follow documented security procedures.</w:t>
            </w:r>
          </w:p>
          <w:p w14:paraId="037B96EE" w14:textId="77777777" w:rsidR="00000000" w:rsidRPr="00BE00C7" w:rsidRDefault="00000000" w:rsidP="00BE00C7">
            <w:pPr>
              <w:pStyle w:val="OutcomeDescription"/>
              <w:spacing w:before="120" w:after="120"/>
              <w:rPr>
                <w:rFonts w:cs="Arial"/>
                <w:lang w:eastAsia="en-NZ"/>
              </w:rPr>
            </w:pPr>
          </w:p>
        </w:tc>
      </w:tr>
      <w:tr w:rsidR="00164E58" w14:paraId="583FD210" w14:textId="77777777">
        <w:tc>
          <w:tcPr>
            <w:tcW w:w="0" w:type="auto"/>
          </w:tcPr>
          <w:p w14:paraId="0B2111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EA2E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lastRenderedPageBreak/>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BD84F58" w14:textId="77777777" w:rsidR="00000000" w:rsidRPr="00BE00C7" w:rsidRDefault="00000000" w:rsidP="00BE00C7">
            <w:pPr>
              <w:pStyle w:val="OutcomeDescription"/>
              <w:spacing w:before="120" w:after="120"/>
              <w:rPr>
                <w:rFonts w:cs="Arial"/>
                <w:lang w:eastAsia="en-NZ"/>
              </w:rPr>
            </w:pPr>
          </w:p>
        </w:tc>
        <w:tc>
          <w:tcPr>
            <w:tcW w:w="0" w:type="auto"/>
          </w:tcPr>
          <w:p w14:paraId="5468B1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7F55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w:t>
            </w:r>
            <w:r w:rsidRPr="00BE00C7">
              <w:rPr>
                <w:rFonts w:cs="Arial"/>
                <w:lang w:eastAsia="en-NZ"/>
              </w:rPr>
              <w:lastRenderedPageBreak/>
              <w:t xml:space="preserve">ensure an environment that minimises the risk of infection to residents, staff, and visitors. </w:t>
            </w:r>
          </w:p>
          <w:p w14:paraId="6304A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clinical lead (RN), and local infection control specialist team at Public Health and consulting with the general practitioners. </w:t>
            </w:r>
          </w:p>
          <w:p w14:paraId="441E36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Board.</w:t>
            </w:r>
          </w:p>
          <w:p w14:paraId="5613C0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4EC0DF35" w14:textId="77777777" w:rsidR="00000000" w:rsidRPr="00BE00C7" w:rsidRDefault="00000000" w:rsidP="00BE00C7">
            <w:pPr>
              <w:pStyle w:val="OutcomeDescription"/>
              <w:spacing w:before="120" w:after="120"/>
              <w:rPr>
                <w:rFonts w:cs="Arial"/>
                <w:lang w:eastAsia="en-NZ"/>
              </w:rPr>
            </w:pPr>
          </w:p>
        </w:tc>
      </w:tr>
      <w:tr w:rsidR="00164E58" w14:paraId="051804C1" w14:textId="77777777">
        <w:tc>
          <w:tcPr>
            <w:tcW w:w="0" w:type="auto"/>
          </w:tcPr>
          <w:p w14:paraId="236A99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B910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039CD2" w14:textId="77777777" w:rsidR="00000000" w:rsidRPr="00BE00C7" w:rsidRDefault="00000000" w:rsidP="00BE00C7">
            <w:pPr>
              <w:pStyle w:val="OutcomeDescription"/>
              <w:spacing w:before="120" w:after="120"/>
              <w:rPr>
                <w:rFonts w:cs="Arial"/>
                <w:lang w:eastAsia="en-NZ"/>
              </w:rPr>
            </w:pPr>
          </w:p>
        </w:tc>
        <w:tc>
          <w:tcPr>
            <w:tcW w:w="0" w:type="auto"/>
          </w:tcPr>
          <w:p w14:paraId="46A3CE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33B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infection control specialist reviewed the IPAS programme and associated policies annually. </w:t>
            </w:r>
          </w:p>
          <w:p w14:paraId="4F4570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support lead has a signed job description. The infection prevention and control lead for the service is the clinical manager (a registered nurse), who has completed additional training around infection control and antimicrobial </w:t>
            </w:r>
            <w:r w:rsidRPr="00BE00C7">
              <w:rPr>
                <w:rFonts w:cs="Arial"/>
                <w:lang w:eastAsia="en-NZ"/>
              </w:rPr>
              <w:lastRenderedPageBreak/>
              <w:t xml:space="preserve">use. </w:t>
            </w:r>
          </w:p>
          <w:p w14:paraId="36044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Committee meets every two months and reviews the two monthly trends; weekly management meetings review new infections and emergent issues. Service meetings discuss relevant policy and document changes, relevant education, data and analysis, audits, and any concerns. The village IPAS committee is led by the infection prevention and control lead and representative staff from all the roles within the service including (but not limited to) village manager, resident service manager (with oversight of cleaning, laundry, and kitchen), and unit-coordinators. </w:t>
            </w:r>
          </w:p>
          <w:p w14:paraId="5DA33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infection control specialist. On interview, staff were familiar with infection prevention practices and confirmed ongoing training and annual competencies for hand hygiene and correct use of personal protective equipment. The infection control audit monitors the effectiveness of education and infection control practices. The infection control specialist has input in the procurement of consumables and personal protective equipment (PPE). Sufficient IP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infection prevention and control lead conducts spot audits on hand hygiene practices six-monthly. The service has infection prevention information and hand hygiene posters in te reo Māori. </w:t>
            </w:r>
          </w:p>
          <w:p w14:paraId="592D8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lead stated they collaborate with Māori residents, in partnership with them and their whānau, for the protection of culturally safe practices in infection prevention, acknowledging the spirit of Te Tiriti o Waitangi.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prevention and control lead would be involved should there be any changes or refurbishment of the facility. The procedures to check these are included in the internal audit system. </w:t>
            </w:r>
          </w:p>
          <w:p w14:paraId="435108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and emails. Visitors are asked not to visit if unwell. There are hand sanitisers, plastic aprons and gloves strategically placed around the facility near point of care. Handbasins all have flowing soap and paper towels.</w:t>
            </w:r>
          </w:p>
          <w:p w14:paraId="16ACFAA3" w14:textId="77777777" w:rsidR="00000000" w:rsidRPr="00BE00C7" w:rsidRDefault="00000000" w:rsidP="00BE00C7">
            <w:pPr>
              <w:pStyle w:val="OutcomeDescription"/>
              <w:spacing w:before="120" w:after="120"/>
              <w:rPr>
                <w:rFonts w:cs="Arial"/>
                <w:lang w:eastAsia="en-NZ"/>
              </w:rPr>
            </w:pPr>
          </w:p>
        </w:tc>
      </w:tr>
      <w:tr w:rsidR="00164E58" w14:paraId="03237CE9" w14:textId="77777777">
        <w:tc>
          <w:tcPr>
            <w:tcW w:w="0" w:type="auto"/>
          </w:tcPr>
          <w:p w14:paraId="057B02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B2776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3F9C1ED" w14:textId="77777777" w:rsidR="00000000" w:rsidRPr="00BE00C7" w:rsidRDefault="00000000" w:rsidP="00BE00C7">
            <w:pPr>
              <w:pStyle w:val="OutcomeDescription"/>
              <w:spacing w:before="120" w:after="120"/>
              <w:rPr>
                <w:rFonts w:cs="Arial"/>
                <w:lang w:eastAsia="en-NZ"/>
              </w:rPr>
            </w:pPr>
          </w:p>
        </w:tc>
        <w:tc>
          <w:tcPr>
            <w:tcW w:w="0" w:type="auto"/>
          </w:tcPr>
          <w:p w14:paraId="6F9168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549B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and approved by the clinical governance committee. The Village IPAS Committee reports to the IPAS Operational Team, which in turn reports to the IPAS Advisory Committee, who report to the clinical governance committee.</w:t>
            </w:r>
          </w:p>
          <w:p w14:paraId="20D770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aims to promote optimal antimicrobial management to maximise the effectiveness of treatment and minimise potential for harm. Responsible use of antimicrobials is promoted. The Ryman medication advisory committee (MAC) works in collaboration with the Villages’ infection prevention and control lead, infection control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infection prevention and control lead reported that any adverse effects are reported to the infection control specialist and general practitioner.</w:t>
            </w:r>
          </w:p>
          <w:p w14:paraId="04105F45" w14:textId="77777777" w:rsidR="00000000" w:rsidRPr="00BE00C7" w:rsidRDefault="00000000" w:rsidP="00BE00C7">
            <w:pPr>
              <w:pStyle w:val="OutcomeDescription"/>
              <w:spacing w:before="120" w:after="120"/>
              <w:rPr>
                <w:rFonts w:cs="Arial"/>
                <w:lang w:eastAsia="en-NZ"/>
              </w:rPr>
            </w:pPr>
          </w:p>
        </w:tc>
      </w:tr>
      <w:tr w:rsidR="00164E58" w14:paraId="397C2651" w14:textId="77777777">
        <w:tc>
          <w:tcPr>
            <w:tcW w:w="0" w:type="auto"/>
          </w:tcPr>
          <w:p w14:paraId="037BBB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CE37A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D7214A" w14:textId="77777777" w:rsidR="00000000" w:rsidRPr="00BE00C7" w:rsidRDefault="00000000" w:rsidP="00BE00C7">
            <w:pPr>
              <w:pStyle w:val="OutcomeDescription"/>
              <w:spacing w:before="120" w:after="120"/>
              <w:rPr>
                <w:rFonts w:cs="Arial"/>
                <w:lang w:eastAsia="en-NZ"/>
              </w:rPr>
            </w:pPr>
          </w:p>
        </w:tc>
        <w:tc>
          <w:tcPr>
            <w:tcW w:w="0" w:type="auto"/>
          </w:tcPr>
          <w:p w14:paraId="412522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AB28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w:t>
            </w:r>
            <w:r w:rsidRPr="00BE00C7">
              <w:rPr>
                <w:rFonts w:cs="Arial"/>
                <w:lang w:eastAsia="en-NZ"/>
              </w:rPr>
              <w:lastRenderedPageBreak/>
              <w:t xml:space="preserve">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The service has low rates of infections compared to other Ryman facilities of similar size. </w:t>
            </w:r>
          </w:p>
          <w:p w14:paraId="6945650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monthly staff meetings. Infection surveillance data is reported to the governance body through clinical indicators reports. The service incorporates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264247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lead described the outbreak management plan in place to manage previous Covid-19, gastrointestinal and influenza like illness outbreaks within the facility. Outbreak management plans and post outbreak meetings were sighted for the outbreaks of Influenza like (October 2025 and November 2025), Covid-19 (December 2025) and gastrointestinal (December 2025). These included notifying Public Health and completion of daily case logs, notifying family/whānau, increased monitoring of residents, cleaning, catering, laundry, waste disposal, recovery, communication, and a summary of the successfulness of the response. </w:t>
            </w:r>
          </w:p>
          <w:p w14:paraId="57B0ECE0" w14:textId="77777777" w:rsidR="00000000" w:rsidRPr="00BE00C7" w:rsidRDefault="00000000" w:rsidP="00BE00C7">
            <w:pPr>
              <w:pStyle w:val="OutcomeDescription"/>
              <w:spacing w:before="120" w:after="120"/>
              <w:rPr>
                <w:rFonts w:cs="Arial"/>
                <w:lang w:eastAsia="en-NZ"/>
              </w:rPr>
            </w:pPr>
          </w:p>
        </w:tc>
      </w:tr>
      <w:tr w:rsidR="00164E58" w14:paraId="1B6A4CFC" w14:textId="77777777">
        <w:tc>
          <w:tcPr>
            <w:tcW w:w="0" w:type="auto"/>
          </w:tcPr>
          <w:p w14:paraId="6AD6BC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AFEFB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32FE3551" w14:textId="77777777" w:rsidR="00000000" w:rsidRPr="00BE00C7" w:rsidRDefault="00000000" w:rsidP="00BE00C7">
            <w:pPr>
              <w:pStyle w:val="OutcomeDescription"/>
              <w:spacing w:before="120" w:after="120"/>
              <w:rPr>
                <w:rFonts w:cs="Arial"/>
                <w:lang w:eastAsia="en-NZ"/>
              </w:rPr>
            </w:pPr>
          </w:p>
        </w:tc>
        <w:tc>
          <w:tcPr>
            <w:tcW w:w="0" w:type="auto"/>
          </w:tcPr>
          <w:p w14:paraId="5D503B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F5ED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were clearly labelled with manufacturer’s labels and stored in locked areas. The trolleys are kept in locked cleaner’s rooms in each unit when not in use. Safety data sheets and product sheets were available. Sharps containers were available and met the hazardous substances regulations for containers. Gloves, aprons, and masks were available for staff, and they were observed to be wearing these, as they performed their duties on the days of audit. There is a sluice room in each area and a sanitiser with stainless steel bench and separate handwashing </w:t>
            </w:r>
            <w:r w:rsidRPr="00BE00C7">
              <w:rPr>
                <w:rFonts w:cs="Arial"/>
                <w:lang w:eastAsia="en-NZ"/>
              </w:rPr>
              <w:lastRenderedPageBreak/>
              <w:t>facilities. Eye protection wear and other PPE were available. Staff have completed chemical safety training. Laundry and cleaning processes are monitored for effectiveness through internal audits and resident and family/whānau feedback.</w:t>
            </w:r>
          </w:p>
          <w:p w14:paraId="1AB5DA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designated laundry staff on duty each day till 9 pm. There is clear separation between the handling and storage of clean and dirty laundry. Personal laundry is delivered back to residents in named baskets. There is enough space for linen storage. The linen cupboards were well stocked, and linen sighted was in good condition. Cleaning and laundry services are monitored through the internal auditing system. The washing machines and dryers are checked and serviced regularly. </w:t>
            </w:r>
          </w:p>
          <w:p w14:paraId="4D9E1A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lead and resident services manager oversee the implementation of the cleaning and laundry audits.</w:t>
            </w:r>
          </w:p>
          <w:p w14:paraId="45605359" w14:textId="77777777" w:rsidR="00000000" w:rsidRPr="00BE00C7" w:rsidRDefault="00000000" w:rsidP="00BE00C7">
            <w:pPr>
              <w:pStyle w:val="OutcomeDescription"/>
              <w:spacing w:before="120" w:after="120"/>
              <w:rPr>
                <w:rFonts w:cs="Arial"/>
                <w:lang w:eastAsia="en-NZ"/>
              </w:rPr>
            </w:pPr>
          </w:p>
        </w:tc>
      </w:tr>
      <w:tr w:rsidR="00164E58" w14:paraId="3A920DDC" w14:textId="77777777">
        <w:tc>
          <w:tcPr>
            <w:tcW w:w="0" w:type="auto"/>
          </w:tcPr>
          <w:p w14:paraId="581816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F1A39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14B3E3" w14:textId="77777777" w:rsidR="00000000" w:rsidRPr="00BE00C7" w:rsidRDefault="00000000" w:rsidP="00BE00C7">
            <w:pPr>
              <w:pStyle w:val="OutcomeDescription"/>
              <w:spacing w:before="120" w:after="120"/>
              <w:rPr>
                <w:rFonts w:cs="Arial"/>
                <w:lang w:eastAsia="en-NZ"/>
              </w:rPr>
            </w:pPr>
          </w:p>
        </w:tc>
        <w:tc>
          <w:tcPr>
            <w:tcW w:w="0" w:type="auto"/>
          </w:tcPr>
          <w:p w14:paraId="6145C3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676D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demonstrates a clear commitment to a restraint-free environment, supported by organisational policy that states restraint is used as a last resort. Policies and procedures are aligned with the restraint elimination and safe practice standard and are reviewed centrally through organisational systems to ensure currency and consistency with best practice.</w:t>
            </w:r>
          </w:p>
          <w:p w14:paraId="36DF368A"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oversight of restraint is demonstrated through regular reporting to board and clinical governance committees, where restraint usage across the organisation is monitored alongside strategies to reduce restraint. Clinical indicator reporting, including restraint use, is reviewed through clinical governance structures and the clinical council. At a service level, restraint use is monitored through clinical and quality meetings, with a monthly restraint summary reported to head office. A restraint approval committee meets six-monthly to review restraint use, falls, behavioural concerns, and the use of antipsychotic medications, supporting data-informed decision-making and ongoing restraint minimisation strategies.</w:t>
            </w:r>
          </w:p>
          <w:p w14:paraId="2C3C0A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works in collaboration with the organisation’s clinical quality team to ensure that any restraint use is appropriate, alternatives have been trialled, and required documentation is completed. A designated </w:t>
            </w:r>
            <w:r w:rsidRPr="00BE00C7">
              <w:rPr>
                <w:rFonts w:cs="Arial"/>
                <w:lang w:eastAsia="en-NZ"/>
              </w:rPr>
              <w:lastRenderedPageBreak/>
              <w:t>restraint coordinator (clinical manager) is responsible for oversight of restraint practices within the service, including monitoring, staff support, and ensuring compliance with organisational policies and procedures.</w:t>
            </w:r>
          </w:p>
          <w:p w14:paraId="166AA29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require that any consideration of restraint be undertaken using a least restrictive approach, in partnership with residents and their family/whānau, and with recognition of mana-enhancing practices for Māori. Policies and procedures include requirements for holistic assessment, approval processes, ongoing monitoring, and regular review of restraint use, with a strong emphasis on alternative interventions and de-escalation strategies.</w:t>
            </w:r>
          </w:p>
          <w:p w14:paraId="13EC648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education supports a culture of restraint elimination. Training in least restrictive practice, safe restraint use, and management of distressed behaviour is included in orientation and ongoing mandatory education programmes.</w:t>
            </w:r>
          </w:p>
          <w:p w14:paraId="6ED8870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using restraint. Approved restraint types within the organisation include bed rails and chair brief restraint. Seclusion is not used.</w:t>
            </w:r>
          </w:p>
          <w:p w14:paraId="03C1BD91" w14:textId="77777777" w:rsidR="00000000" w:rsidRPr="00BE00C7" w:rsidRDefault="00000000" w:rsidP="00BE00C7">
            <w:pPr>
              <w:pStyle w:val="OutcomeDescription"/>
              <w:spacing w:before="120" w:after="120"/>
              <w:rPr>
                <w:rFonts w:cs="Arial"/>
                <w:lang w:eastAsia="en-NZ"/>
              </w:rPr>
            </w:pPr>
          </w:p>
        </w:tc>
      </w:tr>
    </w:tbl>
    <w:p w14:paraId="102A94E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C9E3B0D" w14:textId="77777777" w:rsidR="00000000" w:rsidRDefault="00000000">
      <w:pPr>
        <w:pStyle w:val="Heading1"/>
        <w:rPr>
          <w:rFonts w:cs="Arial"/>
        </w:rPr>
      </w:pPr>
      <w:r>
        <w:rPr>
          <w:rFonts w:cs="Arial"/>
        </w:rPr>
        <w:lastRenderedPageBreak/>
        <w:t>Specific results for criterion where corrective actions are required</w:t>
      </w:r>
    </w:p>
    <w:p w14:paraId="6D4C4E3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6194C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1959FC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64E58" w14:paraId="223FC42F" w14:textId="77777777">
        <w:tc>
          <w:tcPr>
            <w:tcW w:w="0" w:type="auto"/>
          </w:tcPr>
          <w:p w14:paraId="141FC7C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55FCF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D66AEC" w14:textId="77777777" w:rsidR="00000000" w:rsidRDefault="00000000">
      <w:pPr>
        <w:pStyle w:val="Heading1"/>
        <w:rPr>
          <w:rFonts w:cs="Arial"/>
        </w:rPr>
      </w:pPr>
      <w:r>
        <w:rPr>
          <w:rFonts w:cs="Arial"/>
        </w:rPr>
        <w:lastRenderedPageBreak/>
        <w:t>Specific results for criterion where a continuous improvement has been recorded</w:t>
      </w:r>
    </w:p>
    <w:p w14:paraId="00D0956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CFFAC8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8AFF1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64E58" w14:paraId="098769B4" w14:textId="77777777">
        <w:tc>
          <w:tcPr>
            <w:tcW w:w="0" w:type="auto"/>
          </w:tcPr>
          <w:p w14:paraId="0A696D0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AEEC38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4D0FC0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EDD6" w14:textId="77777777" w:rsidR="006548E1" w:rsidRDefault="006548E1">
      <w:r>
        <w:separator/>
      </w:r>
    </w:p>
  </w:endnote>
  <w:endnote w:type="continuationSeparator" w:id="0">
    <w:p w14:paraId="4F38D725" w14:textId="77777777" w:rsidR="006548E1" w:rsidRDefault="0065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7915" w14:textId="77777777" w:rsidR="00000000" w:rsidRDefault="00000000">
    <w:pPr>
      <w:pStyle w:val="Footer"/>
    </w:pPr>
  </w:p>
  <w:p w14:paraId="6910088C" w14:textId="77777777" w:rsidR="00000000" w:rsidRDefault="00000000"/>
  <w:p w14:paraId="2724CEA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22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Kevin Hickman Retirement Village Limited - Kevin Hickman Retirement Village</w:t>
    </w:r>
    <w:bookmarkEnd w:id="59"/>
    <w:r>
      <w:rPr>
        <w:rFonts w:cs="Arial"/>
        <w:sz w:val="16"/>
        <w:szCs w:val="20"/>
      </w:rPr>
      <w:tab/>
      <w:t xml:space="preserve">Date of Audit: </w:t>
    </w:r>
    <w:bookmarkStart w:id="60" w:name="AuditStartDate1"/>
    <w:r>
      <w:rPr>
        <w:rFonts w:cs="Arial"/>
        <w:sz w:val="16"/>
        <w:szCs w:val="20"/>
      </w:rPr>
      <w:t>17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64F3C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02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935D" w14:textId="77777777" w:rsidR="006548E1" w:rsidRDefault="006548E1">
      <w:r>
        <w:separator/>
      </w:r>
    </w:p>
  </w:footnote>
  <w:footnote w:type="continuationSeparator" w:id="0">
    <w:p w14:paraId="606C652E" w14:textId="77777777" w:rsidR="006548E1" w:rsidRDefault="0065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33B" w14:textId="77777777" w:rsidR="00000000" w:rsidRDefault="00000000">
    <w:pPr>
      <w:pStyle w:val="Header"/>
    </w:pPr>
  </w:p>
  <w:p w14:paraId="347B786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C811" w14:textId="77777777" w:rsidR="00000000" w:rsidRDefault="00000000">
    <w:pPr>
      <w:pStyle w:val="Header"/>
    </w:pPr>
  </w:p>
  <w:p w14:paraId="2163247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D44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DEE1FA2">
      <w:start w:val="1"/>
      <w:numFmt w:val="decimal"/>
      <w:lvlText w:val="%1."/>
      <w:lvlJc w:val="left"/>
      <w:pPr>
        <w:ind w:left="360" w:hanging="360"/>
      </w:pPr>
    </w:lvl>
    <w:lvl w:ilvl="1" w:tplc="14623558" w:tentative="1">
      <w:start w:val="1"/>
      <w:numFmt w:val="lowerLetter"/>
      <w:lvlText w:val="%2."/>
      <w:lvlJc w:val="left"/>
      <w:pPr>
        <w:ind w:left="1080" w:hanging="360"/>
      </w:pPr>
    </w:lvl>
    <w:lvl w:ilvl="2" w:tplc="F54860CC" w:tentative="1">
      <w:start w:val="1"/>
      <w:numFmt w:val="lowerRoman"/>
      <w:lvlText w:val="%3."/>
      <w:lvlJc w:val="right"/>
      <w:pPr>
        <w:ind w:left="1800" w:hanging="180"/>
      </w:pPr>
    </w:lvl>
    <w:lvl w:ilvl="3" w:tplc="E3A0F072" w:tentative="1">
      <w:start w:val="1"/>
      <w:numFmt w:val="decimal"/>
      <w:lvlText w:val="%4."/>
      <w:lvlJc w:val="left"/>
      <w:pPr>
        <w:ind w:left="2520" w:hanging="360"/>
      </w:pPr>
    </w:lvl>
    <w:lvl w:ilvl="4" w:tplc="0368EEA4" w:tentative="1">
      <w:start w:val="1"/>
      <w:numFmt w:val="lowerLetter"/>
      <w:lvlText w:val="%5."/>
      <w:lvlJc w:val="left"/>
      <w:pPr>
        <w:ind w:left="3240" w:hanging="360"/>
      </w:pPr>
    </w:lvl>
    <w:lvl w:ilvl="5" w:tplc="D05C14A4" w:tentative="1">
      <w:start w:val="1"/>
      <w:numFmt w:val="lowerRoman"/>
      <w:lvlText w:val="%6."/>
      <w:lvlJc w:val="right"/>
      <w:pPr>
        <w:ind w:left="3960" w:hanging="180"/>
      </w:pPr>
    </w:lvl>
    <w:lvl w:ilvl="6" w:tplc="3DB81BFC" w:tentative="1">
      <w:start w:val="1"/>
      <w:numFmt w:val="decimal"/>
      <w:lvlText w:val="%7."/>
      <w:lvlJc w:val="left"/>
      <w:pPr>
        <w:ind w:left="4680" w:hanging="360"/>
      </w:pPr>
    </w:lvl>
    <w:lvl w:ilvl="7" w:tplc="E718212A" w:tentative="1">
      <w:start w:val="1"/>
      <w:numFmt w:val="lowerLetter"/>
      <w:lvlText w:val="%8."/>
      <w:lvlJc w:val="left"/>
      <w:pPr>
        <w:ind w:left="5400" w:hanging="360"/>
      </w:pPr>
    </w:lvl>
    <w:lvl w:ilvl="8" w:tplc="B4C479A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4E4B4C2">
      <w:start w:val="1"/>
      <w:numFmt w:val="bullet"/>
      <w:lvlText w:val=""/>
      <w:lvlJc w:val="left"/>
      <w:pPr>
        <w:ind w:left="720" w:hanging="360"/>
      </w:pPr>
      <w:rPr>
        <w:rFonts w:ascii="Symbol" w:hAnsi="Symbol" w:hint="default"/>
      </w:rPr>
    </w:lvl>
    <w:lvl w:ilvl="1" w:tplc="038C669E" w:tentative="1">
      <w:start w:val="1"/>
      <w:numFmt w:val="bullet"/>
      <w:lvlText w:val="o"/>
      <w:lvlJc w:val="left"/>
      <w:pPr>
        <w:ind w:left="1440" w:hanging="360"/>
      </w:pPr>
      <w:rPr>
        <w:rFonts w:ascii="Courier New" w:hAnsi="Courier New" w:cs="Courier New" w:hint="default"/>
      </w:rPr>
    </w:lvl>
    <w:lvl w:ilvl="2" w:tplc="5C62B3BA" w:tentative="1">
      <w:start w:val="1"/>
      <w:numFmt w:val="bullet"/>
      <w:lvlText w:val=""/>
      <w:lvlJc w:val="left"/>
      <w:pPr>
        <w:ind w:left="2160" w:hanging="360"/>
      </w:pPr>
      <w:rPr>
        <w:rFonts w:ascii="Wingdings" w:hAnsi="Wingdings" w:hint="default"/>
      </w:rPr>
    </w:lvl>
    <w:lvl w:ilvl="3" w:tplc="75548B62" w:tentative="1">
      <w:start w:val="1"/>
      <w:numFmt w:val="bullet"/>
      <w:lvlText w:val=""/>
      <w:lvlJc w:val="left"/>
      <w:pPr>
        <w:ind w:left="2880" w:hanging="360"/>
      </w:pPr>
      <w:rPr>
        <w:rFonts w:ascii="Symbol" w:hAnsi="Symbol" w:hint="default"/>
      </w:rPr>
    </w:lvl>
    <w:lvl w:ilvl="4" w:tplc="D80A9168" w:tentative="1">
      <w:start w:val="1"/>
      <w:numFmt w:val="bullet"/>
      <w:lvlText w:val="o"/>
      <w:lvlJc w:val="left"/>
      <w:pPr>
        <w:ind w:left="3600" w:hanging="360"/>
      </w:pPr>
      <w:rPr>
        <w:rFonts w:ascii="Courier New" w:hAnsi="Courier New" w:cs="Courier New" w:hint="default"/>
      </w:rPr>
    </w:lvl>
    <w:lvl w:ilvl="5" w:tplc="CF520CAE" w:tentative="1">
      <w:start w:val="1"/>
      <w:numFmt w:val="bullet"/>
      <w:lvlText w:val=""/>
      <w:lvlJc w:val="left"/>
      <w:pPr>
        <w:ind w:left="4320" w:hanging="360"/>
      </w:pPr>
      <w:rPr>
        <w:rFonts w:ascii="Wingdings" w:hAnsi="Wingdings" w:hint="default"/>
      </w:rPr>
    </w:lvl>
    <w:lvl w:ilvl="6" w:tplc="C65C310C" w:tentative="1">
      <w:start w:val="1"/>
      <w:numFmt w:val="bullet"/>
      <w:lvlText w:val=""/>
      <w:lvlJc w:val="left"/>
      <w:pPr>
        <w:ind w:left="5040" w:hanging="360"/>
      </w:pPr>
      <w:rPr>
        <w:rFonts w:ascii="Symbol" w:hAnsi="Symbol" w:hint="default"/>
      </w:rPr>
    </w:lvl>
    <w:lvl w:ilvl="7" w:tplc="266EA6B8" w:tentative="1">
      <w:start w:val="1"/>
      <w:numFmt w:val="bullet"/>
      <w:lvlText w:val="o"/>
      <w:lvlJc w:val="left"/>
      <w:pPr>
        <w:ind w:left="5760" w:hanging="360"/>
      </w:pPr>
      <w:rPr>
        <w:rFonts w:ascii="Courier New" w:hAnsi="Courier New" w:cs="Courier New" w:hint="default"/>
      </w:rPr>
    </w:lvl>
    <w:lvl w:ilvl="8" w:tplc="4DAC1E64" w:tentative="1">
      <w:start w:val="1"/>
      <w:numFmt w:val="bullet"/>
      <w:lvlText w:val=""/>
      <w:lvlJc w:val="left"/>
      <w:pPr>
        <w:ind w:left="6480" w:hanging="360"/>
      </w:pPr>
      <w:rPr>
        <w:rFonts w:ascii="Wingdings" w:hAnsi="Wingdings" w:hint="default"/>
      </w:rPr>
    </w:lvl>
  </w:abstractNum>
  <w:num w:numId="1" w16cid:durableId="610665700">
    <w:abstractNumId w:val="1"/>
  </w:num>
  <w:num w:numId="2" w16cid:durableId="159149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E58"/>
    <w:rsid w:val="00164E58"/>
    <w:rsid w:val="006548E1"/>
    <w:rsid w:val="00A902AF"/>
    <w:rsid w:val="00C06F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6E5E"/>
  <w15:docId w15:val="{0A40C550-D7E2-4223-B537-20A467B4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15819</Words>
  <Characters>90172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2026-05-12T02:48:00Z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