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6B83" w14:textId="77777777" w:rsidR="00000000" w:rsidRDefault="00000000">
      <w:pPr>
        <w:pStyle w:val="Heading1"/>
        <w:rPr>
          <w:rFonts w:cs="Arial"/>
        </w:rPr>
      </w:pPr>
      <w:bookmarkStart w:id="0" w:name="PRMS_RIName"/>
      <w:r>
        <w:rPr>
          <w:rFonts w:cs="Arial"/>
        </w:rPr>
        <w:t>Glenhays Limited - Southanjer</w:t>
      </w:r>
      <w:bookmarkEnd w:id="0"/>
    </w:p>
    <w:p w14:paraId="4CA46452" w14:textId="77777777" w:rsidR="00000000" w:rsidRDefault="00000000">
      <w:pPr>
        <w:pStyle w:val="Heading2"/>
        <w:spacing w:after="0"/>
        <w:rPr>
          <w:rFonts w:cs="Arial"/>
        </w:rPr>
      </w:pPr>
      <w:r>
        <w:rPr>
          <w:rFonts w:cs="Arial"/>
        </w:rPr>
        <w:t>Introduction</w:t>
      </w:r>
    </w:p>
    <w:p w14:paraId="59A96E8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4035CCF"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00C4A8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293713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D6AF47E" w14:textId="77777777" w:rsidR="00000000" w:rsidRDefault="00000000">
      <w:pPr>
        <w:spacing w:before="240" w:after="240"/>
        <w:rPr>
          <w:rFonts w:cs="Arial"/>
          <w:lang w:eastAsia="en-NZ"/>
        </w:rPr>
      </w:pPr>
      <w:r>
        <w:rPr>
          <w:rFonts w:cs="Arial"/>
          <w:lang w:eastAsia="en-NZ"/>
        </w:rPr>
        <w:t>The specifics of this audit included:</w:t>
      </w:r>
    </w:p>
    <w:p w14:paraId="4B32516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468B44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Glenhays Limited</w:t>
      </w:r>
      <w:bookmarkEnd w:id="4"/>
    </w:p>
    <w:p w14:paraId="1FD8F0E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Southanjer</w:t>
      </w:r>
      <w:bookmarkEnd w:id="5"/>
    </w:p>
    <w:p w14:paraId="609F3B2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57ACB0C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March 2026</w:t>
      </w:r>
      <w:bookmarkEnd w:id="7"/>
      <w:r w:rsidRPr="009418D4">
        <w:rPr>
          <w:rFonts w:cs="Arial"/>
        </w:rPr>
        <w:tab/>
        <w:t xml:space="preserve">End date: </w:t>
      </w:r>
      <w:bookmarkStart w:id="8" w:name="AuditEndDate"/>
      <w:r>
        <w:rPr>
          <w:rFonts w:cs="Arial"/>
        </w:rPr>
        <w:t>19 March 2026</w:t>
      </w:r>
      <w:bookmarkEnd w:id="8"/>
    </w:p>
    <w:p w14:paraId="17061D2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098513B" w14:textId="77777777" w:rsidR="00F4690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4E7120E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507D093" w14:textId="77777777" w:rsidR="00000000" w:rsidRDefault="00000000">
      <w:pPr>
        <w:pStyle w:val="Heading1"/>
        <w:rPr>
          <w:rFonts w:cs="Arial"/>
        </w:rPr>
      </w:pPr>
      <w:r>
        <w:rPr>
          <w:rFonts w:cs="Arial"/>
        </w:rPr>
        <w:lastRenderedPageBreak/>
        <w:t>Executive summary of the audit</w:t>
      </w:r>
    </w:p>
    <w:p w14:paraId="77D97A01" w14:textId="77777777" w:rsidR="00000000" w:rsidRDefault="00000000">
      <w:pPr>
        <w:pStyle w:val="Heading2"/>
        <w:rPr>
          <w:rFonts w:cs="Arial"/>
        </w:rPr>
      </w:pPr>
      <w:r>
        <w:rPr>
          <w:rFonts w:cs="Arial"/>
        </w:rPr>
        <w:t>Introduction</w:t>
      </w:r>
    </w:p>
    <w:p w14:paraId="6D2A7A1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199A1D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DE2697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1F56C4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F46A18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3B070F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2E9D2C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F47CE2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0BB4D2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4690B" w14:paraId="4A2911CF" w14:textId="77777777">
        <w:trPr>
          <w:cantSplit/>
          <w:tblHeader/>
        </w:trPr>
        <w:tc>
          <w:tcPr>
            <w:tcW w:w="1260" w:type="dxa"/>
            <w:tcBorders>
              <w:bottom w:val="single" w:sz="4" w:space="0" w:color="000000"/>
            </w:tcBorders>
            <w:vAlign w:val="center"/>
          </w:tcPr>
          <w:p w14:paraId="3C8BE5D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DFCB7E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326FF9D" w14:textId="77777777" w:rsidR="00000000" w:rsidRDefault="00000000">
            <w:pPr>
              <w:spacing w:before="60" w:after="60"/>
              <w:rPr>
                <w:rFonts w:eastAsia="Calibri"/>
                <w:b/>
                <w:szCs w:val="24"/>
              </w:rPr>
            </w:pPr>
            <w:r>
              <w:rPr>
                <w:rFonts w:eastAsia="Calibri"/>
                <w:b/>
                <w:szCs w:val="24"/>
              </w:rPr>
              <w:t>Definition</w:t>
            </w:r>
          </w:p>
        </w:tc>
      </w:tr>
      <w:tr w:rsidR="00F4690B" w14:paraId="693C1334" w14:textId="77777777">
        <w:trPr>
          <w:cantSplit/>
          <w:trHeight w:val="964"/>
        </w:trPr>
        <w:tc>
          <w:tcPr>
            <w:tcW w:w="1260" w:type="dxa"/>
            <w:tcBorders>
              <w:bottom w:val="single" w:sz="4" w:space="0" w:color="000000"/>
            </w:tcBorders>
            <w:shd w:val="clear" w:color="0066FF" w:fill="0000FF"/>
            <w:vAlign w:val="center"/>
          </w:tcPr>
          <w:p w14:paraId="249D21F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B2DE76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B1394B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4690B" w14:paraId="5CC67AE6" w14:textId="77777777">
        <w:trPr>
          <w:cantSplit/>
          <w:trHeight w:val="964"/>
        </w:trPr>
        <w:tc>
          <w:tcPr>
            <w:tcW w:w="1260" w:type="dxa"/>
            <w:shd w:val="clear" w:color="33CC33" w:fill="00FF00"/>
            <w:vAlign w:val="center"/>
          </w:tcPr>
          <w:p w14:paraId="40B9A80E" w14:textId="77777777" w:rsidR="00000000" w:rsidRDefault="00000000">
            <w:pPr>
              <w:spacing w:before="60" w:after="60"/>
              <w:rPr>
                <w:rFonts w:eastAsia="Calibri"/>
                <w:szCs w:val="24"/>
              </w:rPr>
            </w:pPr>
          </w:p>
        </w:tc>
        <w:tc>
          <w:tcPr>
            <w:tcW w:w="7095" w:type="dxa"/>
            <w:shd w:val="clear" w:color="auto" w:fill="auto"/>
            <w:vAlign w:val="center"/>
          </w:tcPr>
          <w:p w14:paraId="2D70E5B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F29AC5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4690B" w14:paraId="10ECADAF" w14:textId="77777777">
        <w:trPr>
          <w:cantSplit/>
          <w:trHeight w:val="964"/>
        </w:trPr>
        <w:tc>
          <w:tcPr>
            <w:tcW w:w="1260" w:type="dxa"/>
            <w:tcBorders>
              <w:bottom w:val="single" w:sz="4" w:space="0" w:color="000000"/>
            </w:tcBorders>
            <w:shd w:val="clear" w:color="auto" w:fill="FFFF00"/>
            <w:vAlign w:val="center"/>
          </w:tcPr>
          <w:p w14:paraId="4565A0D9" w14:textId="77777777" w:rsidR="00000000" w:rsidRDefault="00000000">
            <w:pPr>
              <w:spacing w:before="60" w:after="60"/>
              <w:rPr>
                <w:rFonts w:eastAsia="Calibri"/>
                <w:szCs w:val="24"/>
              </w:rPr>
            </w:pPr>
          </w:p>
        </w:tc>
        <w:tc>
          <w:tcPr>
            <w:tcW w:w="7095" w:type="dxa"/>
            <w:shd w:val="clear" w:color="auto" w:fill="auto"/>
            <w:vAlign w:val="center"/>
          </w:tcPr>
          <w:p w14:paraId="66D86FC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84457E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4690B" w14:paraId="501DC84E" w14:textId="77777777">
        <w:trPr>
          <w:cantSplit/>
          <w:trHeight w:val="964"/>
        </w:trPr>
        <w:tc>
          <w:tcPr>
            <w:tcW w:w="1260" w:type="dxa"/>
            <w:tcBorders>
              <w:bottom w:val="single" w:sz="4" w:space="0" w:color="000000"/>
            </w:tcBorders>
            <w:shd w:val="clear" w:color="auto" w:fill="FFC800"/>
            <w:vAlign w:val="center"/>
          </w:tcPr>
          <w:p w14:paraId="62CFBC9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68382B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E3987D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4690B" w14:paraId="3CE25329" w14:textId="77777777">
        <w:trPr>
          <w:cantSplit/>
          <w:trHeight w:val="964"/>
        </w:trPr>
        <w:tc>
          <w:tcPr>
            <w:tcW w:w="1260" w:type="dxa"/>
            <w:shd w:val="clear" w:color="auto" w:fill="FF0000"/>
            <w:vAlign w:val="center"/>
          </w:tcPr>
          <w:p w14:paraId="219A39D2" w14:textId="77777777" w:rsidR="00000000" w:rsidRDefault="00000000">
            <w:pPr>
              <w:spacing w:before="60" w:after="60"/>
              <w:rPr>
                <w:rFonts w:eastAsia="Calibri"/>
                <w:szCs w:val="24"/>
              </w:rPr>
            </w:pPr>
          </w:p>
        </w:tc>
        <w:tc>
          <w:tcPr>
            <w:tcW w:w="7095" w:type="dxa"/>
            <w:shd w:val="clear" w:color="auto" w:fill="auto"/>
            <w:vAlign w:val="center"/>
          </w:tcPr>
          <w:p w14:paraId="34A8ECD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F925C0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19D3013" w14:textId="77777777" w:rsidR="00000000" w:rsidRDefault="00000000">
      <w:pPr>
        <w:pStyle w:val="Heading2"/>
        <w:spacing w:after="0"/>
        <w:rPr>
          <w:rFonts w:cs="Arial"/>
        </w:rPr>
      </w:pPr>
      <w:r>
        <w:rPr>
          <w:rFonts w:cs="Arial"/>
        </w:rPr>
        <w:t>General overview of the audit</w:t>
      </w:r>
    </w:p>
    <w:p w14:paraId="164A1D20" w14:textId="77777777" w:rsidR="00000000" w:rsidRDefault="00000000">
      <w:pPr>
        <w:spacing w:before="240" w:line="276" w:lineRule="auto"/>
        <w:rPr>
          <w:rFonts w:eastAsia="Calibri"/>
        </w:rPr>
      </w:pPr>
      <w:bookmarkStart w:id="13" w:name="GeneralOverview"/>
      <w:r w:rsidRPr="00A4268A">
        <w:rPr>
          <w:rFonts w:eastAsia="Calibri"/>
        </w:rPr>
        <w:t xml:space="preserve">Southanjer provides dementia level of care for up to 24 residents.  Located in a semi-rural setting on the outskirts of Oamaru, the service is operated by Glenhays Limited and managed by a facility manager who is also a shareholder of the entity.  </w:t>
      </w:r>
    </w:p>
    <w:p w14:paraId="344C0E65" w14:textId="77777777" w:rsidR="00F4690B" w:rsidRPr="00A4268A" w:rsidRDefault="00000000">
      <w:pPr>
        <w:spacing w:before="240" w:line="276" w:lineRule="auto"/>
        <w:rPr>
          <w:rFonts w:eastAsia="Calibri"/>
        </w:rPr>
      </w:pPr>
      <w:r w:rsidRPr="00A4268A">
        <w:rPr>
          <w:rFonts w:eastAsia="Calibri"/>
        </w:rPr>
        <w:t xml:space="preserve">On the first day of the audit there were 24 residents. </w:t>
      </w:r>
    </w:p>
    <w:p w14:paraId="64D11440" w14:textId="77777777" w:rsidR="00F4690B" w:rsidRPr="00A4268A" w:rsidRDefault="00000000">
      <w:pPr>
        <w:spacing w:before="240" w:line="276" w:lineRule="auto"/>
        <w:rPr>
          <w:rFonts w:eastAsia="Calibri"/>
        </w:rPr>
      </w:pPr>
      <w:r w:rsidRPr="00A4268A">
        <w:rPr>
          <w:rFonts w:eastAsia="Calibri"/>
        </w:rPr>
        <w:t>The facility manager is appropriately qualified and experienced and is supported by a team of registered nurses and an enrolled nurse.</w:t>
      </w:r>
    </w:p>
    <w:p w14:paraId="4402DA1B" w14:textId="77777777" w:rsidR="00F4690B"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NZS 8134:2021 and included review of policies and procedures, residents’ and staff files, observations, and interviews with residents, whānau, the facility manager, staff, a governance member, and a general practitioner.</w:t>
      </w:r>
    </w:p>
    <w:p w14:paraId="3C760524" w14:textId="77777777" w:rsidR="00F4690B" w:rsidRPr="00A4268A" w:rsidRDefault="00000000">
      <w:pPr>
        <w:spacing w:before="240" w:line="276" w:lineRule="auto"/>
        <w:rPr>
          <w:rFonts w:eastAsia="Calibri"/>
        </w:rPr>
      </w:pPr>
      <w:r w:rsidRPr="00A4268A">
        <w:rPr>
          <w:rFonts w:eastAsia="Calibri"/>
        </w:rPr>
        <w:t>Staff receive education and have policies and procedures in place to guide them in the safe delivery of care.</w:t>
      </w:r>
    </w:p>
    <w:p w14:paraId="16B00CEC" w14:textId="77777777" w:rsidR="00F4690B" w:rsidRPr="00A4268A" w:rsidRDefault="00000000">
      <w:pPr>
        <w:spacing w:before="240" w:line="276" w:lineRule="auto"/>
        <w:rPr>
          <w:rFonts w:eastAsia="Calibri"/>
        </w:rPr>
      </w:pPr>
      <w:r w:rsidRPr="00A4268A">
        <w:rPr>
          <w:rFonts w:eastAsia="Calibri"/>
        </w:rPr>
        <w:t>No areas were identified that require improvement.</w:t>
      </w:r>
    </w:p>
    <w:p w14:paraId="7AEC8136" w14:textId="77777777" w:rsidR="00F4690B" w:rsidRPr="00A4268A" w:rsidRDefault="00000000">
      <w:pPr>
        <w:spacing w:before="240" w:line="276" w:lineRule="auto"/>
        <w:rPr>
          <w:rFonts w:eastAsia="Calibri"/>
        </w:rPr>
      </w:pPr>
      <w:r w:rsidRPr="00A4268A">
        <w:rPr>
          <w:rFonts w:eastAsia="Calibri"/>
        </w:rPr>
        <w:t>The introduction of an external electronic aged care management software system and significantly increasing the size of the safe and secure outdoor space available to residents are worthy of continuous improvement ratings.</w:t>
      </w:r>
    </w:p>
    <w:bookmarkEnd w:id="13"/>
    <w:p w14:paraId="5E25FFC2" w14:textId="77777777" w:rsidR="00F4690B" w:rsidRPr="00A4268A" w:rsidRDefault="00F4690B">
      <w:pPr>
        <w:spacing w:before="240" w:line="276" w:lineRule="auto"/>
        <w:rPr>
          <w:rFonts w:eastAsia="Calibri"/>
        </w:rPr>
      </w:pPr>
    </w:p>
    <w:p w14:paraId="72D19B2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690B" w14:paraId="260ED41A" w14:textId="77777777" w:rsidTr="00A4268A">
        <w:trPr>
          <w:cantSplit/>
        </w:trPr>
        <w:tc>
          <w:tcPr>
            <w:tcW w:w="10206" w:type="dxa"/>
            <w:vAlign w:val="center"/>
          </w:tcPr>
          <w:p w14:paraId="6E3A13A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5113B3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118D04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FFBB2F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1EBBFD7" w14:textId="77777777" w:rsidR="00000000" w:rsidRDefault="00000000">
      <w:pPr>
        <w:spacing w:before="240" w:line="276" w:lineRule="auto"/>
        <w:rPr>
          <w:rFonts w:eastAsia="Calibri"/>
        </w:rPr>
      </w:pPr>
      <w:bookmarkStart w:id="16" w:name="ConsumerRights"/>
      <w:r w:rsidRPr="00A4268A">
        <w:rPr>
          <w:rFonts w:eastAsia="Calibri"/>
        </w:rPr>
        <w:t xml:space="preserve">Southanjer works collaboratively to support and encourage a Māori worldview of health in service delivery. Māori are provided with equitable and effective services based on Te Tiriti o Waitangi and the principles of mana motuhake. </w:t>
      </w:r>
    </w:p>
    <w:p w14:paraId="6C2B5F23" w14:textId="77777777" w:rsidR="00F4690B" w:rsidRPr="00A4268A" w:rsidRDefault="00000000">
      <w:pPr>
        <w:spacing w:before="240" w:line="276" w:lineRule="auto"/>
        <w:rPr>
          <w:rFonts w:eastAsia="Calibri"/>
        </w:rPr>
      </w:pPr>
      <w:r w:rsidRPr="00A4268A">
        <w:rPr>
          <w:rFonts w:eastAsia="Calibri"/>
        </w:rPr>
        <w:t xml:space="preserve">The service has processes in place to support the needs of Pacific peoples. </w:t>
      </w:r>
    </w:p>
    <w:p w14:paraId="56EDBF38" w14:textId="77777777" w:rsidR="00F4690B"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79CDAAC5" w14:textId="77777777" w:rsidR="00F4690B"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621D4931" w14:textId="77777777" w:rsidR="00F4690B"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188DBFEF" w14:textId="77777777" w:rsidR="00F4690B" w:rsidRPr="00A4268A" w:rsidRDefault="00F4690B">
      <w:pPr>
        <w:spacing w:before="240" w:line="276" w:lineRule="auto"/>
        <w:rPr>
          <w:rFonts w:eastAsia="Calibri"/>
        </w:rPr>
      </w:pPr>
    </w:p>
    <w:p w14:paraId="1108F33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690B" w14:paraId="03AEE33C" w14:textId="77777777" w:rsidTr="00A4268A">
        <w:trPr>
          <w:cantSplit/>
        </w:trPr>
        <w:tc>
          <w:tcPr>
            <w:tcW w:w="10206" w:type="dxa"/>
            <w:vAlign w:val="center"/>
          </w:tcPr>
          <w:p w14:paraId="1F67521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9C4C5F2"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CEAB85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7503190"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governing body/team assumes accountability for delivering a high-quality service. This includes supporting meaningful representation of Māori in governance groups, honouring Te Tiriti o Waitangi, and reducing barriers to improve outcomes and achieving equity for Māori and people with disabilities. </w:t>
      </w:r>
    </w:p>
    <w:p w14:paraId="0A8A4712" w14:textId="77777777" w:rsidR="00F4690B"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5D52446" w14:textId="77777777" w:rsidR="00F4690B"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Residents and whānau provide regular feedback and staff were involved in quality activities. An integrated approach includes the collection and analysis of quality improvement data, identifies trends, and leads to improvements. Actual and potential risks were identified and mitigated. </w:t>
      </w:r>
    </w:p>
    <w:p w14:paraId="0CDD8E1D" w14:textId="77777777" w:rsidR="00F4690B" w:rsidRPr="00A4268A" w:rsidRDefault="00000000">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2AA1AB9A" w14:textId="77777777" w:rsidR="00F4690B" w:rsidRPr="00A4268A" w:rsidRDefault="00000000">
      <w:pPr>
        <w:spacing w:before="240" w:line="276" w:lineRule="auto"/>
        <w:rPr>
          <w:rFonts w:eastAsia="Calibri"/>
        </w:rPr>
      </w:pPr>
      <w:r w:rsidRPr="00A4268A">
        <w:rPr>
          <w:rFonts w:eastAsia="Calibri"/>
        </w:rPr>
        <w:t>Staffing levels and skill mix meet the cultural and clinical needs of residents.</w:t>
      </w:r>
    </w:p>
    <w:p w14:paraId="17410E36" w14:textId="77777777" w:rsidR="00F4690B" w:rsidRPr="00A4268A" w:rsidRDefault="00000000">
      <w:pPr>
        <w:spacing w:before="240" w:line="276" w:lineRule="auto"/>
        <w:rPr>
          <w:rFonts w:eastAsia="Calibri"/>
        </w:rPr>
      </w:pPr>
      <w:r w:rsidRPr="00A4268A">
        <w:rPr>
          <w:rFonts w:eastAsia="Calibri"/>
        </w:rPr>
        <w:t xml:space="preserve">Staff are appointed, orientated and managed using current good practice. A systematic approach to identify and deliver ongoing learning supports safe, equitable service delivery. </w:t>
      </w:r>
    </w:p>
    <w:p w14:paraId="35CAEA3C" w14:textId="77777777" w:rsidR="00F4690B" w:rsidRPr="00A4268A" w:rsidRDefault="0000000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4488D79D" w14:textId="77777777" w:rsidR="00F4690B" w:rsidRPr="00A4268A" w:rsidRDefault="00F4690B">
      <w:pPr>
        <w:spacing w:before="240" w:line="276" w:lineRule="auto"/>
        <w:rPr>
          <w:rFonts w:eastAsia="Calibri"/>
        </w:rPr>
      </w:pPr>
    </w:p>
    <w:p w14:paraId="50C4776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690B" w14:paraId="7CE2166E" w14:textId="77777777" w:rsidTr="00A4268A">
        <w:trPr>
          <w:cantSplit/>
        </w:trPr>
        <w:tc>
          <w:tcPr>
            <w:tcW w:w="10206" w:type="dxa"/>
            <w:vAlign w:val="center"/>
          </w:tcPr>
          <w:p w14:paraId="1C2499C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32D5E4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E87DACF"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88374F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When residents are admitted to Southanjer, a person-centred and whānau-centred approach is adopted. Relevant accurate and appropriate information is provided to prospective residents, their legal representatives, and whānau at the point of admission to support informed decision-making and facilitate a smooth transition into the service.</w:t>
      </w:r>
    </w:p>
    <w:p w14:paraId="362C1801" w14:textId="77777777" w:rsidR="00F4690B" w:rsidRPr="00A4268A" w:rsidRDefault="00000000" w:rsidP="00621629">
      <w:pPr>
        <w:spacing w:before="240" w:line="276" w:lineRule="auto"/>
        <w:rPr>
          <w:rFonts w:eastAsia="Calibri"/>
        </w:rPr>
      </w:pPr>
      <w:r w:rsidRPr="00A4268A">
        <w:rPr>
          <w:rFonts w:eastAsia="Calibri"/>
        </w:rPr>
        <w:t xml:space="preserve">Southanjer works in partnership with the residents and their whānau to assess, plan and evaluate care.  Care plans were based on comprehensive information and accommodated any new problems that arose.  Files reviewed demonstrated that care met the needs of residents and whānau and was evaluated on a regular and timely basis. </w:t>
      </w:r>
    </w:p>
    <w:p w14:paraId="54A1AF23" w14:textId="77777777" w:rsidR="00F4690B" w:rsidRPr="00A4268A" w:rsidRDefault="00000000" w:rsidP="00621629">
      <w:pPr>
        <w:spacing w:before="240" w:line="276" w:lineRule="auto"/>
        <w:rPr>
          <w:rFonts w:eastAsia="Calibri"/>
        </w:rPr>
      </w:pPr>
      <w:r w:rsidRPr="00A4268A">
        <w:rPr>
          <w:rFonts w:eastAsia="Calibri"/>
        </w:rPr>
        <w:t xml:space="preserve">Residents are supported to maintain and develop their interests and participate in meaningful community and social activities suitable to their age and stage of life. </w:t>
      </w:r>
    </w:p>
    <w:p w14:paraId="59C8A436" w14:textId="77777777" w:rsidR="00F4690B" w:rsidRPr="00A4268A" w:rsidRDefault="00000000" w:rsidP="00621629">
      <w:pPr>
        <w:spacing w:before="240" w:line="276" w:lineRule="auto"/>
        <w:rPr>
          <w:rFonts w:eastAsia="Calibri"/>
        </w:rPr>
      </w:pPr>
      <w:r w:rsidRPr="00A4268A">
        <w:rPr>
          <w:rFonts w:eastAsia="Calibri"/>
        </w:rPr>
        <w:t>Medicines are safely managed and administered by staff who are competent to do so.</w:t>
      </w:r>
    </w:p>
    <w:p w14:paraId="015084F0" w14:textId="77777777" w:rsidR="00F4690B"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09088C16" w14:textId="77777777" w:rsidR="00F4690B"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27F2D181" w14:textId="77777777" w:rsidR="00F4690B" w:rsidRPr="00A4268A" w:rsidRDefault="00F4690B" w:rsidP="00621629">
      <w:pPr>
        <w:spacing w:before="240" w:line="276" w:lineRule="auto"/>
        <w:rPr>
          <w:rFonts w:eastAsia="Calibri"/>
        </w:rPr>
      </w:pPr>
    </w:p>
    <w:p w14:paraId="295C18F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690B" w14:paraId="323F139E" w14:textId="77777777" w:rsidTr="00A4268A">
        <w:trPr>
          <w:cantSplit/>
        </w:trPr>
        <w:tc>
          <w:tcPr>
            <w:tcW w:w="10206" w:type="dxa"/>
            <w:vAlign w:val="center"/>
          </w:tcPr>
          <w:p w14:paraId="4D36AEC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5DC183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798F6C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8E07582"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and biomedical equipment had been checked and tested as required. External areas are accessible, safe, and provide shade and seating.</w:t>
      </w:r>
    </w:p>
    <w:p w14:paraId="1608BF4A" w14:textId="77777777" w:rsidR="00F4690B"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and whānau interviewed understood emergency and security arrangements. Security is maintained.</w:t>
      </w:r>
    </w:p>
    <w:bookmarkEnd w:id="25"/>
    <w:p w14:paraId="689F4329" w14:textId="77777777" w:rsidR="00F4690B" w:rsidRPr="00A4268A" w:rsidRDefault="00F4690B">
      <w:pPr>
        <w:spacing w:before="240" w:line="276" w:lineRule="auto"/>
        <w:rPr>
          <w:rFonts w:eastAsia="Calibri"/>
        </w:rPr>
      </w:pPr>
    </w:p>
    <w:p w14:paraId="40E06E7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690B" w14:paraId="1AD170D3" w14:textId="77777777" w:rsidTr="00A4268A">
        <w:trPr>
          <w:cantSplit/>
        </w:trPr>
        <w:tc>
          <w:tcPr>
            <w:tcW w:w="10206" w:type="dxa"/>
            <w:vAlign w:val="center"/>
          </w:tcPr>
          <w:p w14:paraId="7CFA744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F4C296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7DD2B4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FE20D11"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 team approach, involving all registered nurses, is adopted to lead the programme. </w:t>
      </w:r>
    </w:p>
    <w:p w14:paraId="4E1C2AC7" w14:textId="77777777" w:rsidR="00F4690B" w:rsidRPr="00A4268A" w:rsidRDefault="00000000">
      <w:pPr>
        <w:spacing w:before="240" w:line="276" w:lineRule="auto"/>
        <w:rPr>
          <w:rFonts w:eastAsia="Calibri"/>
        </w:rPr>
      </w:pPr>
      <w:r w:rsidRPr="00A4268A">
        <w:rPr>
          <w:rFonts w:eastAsia="Calibri"/>
        </w:rPr>
        <w:t>The registered nurses are involved in procurement processes, any facility changes, and processes related to the decontamination of any reusable devices.</w:t>
      </w:r>
    </w:p>
    <w:p w14:paraId="29A1F9D3" w14:textId="77777777" w:rsidR="00F4690B"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5F9CBD9" w14:textId="77777777" w:rsidR="00F4690B"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1B0E2684" w14:textId="77777777" w:rsidR="00F4690B"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08E851E6" w14:textId="77777777" w:rsidR="00F4690B" w:rsidRPr="00A4268A" w:rsidRDefault="00F4690B">
      <w:pPr>
        <w:spacing w:before="240" w:line="276" w:lineRule="auto"/>
        <w:rPr>
          <w:rFonts w:eastAsia="Calibri"/>
        </w:rPr>
      </w:pPr>
    </w:p>
    <w:p w14:paraId="539AA405"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690B" w14:paraId="7E3F2023" w14:textId="77777777" w:rsidTr="00A4268A">
        <w:trPr>
          <w:cantSplit/>
        </w:trPr>
        <w:tc>
          <w:tcPr>
            <w:tcW w:w="10206" w:type="dxa"/>
            <w:vAlign w:val="center"/>
          </w:tcPr>
          <w:p w14:paraId="6E9327E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E6E01A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D42944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6C0CF55"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3DDECA05" w14:textId="77777777" w:rsidR="00F4690B" w:rsidRPr="00A4268A" w:rsidRDefault="00000000">
      <w:pPr>
        <w:spacing w:before="240" w:line="276" w:lineRule="auto"/>
        <w:rPr>
          <w:rFonts w:eastAsia="Calibri"/>
        </w:rPr>
      </w:pPr>
      <w:r w:rsidRPr="00A4268A">
        <w:rPr>
          <w:rFonts w:eastAsia="Calibri"/>
        </w:rPr>
        <w:t>A comprehensive assessment, approval and monitoring process, with regular reviews, is in place should restraint use be required in the future.</w:t>
      </w:r>
    </w:p>
    <w:p w14:paraId="26F8E900" w14:textId="77777777" w:rsidR="00F4690B" w:rsidRPr="00A4268A" w:rsidRDefault="00000000">
      <w:pPr>
        <w:spacing w:before="240" w:line="276" w:lineRule="auto"/>
        <w:rPr>
          <w:rFonts w:eastAsia="Calibri"/>
        </w:rPr>
      </w:pPr>
      <w:r w:rsidRPr="00A4268A">
        <w:rPr>
          <w:rFonts w:eastAsia="Calibri"/>
        </w:rPr>
        <w:t>A suitably qualified restraint coordinator manages the process. Staff interviewed demonstrated a sound knowledge and understanding of providing the least restrictive practice, de-escalation techniques, and alternative interventions to restraint.</w:t>
      </w:r>
    </w:p>
    <w:bookmarkEnd w:id="31"/>
    <w:p w14:paraId="360F6DE8" w14:textId="77777777" w:rsidR="00F4690B" w:rsidRPr="00A4268A" w:rsidRDefault="00F4690B">
      <w:pPr>
        <w:spacing w:before="240" w:line="276" w:lineRule="auto"/>
        <w:rPr>
          <w:rFonts w:eastAsia="Calibri"/>
        </w:rPr>
      </w:pPr>
    </w:p>
    <w:p w14:paraId="08F82D02" w14:textId="77777777" w:rsidR="00000000" w:rsidRDefault="00000000" w:rsidP="000E6E02">
      <w:pPr>
        <w:pStyle w:val="Heading2"/>
        <w:spacing w:before="0"/>
        <w:rPr>
          <w:rFonts w:cs="Arial"/>
        </w:rPr>
      </w:pPr>
      <w:r>
        <w:rPr>
          <w:rFonts w:cs="Arial"/>
        </w:rPr>
        <w:lastRenderedPageBreak/>
        <w:t>Summary of attainment</w:t>
      </w:r>
    </w:p>
    <w:p w14:paraId="33E3636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4690B" w14:paraId="07ABBB15" w14:textId="77777777">
        <w:tc>
          <w:tcPr>
            <w:tcW w:w="1384" w:type="dxa"/>
            <w:vAlign w:val="center"/>
          </w:tcPr>
          <w:p w14:paraId="3568DFF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3653BD6" w14:textId="77777777" w:rsidR="00000000" w:rsidRDefault="00000000">
            <w:pPr>
              <w:keepNext/>
              <w:spacing w:before="60" w:after="60"/>
              <w:jc w:val="center"/>
              <w:rPr>
                <w:rFonts w:cs="Arial"/>
                <w:b/>
                <w:sz w:val="20"/>
                <w:szCs w:val="20"/>
              </w:rPr>
            </w:pPr>
            <w:r>
              <w:rPr>
                <w:rFonts w:cs="Arial"/>
                <w:b/>
                <w:sz w:val="20"/>
                <w:szCs w:val="20"/>
              </w:rPr>
              <w:t>Continuous Improvement</w:t>
            </w:r>
          </w:p>
          <w:p w14:paraId="2DB5353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BC67856" w14:textId="77777777" w:rsidR="00000000" w:rsidRDefault="00000000">
            <w:pPr>
              <w:keepNext/>
              <w:spacing w:before="60" w:after="60"/>
              <w:jc w:val="center"/>
              <w:rPr>
                <w:rFonts w:cs="Arial"/>
                <w:b/>
                <w:sz w:val="20"/>
                <w:szCs w:val="20"/>
              </w:rPr>
            </w:pPr>
            <w:r>
              <w:rPr>
                <w:rFonts w:cs="Arial"/>
                <w:b/>
                <w:sz w:val="20"/>
                <w:szCs w:val="20"/>
              </w:rPr>
              <w:t>Fully Attained</w:t>
            </w:r>
          </w:p>
          <w:p w14:paraId="2803456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08B135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271683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3B7D2A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E1863B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8B685F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D3F870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92B763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36262E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078689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650752A" w14:textId="77777777" w:rsidR="00000000" w:rsidRDefault="00000000">
            <w:pPr>
              <w:keepNext/>
              <w:spacing w:before="60" w:after="60"/>
              <w:jc w:val="center"/>
              <w:rPr>
                <w:rFonts w:cs="Arial"/>
                <w:b/>
                <w:sz w:val="20"/>
                <w:szCs w:val="20"/>
              </w:rPr>
            </w:pPr>
            <w:r>
              <w:rPr>
                <w:rFonts w:cs="Arial"/>
                <w:b/>
                <w:sz w:val="20"/>
                <w:szCs w:val="20"/>
              </w:rPr>
              <w:t>(PA Critical)</w:t>
            </w:r>
          </w:p>
        </w:tc>
      </w:tr>
      <w:tr w:rsidR="00F4690B" w14:paraId="4BB1B114" w14:textId="77777777">
        <w:tc>
          <w:tcPr>
            <w:tcW w:w="1384" w:type="dxa"/>
            <w:vAlign w:val="center"/>
          </w:tcPr>
          <w:p w14:paraId="6234BA9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BE81CC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2A424C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E22D7A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9B71B5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09FFED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500673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B85163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4690B" w14:paraId="2C57BCFD" w14:textId="77777777">
        <w:tc>
          <w:tcPr>
            <w:tcW w:w="1384" w:type="dxa"/>
            <w:vAlign w:val="center"/>
          </w:tcPr>
          <w:p w14:paraId="7AE328E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7A406B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6AA1B51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58AD899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483B22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B5675A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EEB9E2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01FBB0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CF9F28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4690B" w14:paraId="5B00AB2F" w14:textId="77777777">
        <w:tc>
          <w:tcPr>
            <w:tcW w:w="1384" w:type="dxa"/>
            <w:vAlign w:val="center"/>
          </w:tcPr>
          <w:p w14:paraId="5BD9FCD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4C6594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85B5B4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3C9508A" w14:textId="77777777" w:rsidR="00000000" w:rsidRDefault="00000000">
            <w:pPr>
              <w:keepNext/>
              <w:spacing w:before="60" w:after="60"/>
              <w:jc w:val="center"/>
              <w:rPr>
                <w:rFonts w:cs="Arial"/>
                <w:b/>
                <w:sz w:val="20"/>
                <w:szCs w:val="20"/>
              </w:rPr>
            </w:pPr>
            <w:r>
              <w:rPr>
                <w:rFonts w:cs="Arial"/>
                <w:b/>
                <w:sz w:val="20"/>
                <w:szCs w:val="20"/>
              </w:rPr>
              <w:t>Unattained Low Risk</w:t>
            </w:r>
          </w:p>
          <w:p w14:paraId="1D239C3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A2DD5C1" w14:textId="77777777" w:rsidR="00000000" w:rsidRDefault="00000000">
            <w:pPr>
              <w:keepNext/>
              <w:spacing w:before="60" w:after="60"/>
              <w:jc w:val="center"/>
              <w:rPr>
                <w:rFonts w:cs="Arial"/>
                <w:b/>
                <w:sz w:val="20"/>
                <w:szCs w:val="20"/>
              </w:rPr>
            </w:pPr>
            <w:r>
              <w:rPr>
                <w:rFonts w:cs="Arial"/>
                <w:b/>
                <w:sz w:val="20"/>
                <w:szCs w:val="20"/>
              </w:rPr>
              <w:t>Unattained Moderate Risk</w:t>
            </w:r>
          </w:p>
          <w:p w14:paraId="4B6E482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0D2972B" w14:textId="77777777" w:rsidR="00000000" w:rsidRDefault="00000000">
            <w:pPr>
              <w:keepNext/>
              <w:spacing w:before="60" w:after="60"/>
              <w:jc w:val="center"/>
              <w:rPr>
                <w:rFonts w:cs="Arial"/>
                <w:b/>
                <w:sz w:val="20"/>
                <w:szCs w:val="20"/>
              </w:rPr>
            </w:pPr>
            <w:r>
              <w:rPr>
                <w:rFonts w:cs="Arial"/>
                <w:b/>
                <w:sz w:val="20"/>
                <w:szCs w:val="20"/>
              </w:rPr>
              <w:t>Unattained High Risk</w:t>
            </w:r>
          </w:p>
          <w:p w14:paraId="09FE43C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A7A3BF8" w14:textId="77777777" w:rsidR="00000000" w:rsidRDefault="00000000">
            <w:pPr>
              <w:keepNext/>
              <w:spacing w:before="60" w:after="60"/>
              <w:jc w:val="center"/>
              <w:rPr>
                <w:rFonts w:cs="Arial"/>
                <w:b/>
                <w:sz w:val="20"/>
                <w:szCs w:val="20"/>
              </w:rPr>
            </w:pPr>
            <w:r>
              <w:rPr>
                <w:rFonts w:cs="Arial"/>
                <w:b/>
                <w:sz w:val="20"/>
                <w:szCs w:val="20"/>
              </w:rPr>
              <w:t>Unattained Critical Risk</w:t>
            </w:r>
          </w:p>
          <w:p w14:paraId="3E5B98C6" w14:textId="77777777" w:rsidR="00000000" w:rsidRDefault="00000000">
            <w:pPr>
              <w:keepNext/>
              <w:spacing w:before="60" w:after="60"/>
              <w:jc w:val="center"/>
              <w:rPr>
                <w:rFonts w:cs="Arial"/>
                <w:b/>
                <w:sz w:val="20"/>
                <w:szCs w:val="20"/>
              </w:rPr>
            </w:pPr>
            <w:r>
              <w:rPr>
                <w:rFonts w:cs="Arial"/>
                <w:b/>
                <w:sz w:val="20"/>
                <w:szCs w:val="20"/>
              </w:rPr>
              <w:t>(UA Critical)</w:t>
            </w:r>
          </w:p>
        </w:tc>
      </w:tr>
      <w:tr w:rsidR="00F4690B" w14:paraId="43E004A3" w14:textId="77777777">
        <w:tc>
          <w:tcPr>
            <w:tcW w:w="1384" w:type="dxa"/>
            <w:vAlign w:val="center"/>
          </w:tcPr>
          <w:p w14:paraId="43B4205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04868A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4E4262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F98DC0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63D7F9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0547A2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4690B" w14:paraId="19E2D33D" w14:textId="77777777">
        <w:tc>
          <w:tcPr>
            <w:tcW w:w="1384" w:type="dxa"/>
            <w:vAlign w:val="center"/>
          </w:tcPr>
          <w:p w14:paraId="041EB77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970EE5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C74CD4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7F4342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E816C5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626644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DCE88E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766D32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EBFFCD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654F89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4"/>
        <w:gridCol w:w="1356"/>
        <w:gridCol w:w="6368"/>
      </w:tblGrid>
      <w:tr w:rsidR="00F4690B" w14:paraId="7024B871" w14:textId="77777777">
        <w:tc>
          <w:tcPr>
            <w:tcW w:w="0" w:type="auto"/>
          </w:tcPr>
          <w:p w14:paraId="14D0886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F0D93F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6F2153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4690B" w14:paraId="3BEADB8D" w14:textId="77777777">
        <w:tc>
          <w:tcPr>
            <w:tcW w:w="0" w:type="auto"/>
          </w:tcPr>
          <w:p w14:paraId="4BC4C2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66AA26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3E4368F" w14:textId="77777777" w:rsidR="00000000" w:rsidRPr="00BE00C7" w:rsidRDefault="00000000" w:rsidP="00BE00C7">
            <w:pPr>
              <w:pStyle w:val="OutcomeDescription"/>
              <w:spacing w:before="120" w:after="120"/>
              <w:rPr>
                <w:rFonts w:cs="Arial"/>
                <w:lang w:eastAsia="en-NZ"/>
              </w:rPr>
            </w:pPr>
          </w:p>
        </w:tc>
        <w:tc>
          <w:tcPr>
            <w:tcW w:w="0" w:type="auto"/>
          </w:tcPr>
          <w:p w14:paraId="750DE5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1E49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Southanjer has developed policies, procedures and processes to embed and enact Te Tiriti o Waitangi in all aspects of its work. A Māori health plan has been developed with input from cultural advisers and is available for residents who identify as Māori. </w:t>
            </w:r>
          </w:p>
          <w:p w14:paraId="71E6CB7F" w14:textId="77777777" w:rsidR="00000000" w:rsidRPr="00BE00C7" w:rsidRDefault="00000000" w:rsidP="00BE00C7">
            <w:pPr>
              <w:pStyle w:val="OutcomeDescription"/>
              <w:spacing w:before="120" w:after="120"/>
              <w:rPr>
                <w:rFonts w:cs="Arial"/>
                <w:lang w:eastAsia="en-NZ"/>
              </w:rPr>
            </w:pPr>
            <w:r w:rsidRPr="00BE00C7">
              <w:rPr>
                <w:rFonts w:cs="Arial"/>
                <w:lang w:eastAsia="en-NZ"/>
              </w:rPr>
              <w:t>Partnerships have been established with a cultural advisor through Te Hā o Maru and Te Rūnanga o Moeraki in North Otago to support service integration, planning, equity approaches, and support for Māori.</w:t>
            </w:r>
          </w:p>
          <w:p w14:paraId="3E19C6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Southanjer is committed to creating employment opportunities for Māori through actively recruiting and retaining a Māori health workforce across all organisational roles. The facility manager (FM) reported that these staff members support residents and staff as required.  There were residents and staff who identified as Māori on the days of the audit. Whānau were satisfied with the care provided to their loved one. The FM reported that the residents’ right to mana motuhake is respected and gave an example. </w:t>
            </w:r>
          </w:p>
          <w:p w14:paraId="7DE747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being aware of residents’ cultural and spiritual needs through the care plans and talking with the residents and their whānau. Staff reported that they include tikanga in their practice and </w:t>
            </w:r>
            <w:r w:rsidRPr="00BE00C7">
              <w:rPr>
                <w:rFonts w:cs="Arial"/>
                <w:lang w:eastAsia="en-NZ"/>
              </w:rPr>
              <w:lastRenderedPageBreak/>
              <w:t xml:space="preserve">are learning te reo Māori. </w:t>
            </w:r>
          </w:p>
          <w:p w14:paraId="2CB251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reported, and documentation confirmed, that staff have attended cultural safety training. Staff reported that they have attended Te Tiriti o Waitangi and cultural safety training.</w:t>
            </w:r>
          </w:p>
          <w:p w14:paraId="4FFD1A68" w14:textId="77777777" w:rsidR="00000000" w:rsidRPr="00BE00C7" w:rsidRDefault="00000000" w:rsidP="00BE00C7">
            <w:pPr>
              <w:pStyle w:val="OutcomeDescription"/>
              <w:spacing w:before="120" w:after="120"/>
              <w:rPr>
                <w:rFonts w:cs="Arial"/>
                <w:lang w:eastAsia="en-NZ"/>
              </w:rPr>
            </w:pPr>
          </w:p>
        </w:tc>
      </w:tr>
      <w:tr w:rsidR="00F4690B" w14:paraId="329989B8" w14:textId="77777777">
        <w:tc>
          <w:tcPr>
            <w:tcW w:w="0" w:type="auto"/>
          </w:tcPr>
          <w:p w14:paraId="3BF58C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62B94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0EF7B48" w14:textId="77777777" w:rsidR="00000000" w:rsidRPr="00BE00C7" w:rsidRDefault="00000000" w:rsidP="00BE00C7">
            <w:pPr>
              <w:pStyle w:val="OutcomeDescription"/>
              <w:spacing w:before="120" w:after="120"/>
              <w:rPr>
                <w:rFonts w:cs="Arial"/>
                <w:lang w:eastAsia="en-NZ"/>
              </w:rPr>
            </w:pPr>
          </w:p>
        </w:tc>
        <w:tc>
          <w:tcPr>
            <w:tcW w:w="0" w:type="auto"/>
          </w:tcPr>
          <w:p w14:paraId="5E5955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366D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Southanjer has a Pacific health plan and cultural policy, developed with input from the Pacific community. This describes how the organisation responds to the cultural and spiritual needs of residents. Southanjer has processes in place to ensure Pacific peoples’ worldviews, and cultural and spiritual beliefs, would be embraced. </w:t>
            </w:r>
          </w:p>
          <w:p w14:paraId="571E7443"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needs assessments at admission are completed by the registered nurse (RN) and the diversional therapist to identify any shortfalls. Staff reported at interview that they are guided to deliver safe cultural and spiritual care to residents through their knowledge and content of the care plan. For example, food preferences, meal planning and attending church services.</w:t>
            </w:r>
          </w:p>
          <w:p w14:paraId="465F09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who identified as Pacific peoples on the days of audit. </w:t>
            </w:r>
          </w:p>
          <w:p w14:paraId="47031B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described the connections with Pacific community-based organisations outside the service. The service can consult with Pacific staff, and industry advisors who identify as Pacific peoples, to access community links.</w:t>
            </w:r>
          </w:p>
          <w:p w14:paraId="5D4E34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increasing Pacific capacity by employing more Pacific staff members across differing levels of the organisation as vacancies and applications for employment permit. There were staff who identified as Pacific peoples at the time of audit.</w:t>
            </w:r>
          </w:p>
          <w:p w14:paraId="1C4C98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and staff reported, and documentation confirmed, that staff have attended cultural safety training.   </w:t>
            </w:r>
          </w:p>
          <w:p w14:paraId="418551A2" w14:textId="77777777" w:rsidR="00000000" w:rsidRPr="00BE00C7" w:rsidRDefault="00000000" w:rsidP="00BE00C7">
            <w:pPr>
              <w:pStyle w:val="OutcomeDescription"/>
              <w:spacing w:before="120" w:after="120"/>
              <w:rPr>
                <w:rFonts w:cs="Arial"/>
                <w:lang w:eastAsia="en-NZ"/>
              </w:rPr>
            </w:pPr>
          </w:p>
        </w:tc>
      </w:tr>
      <w:tr w:rsidR="00F4690B" w14:paraId="6A5F971B" w14:textId="77777777">
        <w:tc>
          <w:tcPr>
            <w:tcW w:w="0" w:type="auto"/>
          </w:tcPr>
          <w:p w14:paraId="474537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57B8D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FF5AD50" w14:textId="77777777" w:rsidR="00000000" w:rsidRPr="00BE00C7" w:rsidRDefault="00000000" w:rsidP="00BE00C7">
            <w:pPr>
              <w:pStyle w:val="OutcomeDescription"/>
              <w:spacing w:before="120" w:after="120"/>
              <w:rPr>
                <w:rFonts w:cs="Arial"/>
                <w:lang w:eastAsia="en-NZ"/>
              </w:rPr>
            </w:pPr>
          </w:p>
        </w:tc>
        <w:tc>
          <w:tcPr>
            <w:tcW w:w="0" w:type="auto"/>
          </w:tcPr>
          <w:p w14:paraId="7F069C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B443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at Southanjer demonstrated understanding of the requirements and principles of the Code and were observed supporting residents in a manner consistent with their and their </w:t>
            </w:r>
            <w:r w:rsidRPr="00BE00C7">
              <w:rPr>
                <w:rFonts w:cs="Arial"/>
                <w:lang w:eastAsia="en-NZ"/>
              </w:rPr>
              <w:lastRenderedPageBreak/>
              <w:t xml:space="preserve">whānau’s expressed wishes, preferences, and rights. Staff were able to describe how the Code is applied in everyday practice, including respect, informed choice, dignity, effective communication, and the recognition of Māori mana motuhake in care and decision-making. Education on the Code and its principles is provided to all staff during orientation, with opportunities for discussion and clarification to support consistent application in practice. </w:t>
            </w:r>
          </w:p>
          <w:p w14:paraId="0D9AE6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including those who hold an enduring power of attorney (EPOA) for their relative, confirmed during interview that they had been made aware of the Code and the Nationwide Health and Disability Advocacy Service (Advocacy Service) and reported being provided with appropriate opportunities to discuss and clarify their rights.  </w:t>
            </w:r>
          </w:p>
          <w:p w14:paraId="0A867EE0" w14:textId="77777777" w:rsidR="00000000" w:rsidRPr="00BE00C7" w:rsidRDefault="00000000" w:rsidP="00BE00C7">
            <w:pPr>
              <w:pStyle w:val="OutcomeDescription"/>
              <w:spacing w:before="120" w:after="120"/>
              <w:rPr>
                <w:rFonts w:cs="Arial"/>
                <w:lang w:eastAsia="en-NZ"/>
              </w:rPr>
            </w:pPr>
            <w:r w:rsidRPr="00BE00C7">
              <w:rPr>
                <w:rFonts w:cs="Arial"/>
                <w:lang w:eastAsia="en-NZ"/>
              </w:rPr>
              <w:t>Brochures on the Code are provided on admission, and posters were displayed providing information about the Code in both te reo Māori and English, ensuring accessibility, cultural responsiveness, and respect for Māori rights and values.</w:t>
            </w:r>
          </w:p>
          <w:p w14:paraId="64BE0F58" w14:textId="77777777" w:rsidR="00000000" w:rsidRPr="00BE00C7" w:rsidRDefault="00000000" w:rsidP="00BE00C7">
            <w:pPr>
              <w:pStyle w:val="OutcomeDescription"/>
              <w:spacing w:before="120" w:after="120"/>
              <w:rPr>
                <w:rFonts w:cs="Arial"/>
                <w:lang w:eastAsia="en-NZ"/>
              </w:rPr>
            </w:pPr>
          </w:p>
        </w:tc>
      </w:tr>
      <w:tr w:rsidR="00F4690B" w14:paraId="749501E4" w14:textId="77777777">
        <w:tc>
          <w:tcPr>
            <w:tcW w:w="0" w:type="auto"/>
          </w:tcPr>
          <w:p w14:paraId="7034D5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5EE8E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BCB5AD1" w14:textId="77777777" w:rsidR="00000000" w:rsidRPr="00BE00C7" w:rsidRDefault="00000000" w:rsidP="00BE00C7">
            <w:pPr>
              <w:pStyle w:val="OutcomeDescription"/>
              <w:spacing w:before="120" w:after="120"/>
              <w:rPr>
                <w:rFonts w:cs="Arial"/>
                <w:lang w:eastAsia="en-NZ"/>
              </w:rPr>
            </w:pPr>
          </w:p>
        </w:tc>
        <w:tc>
          <w:tcPr>
            <w:tcW w:w="0" w:type="auto"/>
          </w:tcPr>
          <w:p w14:paraId="6367C7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5240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Southanjer supports residents in a manner that is inclusive, culturally safe, and respectful of their identity, lived experiences, and personal preferences. Residents and EPOA/whānau, including tāngata whaikaha (people with disabilities), confirmed that services were delivered in a way that had regard for their dignity, gender, privacy, confidentiality, sexual orientation, spirituality, values, beliefs, culture, religion, relationship status, and preferred level of interdependence. </w:t>
            </w:r>
          </w:p>
          <w:p w14:paraId="318CDEAD" w14:textId="77777777" w:rsidR="00000000" w:rsidRPr="00BE00C7" w:rsidRDefault="00000000" w:rsidP="00BE00C7">
            <w:pPr>
              <w:pStyle w:val="OutcomeDescription"/>
              <w:spacing w:before="120" w:after="120"/>
              <w:rPr>
                <w:rFonts w:cs="Arial"/>
                <w:lang w:eastAsia="en-NZ"/>
              </w:rPr>
            </w:pPr>
            <w:r w:rsidRPr="00BE00C7">
              <w:rPr>
                <w:rFonts w:cs="Arial"/>
                <w:lang w:eastAsia="en-NZ"/>
              </w:rPr>
              <w:t>Throughout the audit, staff were consistently observed to uphold residents’ privacy and dignity in everyday practice. All residents had a private room, and staff were observed routinely knocking on doors, seeking permission before entry, and communicating respectfully to maintain personal dignity and autonomy.</w:t>
            </w:r>
          </w:p>
          <w:p w14:paraId="044763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through bilingual signage, use of te reo Māori language in the activities programme, and education of staff. Staff described undertaking training in Te Tiriti o Waitangi and tikanga Māori during orientation and were able to discuss how this was reflected in their day-to-day interactions and </w:t>
            </w:r>
            <w:r w:rsidRPr="00BE00C7">
              <w:rPr>
                <w:rFonts w:cs="Arial"/>
                <w:lang w:eastAsia="en-NZ"/>
              </w:rPr>
              <w:lastRenderedPageBreak/>
              <w:t xml:space="preserve">service delivery. </w:t>
            </w:r>
          </w:p>
          <w:p w14:paraId="41BCFD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appropriately identified and responded to, including enabling and supporting their participation in te ao Māori. Staff were observed speaking to residents in a respectful, supportive, and mana-enhancing manner. Residents and EPOA/whānau interviewed reported feeling respected, listened to, and valued in their daily lives.</w:t>
            </w:r>
          </w:p>
          <w:p w14:paraId="0A5B889F" w14:textId="77777777" w:rsidR="00000000" w:rsidRPr="00BE00C7" w:rsidRDefault="00000000" w:rsidP="00BE00C7">
            <w:pPr>
              <w:pStyle w:val="OutcomeDescription"/>
              <w:spacing w:before="120" w:after="120"/>
              <w:rPr>
                <w:rFonts w:cs="Arial"/>
                <w:lang w:eastAsia="en-NZ"/>
              </w:rPr>
            </w:pPr>
          </w:p>
        </w:tc>
      </w:tr>
      <w:tr w:rsidR="00F4690B" w14:paraId="6D56CA2E" w14:textId="77777777">
        <w:tc>
          <w:tcPr>
            <w:tcW w:w="0" w:type="auto"/>
          </w:tcPr>
          <w:p w14:paraId="137688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5646B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8817227" w14:textId="77777777" w:rsidR="00000000" w:rsidRPr="00BE00C7" w:rsidRDefault="00000000" w:rsidP="00BE00C7">
            <w:pPr>
              <w:pStyle w:val="OutcomeDescription"/>
              <w:spacing w:before="120" w:after="120"/>
              <w:rPr>
                <w:rFonts w:cs="Arial"/>
                <w:lang w:eastAsia="en-NZ"/>
              </w:rPr>
            </w:pPr>
          </w:p>
        </w:tc>
        <w:tc>
          <w:tcPr>
            <w:tcW w:w="0" w:type="auto"/>
          </w:tcPr>
          <w:p w14:paraId="59050F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27A0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service’s policies and procedures relating to abuse and neglect, including the identification of potential signs, required actions, and reporting pathways. There were no examples of discrimination, coercion, harassment, abuse, or neglect identified during the audit through staff interviews, resident and whānau interviews, or documentation reviewed. </w:t>
            </w:r>
          </w:p>
          <w:p w14:paraId="3540B308" w14:textId="77777777" w:rsidR="00000000" w:rsidRPr="00BE00C7" w:rsidRDefault="00000000" w:rsidP="00BE00C7">
            <w:pPr>
              <w:pStyle w:val="OutcomeDescription"/>
              <w:spacing w:before="120" w:after="120"/>
              <w:rPr>
                <w:rFonts w:cs="Arial"/>
                <w:lang w:eastAsia="en-NZ"/>
              </w:rPr>
            </w:pPr>
            <w:r w:rsidRPr="00BE00C7">
              <w:rPr>
                <w:rFonts w:cs="Arial"/>
                <w:lang w:eastAsia="en-NZ"/>
              </w:rPr>
              <w:t>EPOA and whānau interviewed reported that they felt their relatives were well cared for, supported, and safe within their environment at Southanjer. Residents’ personal property was clearly labelled on admission, and residents and EPOA/whānau confirmed that belongings were treated with respect and safeguarded. Residents’ finances are protected, with appropriate safeguarding systems in place.</w:t>
            </w:r>
          </w:p>
          <w:p w14:paraId="0E2115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consistently maintained by staff, who demonstrated an understanding of behaviours and practices that protect resident wellbeing. Staff interviewed felt safe and supported to raise concerns relating to institutional and systemic racism and were confident that any issues raised would be taken seriously and acted upon by management. </w:t>
            </w:r>
          </w:p>
          <w:p w14:paraId="2635F59A"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of care was evident throughout the service, with the integration of Te Whare Tapa Whā to support wellbeing outcomes for Māori, recognising the physical, mental, spiritual, and whānau dimensions of health in everyday care and support.</w:t>
            </w:r>
          </w:p>
          <w:p w14:paraId="7F1BECC2" w14:textId="77777777" w:rsidR="00000000" w:rsidRPr="00BE00C7" w:rsidRDefault="00000000" w:rsidP="00BE00C7">
            <w:pPr>
              <w:pStyle w:val="OutcomeDescription"/>
              <w:spacing w:before="120" w:after="120"/>
              <w:rPr>
                <w:rFonts w:cs="Arial"/>
                <w:lang w:eastAsia="en-NZ"/>
              </w:rPr>
            </w:pPr>
          </w:p>
        </w:tc>
      </w:tr>
      <w:tr w:rsidR="00F4690B" w14:paraId="095912D6" w14:textId="77777777">
        <w:tc>
          <w:tcPr>
            <w:tcW w:w="0" w:type="auto"/>
          </w:tcPr>
          <w:p w14:paraId="359742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6E758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427B297" w14:textId="77777777" w:rsidR="00000000" w:rsidRPr="00BE00C7" w:rsidRDefault="00000000" w:rsidP="00BE00C7">
            <w:pPr>
              <w:pStyle w:val="OutcomeDescription"/>
              <w:spacing w:before="120" w:after="120"/>
              <w:rPr>
                <w:rFonts w:cs="Arial"/>
                <w:lang w:eastAsia="en-NZ"/>
              </w:rPr>
            </w:pPr>
          </w:p>
        </w:tc>
        <w:tc>
          <w:tcPr>
            <w:tcW w:w="0" w:type="auto"/>
          </w:tcPr>
          <w:p w14:paraId="31FB4C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BA8D5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EPOA/whānau reported that communication at Southanjer was open, respectful, and effective, and that they felt listened to. All residents interviewed stated that information was provided to them in an easy-to-understand format, that staff communicated clearly, and that they felt heard when raising questions or concerns. Residents and EPOA/whānau confirmed they have regular opportunities to express their views and provide feedback and reported that staff were approachable, kind, and responsive to their concerns.</w:t>
            </w:r>
          </w:p>
          <w:p w14:paraId="5FCD881D"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whānau in a timely manner, and whānau confirmed they were kept appropriately informed.  Where other agencies were involved in care, effective communication was evident, including with district nurses or general practitioners, and relevant allied health professionals.</w:t>
            </w:r>
          </w:p>
          <w:p w14:paraId="6AEBB93E"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and transparent communication were evident following adverse events and during the management of any complaints, demonstrating a commitment to partnership and accountability.</w:t>
            </w:r>
          </w:p>
          <w:p w14:paraId="702E714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knowledge of how to access interpreter services when required, to support effective communication and informed participation.</w:t>
            </w:r>
          </w:p>
          <w:p w14:paraId="40BC0D5A" w14:textId="77777777" w:rsidR="00000000" w:rsidRPr="00BE00C7" w:rsidRDefault="00000000" w:rsidP="00BE00C7">
            <w:pPr>
              <w:pStyle w:val="OutcomeDescription"/>
              <w:spacing w:before="120" w:after="120"/>
              <w:rPr>
                <w:rFonts w:cs="Arial"/>
                <w:lang w:eastAsia="en-NZ"/>
              </w:rPr>
            </w:pPr>
          </w:p>
        </w:tc>
      </w:tr>
      <w:tr w:rsidR="00F4690B" w14:paraId="2115014D" w14:textId="77777777">
        <w:tc>
          <w:tcPr>
            <w:tcW w:w="0" w:type="auto"/>
          </w:tcPr>
          <w:p w14:paraId="393446C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58B17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to </w:t>
            </w:r>
            <w:r w:rsidRPr="00BE00C7">
              <w:rPr>
                <w:rFonts w:cs="Arial"/>
                <w:lang w:eastAsia="en-NZ"/>
              </w:rPr>
              <w:lastRenderedPageBreak/>
              <w:t>exercise independence, choice, and control.</w:t>
            </w:r>
          </w:p>
          <w:p w14:paraId="64165A32" w14:textId="77777777" w:rsidR="00000000" w:rsidRPr="00BE00C7" w:rsidRDefault="00000000" w:rsidP="00BE00C7">
            <w:pPr>
              <w:pStyle w:val="OutcomeDescription"/>
              <w:spacing w:before="120" w:after="120"/>
              <w:rPr>
                <w:rFonts w:cs="Arial"/>
                <w:lang w:eastAsia="en-NZ"/>
              </w:rPr>
            </w:pPr>
          </w:p>
        </w:tc>
        <w:tc>
          <w:tcPr>
            <w:tcW w:w="0" w:type="auto"/>
          </w:tcPr>
          <w:p w14:paraId="488F20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E972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representatives were provided with the information necessary to make informed decisions about care and support, in a manner that was clear, accessible, and culturally appropriate. Those interviewed, including residents, EPOA and whānau, felt empowered to actively participate in decision-making about care, and that their views and preferences were respected. Whānau and EPOA were included in decision-making and were enabled to do so through access to quality information, advice, and relevant resources. </w:t>
            </w:r>
          </w:p>
          <w:p w14:paraId="57E2E3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at Southanjer had an EPOA in place that had been activated by an appropriate medical practitioner, or a welfare guardian was appropriately appointed in accordance with the law, and all </w:t>
            </w:r>
            <w:r w:rsidRPr="00BE00C7">
              <w:rPr>
                <w:rFonts w:cs="Arial"/>
                <w:lang w:eastAsia="en-NZ"/>
              </w:rPr>
              <w:lastRenderedPageBreak/>
              <w:t>relevant legal documentation was available, current, and accessible within the resident’s record. Residents were still supported to be involved in decisions wherever possible, even when a legal representative was acting on their behalf.</w:t>
            </w:r>
          </w:p>
          <w:p w14:paraId="363B73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demonstrated a clear understanding of the principles and practice of informed consent, supported by organisational policies aligned with the Code and appropriate tikanga guidelines. Verbal consent was observed to be obtained for day-to-day cares. </w:t>
            </w:r>
          </w:p>
          <w:p w14:paraId="21C1A0B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EPOA were supported in their right to supported decision-making and to make informed choices in accordance with the Code. Advance care planning was appropriately recorded in residents’ files where relevant. Shared goals of care discussions were undertaken with EPOA/whānau and documented in the resident record where applicable.</w:t>
            </w:r>
          </w:p>
          <w:p w14:paraId="1C3E677E" w14:textId="77777777" w:rsidR="00000000" w:rsidRPr="00BE00C7" w:rsidRDefault="00000000" w:rsidP="00BE00C7">
            <w:pPr>
              <w:pStyle w:val="OutcomeDescription"/>
              <w:spacing w:before="120" w:after="120"/>
              <w:rPr>
                <w:rFonts w:cs="Arial"/>
                <w:lang w:eastAsia="en-NZ"/>
              </w:rPr>
            </w:pPr>
          </w:p>
        </w:tc>
      </w:tr>
      <w:tr w:rsidR="00F4690B" w14:paraId="13D66D98" w14:textId="77777777">
        <w:tc>
          <w:tcPr>
            <w:tcW w:w="0" w:type="auto"/>
          </w:tcPr>
          <w:p w14:paraId="3DDFA7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81AC9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6B49FB0" w14:textId="77777777" w:rsidR="00000000" w:rsidRPr="00BE00C7" w:rsidRDefault="00000000" w:rsidP="00BE00C7">
            <w:pPr>
              <w:pStyle w:val="OutcomeDescription"/>
              <w:spacing w:before="120" w:after="120"/>
              <w:rPr>
                <w:rFonts w:cs="Arial"/>
                <w:lang w:eastAsia="en-NZ"/>
              </w:rPr>
            </w:pPr>
          </w:p>
        </w:tc>
        <w:tc>
          <w:tcPr>
            <w:tcW w:w="0" w:type="auto"/>
          </w:tcPr>
          <w:p w14:paraId="1A5F0A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13D8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meets the requirements of the Code. </w:t>
            </w:r>
          </w:p>
          <w:p w14:paraId="537690A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understood their right to make a complaint and knew how to do so. Complaint forms and an envelope were at reception. The Code was available in te reo Māori, English and New Zealand Sign Language.</w:t>
            </w:r>
          </w:p>
          <w:p w14:paraId="069867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is responsible for complaints management and follow-up. Minor concerns are treated as complaints and are entered into the register. A review of the complaints register showed actions taken, through to an agreed resolution, were documented and completed within the required timeframes. Complainants had been informed of findings following investigation. The FM described changes following a complaint.</w:t>
            </w:r>
          </w:p>
          <w:p w14:paraId="1FCA7D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364AA2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they knew what to do should they receive a complaint. </w:t>
            </w:r>
          </w:p>
          <w:p w14:paraId="684C03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FM reported, and documentation evidenced, that a translator and staff who identified as Māori would be available to support people if needed. There have been no complaints received by Māori to date.</w:t>
            </w:r>
          </w:p>
          <w:p w14:paraId="47228F0B" w14:textId="77777777" w:rsidR="00000000" w:rsidRPr="00BE00C7" w:rsidRDefault="00000000" w:rsidP="00BE00C7">
            <w:pPr>
              <w:pStyle w:val="OutcomeDescription"/>
              <w:spacing w:before="120" w:after="120"/>
              <w:rPr>
                <w:rFonts w:cs="Arial"/>
                <w:lang w:eastAsia="en-NZ"/>
              </w:rPr>
            </w:pPr>
          </w:p>
        </w:tc>
      </w:tr>
      <w:tr w:rsidR="00F4690B" w14:paraId="79DF75AE" w14:textId="77777777">
        <w:tc>
          <w:tcPr>
            <w:tcW w:w="0" w:type="auto"/>
          </w:tcPr>
          <w:p w14:paraId="243716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065C0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A98BB97" w14:textId="77777777" w:rsidR="00000000" w:rsidRPr="00BE00C7" w:rsidRDefault="00000000" w:rsidP="00BE00C7">
            <w:pPr>
              <w:pStyle w:val="OutcomeDescription"/>
              <w:spacing w:before="120" w:after="120"/>
              <w:rPr>
                <w:rFonts w:cs="Arial"/>
                <w:lang w:eastAsia="en-NZ"/>
              </w:rPr>
            </w:pPr>
          </w:p>
        </w:tc>
        <w:tc>
          <w:tcPr>
            <w:tcW w:w="0" w:type="auto"/>
          </w:tcPr>
          <w:p w14:paraId="206145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BCE1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Southanjer is owned and governed by a group of two directors (one of who is the Facility Manager who has been in the role for 9 years), who assume accountability for delivering a high quality service through supporting meaningful inclusion and improving outcomes for Māori and tāngata whaikaha, honouring Te Tiriti o Waitangi, culturally safe practice, and inclusive governance. </w:t>
            </w:r>
          </w:p>
          <w:p w14:paraId="3F2068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Southanjer has access to a legal team who monitor changes to legislative and clinical requirements and have access to domestic and international legal advice. </w:t>
            </w:r>
          </w:p>
          <w:p w14:paraId="5946FA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2025–2027 business plan was sighted and includes the vision, mission statement, values, and goals. The goals include reducing infection. The annual review for the previous year was sighted with progress and achievement noted towards the goals.</w:t>
            </w:r>
          </w:p>
          <w:p w14:paraId="130E65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who is responsible for the management of the facility, confirmed knowledge of the sector, and regulatory and reporting requirements, and maintains currency within the field through legal advice, sector communication, training, and connection with Health New Zealand – Te Whatu Ora Southern and colleagues. </w:t>
            </w:r>
          </w:p>
          <w:p w14:paraId="2A6813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reports to the governing partner.  A sample of reports showed reporting is of a consistent format and includes adequate information to monitor performance. The reports included information on occupancy, staff vacancies, health and safety, internal audit reports, and the business strategic plan, reference that infections had been discussed, and no use of restraint. The governing partner reported that adequate information to monitor performance was provided, and that they were well informed on progress, quality and risk.</w:t>
            </w:r>
          </w:p>
          <w:p w14:paraId="75C8B0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has been in the role for nine years and is a registered physiotherapist with a current annual practicing certificate (APC). The FM is supported by an experienced nursing team of 3 RNs and 1 EN. When the FM is absent, the nursing team carry out the required duties </w:t>
            </w:r>
            <w:r w:rsidRPr="00BE00C7">
              <w:rPr>
                <w:rFonts w:cs="Arial"/>
                <w:lang w:eastAsia="en-NZ"/>
              </w:rPr>
              <w:lastRenderedPageBreak/>
              <w:t xml:space="preserve">under delegated authority of the RNs and the governing partner. The FM and governing partner own and operate a local sister facility run as a rest home level care facility. The FM shares her role 50% at each facility </w:t>
            </w:r>
          </w:p>
          <w:p w14:paraId="2F278B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demonstrated leadership and commitment to quality and risk management through, for example, the business plan, risk register, improving services, reporting processes and through feedback mechanisms, and purchasing equipment.   </w:t>
            </w:r>
          </w:p>
          <w:p w14:paraId="1B2F8E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Southanjer is focused on improving outcomes and achieving equity for Māori and people with disabilities. This is occurring through the accessible building, cultural training, and cultural engagement with the wider community. Additionally, there are whānau meetings, feedback and communication with the resident and their whānau, and care plans. Routines are flexible and can be adjusted to meet the residents’ needs.  </w:t>
            </w:r>
          </w:p>
          <w:p w14:paraId="0A773C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reported that staff identify and work to address barriers to equitable service delivery through the Needs Assessment and Service Coordination (NASC) agency and cultural needs assessments, training, advice from external cultural advisors, staff knowledge of the residents, meetings, communication, and the residents’ likes and dislikes, including cultural and spiritual needs. </w:t>
            </w:r>
          </w:p>
          <w:p w14:paraId="1B54B7E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receiving services and whānau participate in the planning, implementation, monitoring and evaluation of service delivery through the review of care plans, surveys and meetings. A sample of resident/whānau meeting minutes was reviewed.</w:t>
            </w:r>
          </w:p>
          <w:p w14:paraId="1C1FB7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The clinical team including the FM, guided by the clinical governance policy, discuss occupancy, adverse events, infections, aspects of medication complaints, compliments, internal audits, nil restraint, training and infections. Minutes of the clinical meetings were sighted.</w:t>
            </w:r>
          </w:p>
          <w:p w14:paraId="07DA93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Southern for age-related residential care (ARRC), for the provision of dementia-level care, and respite care. It also holds a contract with ACC for respite care.</w:t>
            </w:r>
          </w:p>
          <w:p w14:paraId="6769D9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Southanjer is certified to provide services for 24 residents. On the days of audit, 23 residents were receiving dementia level of care under the ARRC contract. Additionally, one resident was receiving dementia level of care under the ARRC respite contract.</w:t>
            </w:r>
          </w:p>
          <w:p w14:paraId="62BFF9CF" w14:textId="77777777" w:rsidR="00000000" w:rsidRPr="00BE00C7" w:rsidRDefault="00000000" w:rsidP="00BE00C7">
            <w:pPr>
              <w:pStyle w:val="OutcomeDescription"/>
              <w:spacing w:before="120" w:after="120"/>
              <w:rPr>
                <w:rFonts w:cs="Arial"/>
                <w:lang w:eastAsia="en-NZ"/>
              </w:rPr>
            </w:pPr>
          </w:p>
        </w:tc>
      </w:tr>
      <w:tr w:rsidR="00F4690B" w14:paraId="041101B0" w14:textId="77777777">
        <w:tc>
          <w:tcPr>
            <w:tcW w:w="0" w:type="auto"/>
          </w:tcPr>
          <w:p w14:paraId="0CB27B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62EA3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64B3AB6" w14:textId="77777777" w:rsidR="00000000" w:rsidRPr="00BE00C7" w:rsidRDefault="00000000" w:rsidP="00BE00C7">
            <w:pPr>
              <w:pStyle w:val="OutcomeDescription"/>
              <w:spacing w:before="120" w:after="120"/>
              <w:rPr>
                <w:rFonts w:cs="Arial"/>
                <w:lang w:eastAsia="en-NZ"/>
              </w:rPr>
            </w:pPr>
          </w:p>
        </w:tc>
        <w:tc>
          <w:tcPr>
            <w:tcW w:w="0" w:type="auto"/>
          </w:tcPr>
          <w:p w14:paraId="7F1817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47C3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Southanjer has a planned quality and risk system that reflects the principles of continuous quality improvement. This includes management of incidents and complaints, audit activities, monitoring of outcomes, policies and procedures, and clinical incidents including infections, wounds and falls. </w:t>
            </w:r>
          </w:p>
          <w:p w14:paraId="0E2239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contribute to quality improvement through meetings and surveys. The last whānau survey was completed in February 2026, with participants satisfied with the service delivered. The FM reported they had contacted whānau to clarify a comment on a survey form. Evidence was sighted of the outcome being reported back to the residents’/ whānau meeting. </w:t>
            </w:r>
          </w:p>
          <w:p w14:paraId="5215B5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last staff survey was completed during February 2026, with very satisfactory results. Evidence was sighted of staff being informed of the outcome. </w:t>
            </w:r>
          </w:p>
          <w:p w14:paraId="25E4DA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is responsible for quality. The clinical meeting includes quality and health and safety. As reported above, a sample of minutes was sighted. </w:t>
            </w:r>
          </w:p>
          <w:p w14:paraId="578F9BF1"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improvement initiatives include introducing an external electronic platform that includes a client management system and a quality and risk system, significantly extending the internal garden, increasing nursing hours, and introducing a cleaning checklist.</w:t>
            </w:r>
          </w:p>
          <w:p w14:paraId="3B5E42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contractual requirements and were current. </w:t>
            </w:r>
          </w:p>
          <w:p w14:paraId="2A29C2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2026 internal audit schedules were sighted. Completed audits included infection prevention, laundry and cleaning, staff files, and wound and skin care. Relevant corrective actions are developed and implemented to address any shortfalls. Progress against quality outcomes is evaluated.</w:t>
            </w:r>
          </w:p>
          <w:p w14:paraId="1F2023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FM described the risk register, which includes the identification, documentation, monitoring, review and reporting of risks, including health and safety risks, potential inequities, electronic medication management systems, and the development of mitigation strategies. Staff reported at interview that they knew to report risks. The risk register was current and was sighted.</w:t>
            </w:r>
          </w:p>
          <w:p w14:paraId="2EEE710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action plans developed, and actions followed up in a timely manner.  Evidence was sighted that resident-related incidents are being disclosed with the designated next of kin. Corrective actions support systems learnings.</w:t>
            </w:r>
          </w:p>
          <w:p w14:paraId="0C7243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understood and has complied with essential notification reporting requirements. The Section 31 notification relating to the Medimap outage was sighted. Three Section 31 notifications relating to residents away from the premises without leave, and one relating to a resident’s clinical notes missing were sighted. One adverse event relating to an injury resulting from a fall was reported to the Health Quality &amp; Safety Commission on 10 May 2025. The report was sighted. Public health was notified of an outbreak of COVID-19 in June 2025. The notification was sighted.</w:t>
            </w:r>
          </w:p>
          <w:p w14:paraId="1686F8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not been any coroner’s inquests, police investigations or issues-based audits. </w:t>
            </w:r>
          </w:p>
          <w:p w14:paraId="52F61F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supported to deliver high-quality health care for residents who identify as Māori through training, including cultural safety training, cultural assessments, care planning, and effective communication with residents and their whānau. Staff reported they were learning te reo Māori and gave examples of following tikanga. </w:t>
            </w:r>
          </w:p>
          <w:p w14:paraId="4735AF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benchmarks internally against relevant health performance indicators, such as adverse events and falls. The FM reported that as a result of increased physiotherapy and exercise, the number of falls has decreased from 2025 and evidence was sighted.</w:t>
            </w:r>
          </w:p>
          <w:p w14:paraId="719EBB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introduction of an external electronic aged care management software system is worthy of a continuous improvement, refer 2.2.2.</w:t>
            </w:r>
          </w:p>
          <w:p w14:paraId="71988AC8" w14:textId="77777777" w:rsidR="00000000" w:rsidRPr="00BE00C7" w:rsidRDefault="00000000" w:rsidP="00BE00C7">
            <w:pPr>
              <w:pStyle w:val="OutcomeDescription"/>
              <w:spacing w:before="120" w:after="120"/>
              <w:rPr>
                <w:rFonts w:cs="Arial"/>
                <w:lang w:eastAsia="en-NZ"/>
              </w:rPr>
            </w:pPr>
          </w:p>
        </w:tc>
      </w:tr>
      <w:tr w:rsidR="00F4690B" w14:paraId="45734A81" w14:textId="77777777">
        <w:tc>
          <w:tcPr>
            <w:tcW w:w="0" w:type="auto"/>
          </w:tcPr>
          <w:p w14:paraId="1B7A67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1D2F4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4EFC7A8" w14:textId="77777777" w:rsidR="00000000" w:rsidRPr="00BE00C7" w:rsidRDefault="00000000" w:rsidP="00BE00C7">
            <w:pPr>
              <w:pStyle w:val="OutcomeDescription"/>
              <w:spacing w:before="120" w:after="120"/>
              <w:rPr>
                <w:rFonts w:cs="Arial"/>
                <w:lang w:eastAsia="en-NZ"/>
              </w:rPr>
            </w:pPr>
          </w:p>
        </w:tc>
        <w:tc>
          <w:tcPr>
            <w:tcW w:w="0" w:type="auto"/>
          </w:tcPr>
          <w:p w14:paraId="0DCB64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DC69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 to provide culturally and clinically safe care, 24 hours a day, seven days a week. (24/7). A ‘Safe Rostering’ tool is used. The facility adjusts staffing levels to meet the changing needs of residents. A review of four weekly rosters confirmed adequate staff cover has been provided, with staff replaced in any unplanned absence. </w:t>
            </w:r>
          </w:p>
          <w:p w14:paraId="78C776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Whānau and staff interviewed confirmed there were sufficient staff. There are staff who have up to 26 years’ aged care experience. There is always at least one staff member on duty with a current first aid certificate.  An after-hours on-call system is in place, with the nurses providing clinical cover, and the FM providing support for all other areas 24/7. Staff reported that good access to advice is available when needed. </w:t>
            </w:r>
          </w:p>
          <w:p w14:paraId="17230F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described the recruitment process, which ensures their health care and support workers have the skills, attitudes, qualifications, experience, attributes and referee and police vetting checks to meet the needs of the people being supported.  </w:t>
            </w:r>
          </w:p>
          <w:p w14:paraId="371459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competency policy guides the service to ensure competencies are assessed and support equitable service delivery. A sample of competencies confirmed the training. </w:t>
            </w:r>
          </w:p>
          <w:p w14:paraId="22C27808"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annually, including mandatory training requirements. A sample of training records was sighted. Care staff have completed Level 4 of the New Zealand Qualifications Authority education programme to meet the requirements of the provider’s agreements with Health New Zealand – Te Whatu Ora Southern.</w:t>
            </w:r>
          </w:p>
          <w:p w14:paraId="19838760"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was sighted that three of the three registered nurses, the EN and the FM are interRAI trained.</w:t>
            </w:r>
          </w:p>
          <w:p w14:paraId="65ED37C1" w14:textId="77777777" w:rsidR="00000000" w:rsidRPr="00BE00C7" w:rsidRDefault="00000000" w:rsidP="00BE00C7">
            <w:pPr>
              <w:pStyle w:val="OutcomeDescription"/>
              <w:spacing w:before="120" w:after="120"/>
              <w:rPr>
                <w:rFonts w:cs="Arial"/>
                <w:lang w:eastAsia="en-NZ"/>
              </w:rPr>
            </w:pPr>
            <w:r w:rsidRPr="00BE00C7">
              <w:rPr>
                <w:rFonts w:cs="Arial"/>
                <w:lang w:eastAsia="en-NZ"/>
              </w:rPr>
              <w:t>Meetings were held with the residents and their whānau to discuss and sign care plans. Whānau meetings at which residents attend are held, and are an opportunity for people to discuss and express opinions on aspects of the service. Meeting minutes evidenced whānau were very happy with the care provided to their loved one.</w:t>
            </w:r>
          </w:p>
          <w:p w14:paraId="5880C4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reported that Southanjer is building on its own knowledge through cultural training, communication with the residents and whānau, and learning te reo Māori. The FM reported that, where health equity expertise is not available, external agencies are contracted. For example, Health New Zealand –Te Whatu Ora infection prevention nurse.</w:t>
            </w:r>
          </w:p>
          <w:p w14:paraId="5F06DBD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felt well supported and safe in the workplace. Staff described the FM as being easy to approach, supportive, and kind, for example, staff receive packs of meat, and a trailer load of firewood.  Documentation confirmed the support provided.</w:t>
            </w:r>
          </w:p>
          <w:p w14:paraId="252CDEFD" w14:textId="77777777" w:rsidR="00000000" w:rsidRPr="00BE00C7" w:rsidRDefault="00000000" w:rsidP="00BE00C7">
            <w:pPr>
              <w:pStyle w:val="OutcomeDescription"/>
              <w:spacing w:before="120" w:after="120"/>
              <w:rPr>
                <w:rFonts w:cs="Arial"/>
                <w:lang w:eastAsia="en-NZ"/>
              </w:rPr>
            </w:pPr>
          </w:p>
        </w:tc>
      </w:tr>
      <w:tr w:rsidR="00F4690B" w14:paraId="2406DFF0" w14:textId="77777777">
        <w:tc>
          <w:tcPr>
            <w:tcW w:w="0" w:type="auto"/>
          </w:tcPr>
          <w:p w14:paraId="72FE12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812D8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5FDA7CC" w14:textId="77777777" w:rsidR="00000000" w:rsidRPr="00BE00C7" w:rsidRDefault="00000000" w:rsidP="00BE00C7">
            <w:pPr>
              <w:pStyle w:val="OutcomeDescription"/>
              <w:spacing w:before="120" w:after="120"/>
              <w:rPr>
                <w:rFonts w:cs="Arial"/>
                <w:lang w:eastAsia="en-NZ"/>
              </w:rPr>
            </w:pPr>
          </w:p>
        </w:tc>
        <w:tc>
          <w:tcPr>
            <w:tcW w:w="0" w:type="auto"/>
          </w:tcPr>
          <w:p w14:paraId="0F1B13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CADF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practices and relevant legislation. A sample of five staff records reviewed confirmed the organisation’s policies were being consistently implemented.  Position descriptions were documented and were sighted in the files reviewed. </w:t>
            </w:r>
          </w:p>
          <w:p w14:paraId="2DF75B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described the procedure to ensure professional qualifications were validated prior to employment. Current annual practising certificates were sighted for three registered nurses, the enrolled nurse, four pharmacists, the dietitian, ten general practitioners, the physiotherapist, and the podiatrist. </w:t>
            </w:r>
          </w:p>
          <w:p w14:paraId="05816D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orientation includes all necessary components relevant to the role, including implementing activities through the care plans. Staff reported that the orientation process prepared them well for their role. Staff described their orientation process and are buddied with an experienced staff member for as long as necessary.  Completed orientation records were sighted in the sample of files reviewed. </w:t>
            </w:r>
          </w:p>
          <w:p w14:paraId="5147F47B"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Seventeen of the seventeen caregivers employed have completed the required standard units. Evidence was sighted in the sample. Staff confirmed their training at interview.</w:t>
            </w:r>
          </w:p>
          <w:p w14:paraId="507AE5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confirmed that performance is reviewed and discussed during and after orientation, and annually thereafter. Completed reviews were sighted. </w:t>
            </w:r>
          </w:p>
          <w:p w14:paraId="15B6EF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Electronic-based staff files were managed by the FM. Ethnicity data is </w:t>
            </w:r>
            <w:r w:rsidRPr="00BE00C7">
              <w:rPr>
                <w:rFonts w:cs="Arial"/>
                <w:lang w:eastAsia="en-NZ"/>
              </w:rPr>
              <w:lastRenderedPageBreak/>
              <w:t xml:space="preserve">recorded and used in line with health information standards. </w:t>
            </w:r>
          </w:p>
          <w:p w14:paraId="25FCA6C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incident reports are discussed at staff meetings. Staff can be involved in a debrief and discussion and receive support following incidents, to ensure wellbeing.</w:t>
            </w:r>
          </w:p>
          <w:p w14:paraId="6897D658" w14:textId="77777777" w:rsidR="00000000" w:rsidRPr="00BE00C7" w:rsidRDefault="00000000" w:rsidP="00BE00C7">
            <w:pPr>
              <w:pStyle w:val="OutcomeDescription"/>
              <w:spacing w:before="120" w:after="120"/>
              <w:rPr>
                <w:rFonts w:cs="Arial"/>
                <w:lang w:eastAsia="en-NZ"/>
              </w:rPr>
            </w:pPr>
          </w:p>
        </w:tc>
      </w:tr>
      <w:tr w:rsidR="00F4690B" w14:paraId="7F7983A4" w14:textId="77777777">
        <w:tc>
          <w:tcPr>
            <w:tcW w:w="0" w:type="auto"/>
          </w:tcPr>
          <w:p w14:paraId="36C9B8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3AD72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002BBEF" w14:textId="77777777" w:rsidR="00000000" w:rsidRPr="00BE00C7" w:rsidRDefault="00000000" w:rsidP="00BE00C7">
            <w:pPr>
              <w:pStyle w:val="OutcomeDescription"/>
              <w:spacing w:before="120" w:after="120"/>
              <w:rPr>
                <w:rFonts w:cs="Arial"/>
                <w:lang w:eastAsia="en-NZ"/>
              </w:rPr>
            </w:pPr>
          </w:p>
        </w:tc>
        <w:tc>
          <w:tcPr>
            <w:tcW w:w="0" w:type="auto"/>
          </w:tcPr>
          <w:p w14:paraId="63F09C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B6DB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is accessible for all those who need it. </w:t>
            </w:r>
          </w:p>
          <w:p w14:paraId="220640FB"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 Staff have a username and unique login to access the online resources. Backup database systems are held in the cloud.</w:t>
            </w:r>
          </w:p>
          <w:p w14:paraId="64F794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is not responsible for registering residents’ National Health Index (NHI) numbers. All residents have a National Health Index (NHI) number on admission.</w:t>
            </w:r>
          </w:p>
          <w:p w14:paraId="08F6CF40" w14:textId="77777777" w:rsidR="00000000" w:rsidRPr="00BE00C7" w:rsidRDefault="00000000" w:rsidP="00BE00C7">
            <w:pPr>
              <w:pStyle w:val="OutcomeDescription"/>
              <w:spacing w:before="120" w:after="120"/>
              <w:rPr>
                <w:rFonts w:cs="Arial"/>
                <w:lang w:eastAsia="en-NZ"/>
              </w:rPr>
            </w:pPr>
          </w:p>
        </w:tc>
      </w:tr>
      <w:tr w:rsidR="00F4690B" w14:paraId="10847456" w14:textId="77777777">
        <w:tc>
          <w:tcPr>
            <w:tcW w:w="0" w:type="auto"/>
          </w:tcPr>
          <w:p w14:paraId="73BC30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58B43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AA3A033" w14:textId="77777777" w:rsidR="00000000" w:rsidRPr="00BE00C7" w:rsidRDefault="00000000" w:rsidP="00BE00C7">
            <w:pPr>
              <w:pStyle w:val="OutcomeDescription"/>
              <w:spacing w:before="120" w:after="120"/>
              <w:rPr>
                <w:rFonts w:cs="Arial"/>
                <w:lang w:eastAsia="en-NZ"/>
              </w:rPr>
            </w:pPr>
          </w:p>
        </w:tc>
        <w:tc>
          <w:tcPr>
            <w:tcW w:w="0" w:type="auto"/>
          </w:tcPr>
          <w:p w14:paraId="124589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B751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welcomed into Southanjer when their required level of care has been assessed and confirmed by the local Needs Assessment and Service Coordination (NASC) agency. All residents admitted had a specialist’s authorisation for placement and were admitted with the consent of their EPOA.  </w:t>
            </w:r>
          </w:p>
          <w:p w14:paraId="63CDE3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whānau/EPOA interviewed were satisfied with the admission process and the information that had been made available to them on admission.  </w:t>
            </w:r>
          </w:p>
          <w:p w14:paraId="6C915A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Enquiries are documented and, where a prospective resident is declined entry, there are processes for communicating the decision, although this rarely occurs. Related data is documented and analysed, including data for Māori. </w:t>
            </w:r>
          </w:p>
          <w:p w14:paraId="1F57B3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developed partnerships with local Māori communities and organisations, including local kaupapa Māori health services, and </w:t>
            </w:r>
            <w:r w:rsidRPr="00BE00C7">
              <w:rPr>
                <w:rFonts w:cs="Arial"/>
                <w:lang w:eastAsia="en-NZ"/>
              </w:rPr>
              <w:lastRenderedPageBreak/>
              <w:t>supports Māori and their whānau when entering the service. There were currently no residents who had requested the services of a Māori health practitioner or traditional Māori healer.</w:t>
            </w:r>
          </w:p>
          <w:p w14:paraId="028DAF23" w14:textId="77777777" w:rsidR="00000000" w:rsidRPr="00BE00C7" w:rsidRDefault="00000000" w:rsidP="00BE00C7">
            <w:pPr>
              <w:pStyle w:val="OutcomeDescription"/>
              <w:spacing w:before="120" w:after="120"/>
              <w:rPr>
                <w:rFonts w:cs="Arial"/>
                <w:lang w:eastAsia="en-NZ"/>
              </w:rPr>
            </w:pPr>
          </w:p>
        </w:tc>
      </w:tr>
      <w:tr w:rsidR="00F4690B" w14:paraId="5E236EAC" w14:textId="77777777">
        <w:tc>
          <w:tcPr>
            <w:tcW w:w="0" w:type="auto"/>
          </w:tcPr>
          <w:p w14:paraId="446FB7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CE252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195183B" w14:textId="77777777" w:rsidR="00000000" w:rsidRPr="00BE00C7" w:rsidRDefault="00000000" w:rsidP="00BE00C7">
            <w:pPr>
              <w:pStyle w:val="OutcomeDescription"/>
              <w:spacing w:before="120" w:after="120"/>
              <w:rPr>
                <w:rFonts w:cs="Arial"/>
                <w:lang w:eastAsia="en-NZ"/>
              </w:rPr>
            </w:pPr>
          </w:p>
        </w:tc>
        <w:tc>
          <w:tcPr>
            <w:tcW w:w="0" w:type="auto"/>
          </w:tcPr>
          <w:p w14:paraId="2FCF75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CC9F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works in partnership with the resident and EPOA/whānau to support wellbeing and optimise quality of life.  Five resident files were reviewed, all receiving rest home dementia care including one receiving respite care. The files included residents who identified as Māori, residents with wounds, residents with compromised mobility requiring physiotherapy input, a resident with weight loss, and residents with several co-morbidities.</w:t>
            </w:r>
          </w:p>
          <w:p w14:paraId="79163D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files verified that a care plan, based on the provider’s model of care, was developed by a registered nurse following a comprehensive assessment, including consideration of the person’s lived experience, cultural needs, values, beliefs and preferences, and which considered wider service integration, where required.  Early warning signs and risks, with a focus on prevention or escalation for appropriate interventions, were recorded. </w:t>
            </w:r>
          </w:p>
          <w:p w14:paraId="65447A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 is based on a range of clinical assessments and includes resident and EPOA/whānau input (as applicable).  Timeframes for the initial assessment, medical practitioner assessment, initial care plan, long-term care plan and review timeframes meet contractual and policy requirements.  Staff understand and support Māori and whānau to identify their own pae ora outcomes in their care plan. This was verified by sampling residents’ records, and from interviews with clinical staff, residents and whānau. </w:t>
            </w:r>
          </w:p>
          <w:p w14:paraId="0F09574D"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 EPOA/whānau. Residents and EPOA/whānau confirmed active involvement in the process.</w:t>
            </w:r>
          </w:p>
          <w:p w14:paraId="7466DD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assessments. Examples of choices and control over service delivery </w:t>
            </w:r>
            <w:r w:rsidRPr="00BE00C7">
              <w:rPr>
                <w:rFonts w:cs="Arial"/>
                <w:lang w:eastAsia="en-NZ"/>
              </w:rPr>
              <w:lastRenderedPageBreak/>
              <w:t xml:space="preserve">were discussed with staff, tāngata whaikaha, and EPOA/whānau.  Tāngata whaikaha and whānau can independently access information. </w:t>
            </w:r>
          </w:p>
          <w:p w14:paraId="29569C45"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was interviewed and stated that nurses had the required skills and knowledge, and they were happy with the standard of care.</w:t>
            </w:r>
          </w:p>
          <w:p w14:paraId="2A3F6C1D" w14:textId="77777777" w:rsidR="00000000" w:rsidRPr="00BE00C7" w:rsidRDefault="00000000" w:rsidP="00692C80">
            <w:pPr>
              <w:pStyle w:val="OutcomeDescription"/>
              <w:spacing w:before="120" w:after="120"/>
              <w:rPr>
                <w:rFonts w:cs="Arial"/>
                <w:lang w:eastAsia="en-NZ"/>
              </w:rPr>
            </w:pPr>
          </w:p>
        </w:tc>
      </w:tr>
      <w:tr w:rsidR="00F4690B" w14:paraId="771B2C7E" w14:textId="77777777">
        <w:tc>
          <w:tcPr>
            <w:tcW w:w="0" w:type="auto"/>
          </w:tcPr>
          <w:p w14:paraId="1059AA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ADCBD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16AA449" w14:textId="77777777" w:rsidR="00000000" w:rsidRPr="00BE00C7" w:rsidRDefault="00000000" w:rsidP="00BE00C7">
            <w:pPr>
              <w:pStyle w:val="OutcomeDescription"/>
              <w:spacing w:before="120" w:after="120"/>
              <w:rPr>
                <w:rFonts w:cs="Arial"/>
                <w:lang w:eastAsia="en-NZ"/>
              </w:rPr>
            </w:pPr>
          </w:p>
        </w:tc>
        <w:tc>
          <w:tcPr>
            <w:tcW w:w="0" w:type="auto"/>
          </w:tcPr>
          <w:p w14:paraId="532D68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10AF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is provided by a diversional therapist employed three days a week, and support by two activities coordinators employed two days a week, each giving seven day a week coverage. The programme is further supported by caregivers when the activities team are not present. Volunteers are available to assist and work alongside the diversional therapist.</w:t>
            </w:r>
          </w:p>
          <w:p w14:paraId="6B29D0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is planned over seven days and supports residents to maintain and develop their interests, and was suitable for their age and stage of life. Personal profiles identify individual interests and consider the person’s identity.  A diversional therapy plan is developed for all residents and included consideration of their usual pattern of life over a 24-hour period.</w:t>
            </w:r>
          </w:p>
          <w:p w14:paraId="3E268E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 and group activities reflected residents’ goals and interest, and ordinary patterns of life, and included normal community activities. A variety of activities were observed during the audit. A facility van shared with another facility is available for use and regular outings are planned. </w:t>
            </w:r>
          </w:p>
          <w:p w14:paraId="6847C5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Opportunities for Māori and whānau to participate in te ao Māori are facilitated. Community initiatives meet the needs of Māori.   </w:t>
            </w:r>
          </w:p>
          <w:p w14:paraId="24836B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Feedback on the programme is provided through whānau surveys and an annual review of the programme by the diversional therapist. Residents and whānau interviewed were happy with the activities offered; particular mention was made of the extension to the garden, which is appreciated by both residents and whānau.  </w:t>
            </w:r>
          </w:p>
          <w:p w14:paraId="60BE143C" w14:textId="77777777" w:rsidR="00000000" w:rsidRPr="00BE00C7" w:rsidRDefault="00000000" w:rsidP="00BE00C7">
            <w:pPr>
              <w:pStyle w:val="OutcomeDescription"/>
              <w:spacing w:before="120" w:after="120"/>
              <w:rPr>
                <w:rFonts w:cs="Arial"/>
                <w:lang w:eastAsia="en-NZ"/>
              </w:rPr>
            </w:pPr>
          </w:p>
        </w:tc>
      </w:tr>
      <w:tr w:rsidR="00F4690B" w14:paraId="5380AF69" w14:textId="77777777">
        <w:tc>
          <w:tcPr>
            <w:tcW w:w="0" w:type="auto"/>
          </w:tcPr>
          <w:p w14:paraId="6886D0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704A8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8BA7B47" w14:textId="77777777" w:rsidR="00000000" w:rsidRPr="00BE00C7" w:rsidRDefault="00000000" w:rsidP="00BE00C7">
            <w:pPr>
              <w:pStyle w:val="OutcomeDescription"/>
              <w:spacing w:before="120" w:after="120"/>
              <w:rPr>
                <w:rFonts w:cs="Arial"/>
                <w:lang w:eastAsia="en-NZ"/>
              </w:rPr>
            </w:pPr>
          </w:p>
        </w:tc>
        <w:tc>
          <w:tcPr>
            <w:tcW w:w="0" w:type="auto"/>
          </w:tcPr>
          <w:p w14:paraId="151827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B75D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up to date and aligned with the Medicines Care Guide for Residential Aged Care and current best </w:t>
            </w:r>
            <w:r w:rsidRPr="00BE00C7">
              <w:rPr>
                <w:rFonts w:cs="Arial"/>
                <w:lang w:eastAsia="en-NZ"/>
              </w:rPr>
              <w:lastRenderedPageBreak/>
              <w:t>practice. A safe system for medicine management, utilising an electronic medication management system, was observed on the day of audit. All staff who administer medicines were appropriately trained, assessed as competent, and authorised to perform this function.</w:t>
            </w:r>
          </w:p>
          <w:p w14:paraId="4779E54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processes were evident and were consistently applied. All medicines sighted during the audit were within current use-by dates.</w:t>
            </w:r>
          </w:p>
          <w:p w14:paraId="2A5DFD6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including controlled drugs, were stored securely in accordance with regulatory and policy requirements. Required stock checks had been completed as scheduled, and medicines were stored within the recommended temperature range, with monitoring records available.</w:t>
            </w:r>
          </w:p>
          <w:p w14:paraId="72CE66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clearly documented, and any adverse events were responded to appropriately and in a timely manner. Over-the-counter medications and supplements were considered and documented by the prescriber as part of each resident’s overall medication regimen. The required three-monthly medical practitioner medication review was consistently recorded on the medicine chart. </w:t>
            </w:r>
          </w:p>
          <w:p w14:paraId="7342FF27"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are not used at Southanjer.</w:t>
            </w:r>
          </w:p>
          <w:p w14:paraId="6C4379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 the Southanjer secure dementia unit do not self-administer medications, and this practice is not supported by policy. This was confirmed by the RN.   </w:t>
            </w:r>
          </w:p>
          <w:p w14:paraId="73A73FD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Māori residents, and EPOA are supported to understand their medications, with education provided by clinical staff as required.</w:t>
            </w:r>
          </w:p>
          <w:p w14:paraId="01FFF5AD" w14:textId="77777777" w:rsidR="00000000" w:rsidRPr="00BE00C7" w:rsidRDefault="00000000" w:rsidP="00692C80">
            <w:pPr>
              <w:pStyle w:val="OutcomeDescription"/>
              <w:spacing w:before="120" w:after="120"/>
              <w:rPr>
                <w:rFonts w:cs="Arial"/>
                <w:lang w:eastAsia="en-NZ"/>
              </w:rPr>
            </w:pPr>
          </w:p>
        </w:tc>
      </w:tr>
      <w:tr w:rsidR="00F4690B" w14:paraId="0425B531" w14:textId="77777777">
        <w:tc>
          <w:tcPr>
            <w:tcW w:w="0" w:type="auto"/>
          </w:tcPr>
          <w:p w14:paraId="0AD626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49058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w:t>
            </w:r>
            <w:r w:rsidRPr="00BE00C7">
              <w:rPr>
                <w:rFonts w:cs="Arial"/>
                <w:lang w:eastAsia="en-NZ"/>
              </w:rPr>
              <w:lastRenderedPageBreak/>
              <w:t>needs are met to promote and maintain their health and wellbeing.</w:t>
            </w:r>
          </w:p>
          <w:p w14:paraId="409F98A3" w14:textId="77777777" w:rsidR="00000000" w:rsidRPr="00BE00C7" w:rsidRDefault="00000000" w:rsidP="00BE00C7">
            <w:pPr>
              <w:pStyle w:val="OutcomeDescription"/>
              <w:spacing w:before="120" w:after="120"/>
              <w:rPr>
                <w:rFonts w:cs="Arial"/>
                <w:lang w:eastAsia="en-NZ"/>
              </w:rPr>
            </w:pPr>
          </w:p>
        </w:tc>
        <w:tc>
          <w:tcPr>
            <w:tcW w:w="0" w:type="auto"/>
          </w:tcPr>
          <w:p w14:paraId="45AF8E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F193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was aligned with recognised nutritional guidelines for people receiving aged residential care. The menu had been reviewed by a qualified dietitian within the last two years (28 September 2025), and documentation confirmed that recommendations from this review had been implemented.</w:t>
            </w:r>
          </w:p>
          <w:p w14:paraId="20B49C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aspects of food management complied with current legislation and </w:t>
            </w:r>
            <w:r w:rsidRPr="00BE00C7">
              <w:rPr>
                <w:rFonts w:cs="Arial"/>
                <w:lang w:eastAsia="en-NZ"/>
              </w:rPr>
              <w:lastRenderedPageBreak/>
              <w:t>best-practice guidelines. The service operates under an approved food safety plan and registration with an expiry date of 5 May 2026, with evidence of ongoing monitoring and compliance.</w:t>
            </w:r>
          </w:p>
          <w:p w14:paraId="4BEB4009"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received a nutritional assessment on admission. Personal food preferences, special dietary requirements, intolerances or allergies, and modified texture needs were identified and accommodated within the daily meal plan. Māori residents and their whānau have access to menu options that reflect te ao Māori, and individual cultural food preferences can be catered for as required.</w:t>
            </w:r>
          </w:p>
          <w:p w14:paraId="1B0473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whānau had opportunities to be involved in the preparation of food where appropriate to the service as part of the activities programme. </w:t>
            </w:r>
          </w:p>
          <w:p w14:paraId="14BDEA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Snacks including sandwiches, fruit, biscuits, and drinks are available 24/7. </w:t>
            </w:r>
          </w:p>
          <w:p w14:paraId="54EC2FF7"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and EPOA satisfaction with meals was verified through resident and EPOA/whānau interviews. Residents interviewed stated that the food was good. Whānau members also confirmed satisfaction. Residents were observed to be given sufficient time to eat their meals in an unhurried manner, and those requiring assistance received this support respectfully and with dignity.</w:t>
            </w:r>
          </w:p>
          <w:p w14:paraId="03F90AF3" w14:textId="77777777" w:rsidR="00000000" w:rsidRPr="00BE00C7" w:rsidRDefault="00000000" w:rsidP="00BE00C7">
            <w:pPr>
              <w:pStyle w:val="OutcomeDescription"/>
              <w:spacing w:before="120" w:after="120"/>
              <w:rPr>
                <w:rFonts w:cs="Arial"/>
                <w:lang w:eastAsia="en-NZ"/>
              </w:rPr>
            </w:pPr>
          </w:p>
        </w:tc>
      </w:tr>
      <w:tr w:rsidR="00F4690B" w14:paraId="6FC80D33" w14:textId="77777777">
        <w:tc>
          <w:tcPr>
            <w:tcW w:w="0" w:type="auto"/>
          </w:tcPr>
          <w:p w14:paraId="35A4D3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F4045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FC395C8" w14:textId="77777777" w:rsidR="00000000" w:rsidRPr="00BE00C7" w:rsidRDefault="00000000" w:rsidP="00BE00C7">
            <w:pPr>
              <w:pStyle w:val="OutcomeDescription"/>
              <w:spacing w:before="120" w:after="120"/>
              <w:rPr>
                <w:rFonts w:cs="Arial"/>
                <w:lang w:eastAsia="en-NZ"/>
              </w:rPr>
            </w:pPr>
          </w:p>
        </w:tc>
        <w:tc>
          <w:tcPr>
            <w:tcW w:w="0" w:type="auto"/>
          </w:tcPr>
          <w:p w14:paraId="7D55E3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FB5CDF"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Southanjer is planned and managed safely, with coordination between services and in collaboration with the resident and their EPOA. Risks and current support needs were identified, documented, and actively managed throughout the process. Where appropriate, options to access other health and disability services, as well as relevant social and cultural supports, were discussed with residents and whānau to support informed decision-making and continuity of care.</w:t>
            </w:r>
          </w:p>
          <w:p w14:paraId="6026BC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reviewed demonstrated comprehensive assessment and planning for district hospital transfers and appointments for specialist services. A clearly defined process was in place to support effective communication, clinical handover, and safe transitions between services. EPOA interviewed reported that they were kept well </w:t>
            </w:r>
            <w:r w:rsidRPr="00BE00C7">
              <w:rPr>
                <w:rFonts w:cs="Arial"/>
                <w:lang w:eastAsia="en-NZ"/>
              </w:rPr>
              <w:lastRenderedPageBreak/>
              <w:t xml:space="preserve">informed.  </w:t>
            </w:r>
          </w:p>
          <w:p w14:paraId="491618F3" w14:textId="77777777" w:rsidR="00000000" w:rsidRPr="00BE00C7" w:rsidRDefault="00000000" w:rsidP="00BE00C7">
            <w:pPr>
              <w:pStyle w:val="OutcomeDescription"/>
              <w:spacing w:before="120" w:after="120"/>
              <w:rPr>
                <w:rFonts w:cs="Arial"/>
                <w:lang w:eastAsia="en-NZ"/>
              </w:rPr>
            </w:pPr>
          </w:p>
        </w:tc>
      </w:tr>
      <w:tr w:rsidR="00F4690B" w14:paraId="53B2DB84" w14:textId="77777777">
        <w:tc>
          <w:tcPr>
            <w:tcW w:w="0" w:type="auto"/>
          </w:tcPr>
          <w:p w14:paraId="68AF3F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613F5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6C3C628" w14:textId="77777777" w:rsidR="00000000" w:rsidRPr="00BE00C7" w:rsidRDefault="00000000" w:rsidP="00BE00C7">
            <w:pPr>
              <w:pStyle w:val="OutcomeDescription"/>
              <w:spacing w:before="120" w:after="120"/>
              <w:rPr>
                <w:rFonts w:cs="Arial"/>
                <w:lang w:eastAsia="en-NZ"/>
              </w:rPr>
            </w:pPr>
          </w:p>
        </w:tc>
        <w:tc>
          <w:tcPr>
            <w:tcW w:w="0" w:type="auto"/>
          </w:tcPr>
          <w:p w14:paraId="7F95D9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B69BD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that the residents’ physical internal environment and facilities are fit for their purpose, well maintained, and that they meet legislative requirements. The building warrant of fitness expires on 9 April 2026.</w:t>
            </w:r>
          </w:p>
          <w:p w14:paraId="2285D9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described the maintenance schedule, which was sighted. Staff confirmed they know the processes they should follow if any repair or maintenance is required, and any requests are appropriately actioned. </w:t>
            </w:r>
          </w:p>
          <w:p w14:paraId="03E7A6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Equipment tagging and testing was current, as confirmed in records, interviews with the FM, and observation. Current calibration of biomedical records was sighted. Hot water temperatures are included on the maintenance schedule, are recorded monthly, and were within the required range. </w:t>
            </w:r>
          </w:p>
          <w:p w14:paraId="68DDCD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to meet the mobility needs of people receiving services. An internal courtyard and an enlarged fenced back garden are available for residents to use. External areas are independently accessible for residents, are safely maintained, and were appropriate for people with dementia. Southanjer recently extended the internal garden to improve mobility, reduce falls risk, and to give a sense of space. Additionally, seating was added on a mound that allows residents a view of the surrounding countryside. The environment design provides safe areas that encourage purposeful walking.</w:t>
            </w:r>
          </w:p>
          <w:p w14:paraId="2021B5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Personalised equipment was available for residents with disabilities to meet their needs. There is room to store mobility aids and wheelchairs. </w:t>
            </w:r>
          </w:p>
          <w:p w14:paraId="483F3E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Spaces were culturally inclusive and suited the needs of the resident groups. </w:t>
            </w:r>
          </w:p>
          <w:p w14:paraId="3D3FA2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Communal areas are available for residents to engage in activities. The dining areas and lounge areas are spacious and enable easy access for residents and staff. Residents can access areas such as the lounge or the whānau room for privacy if required. Furniture is </w:t>
            </w:r>
            <w:r w:rsidRPr="00BE00C7">
              <w:rPr>
                <w:rFonts w:cs="Arial"/>
                <w:lang w:eastAsia="en-NZ"/>
              </w:rPr>
              <w:lastRenderedPageBreak/>
              <w:t>appropriate to the setting and residents’ needs.</w:t>
            </w:r>
          </w:p>
          <w:p w14:paraId="4D5C17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numbers of accessible bathroom and toilet facilities for resident use throughout the facility.  No rooms have ensuites. Appropriately secured and approved handrails are provided in the toilet/shower areas, and other equipment/accessories are available to promote residents’ independence.  Shared bathrooms are in good repair, with intact surfaces.</w:t>
            </w:r>
          </w:p>
          <w:p w14:paraId="610347EA"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personal space is provided to allow residents and staff to safely move around within the spacious bedrooms. Rooms are personalised, with furnishings, photos and other personal items displayed. Staff reported that they respect the residents’ spiritual and cultural requirements. Whānau and staff reported the adequacy of bedrooms.</w:t>
            </w:r>
          </w:p>
          <w:p w14:paraId="55EAC05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rooms and communal areas are heated and ventilated appropriately.  Rooms have natural light, opening external windows, and some rooms have sliding doors that open to the internal garden area. Electrical heating (ceiling panels) are provided in residents’ rooms and in the hallways and communal areas. Areas were warm and well-ventilated throughout the audit and whānau confirmed the facilities are maintained at a comfortable temperature.</w:t>
            </w:r>
          </w:p>
          <w:p w14:paraId="29E185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described how the service would utilise its links with its cultural advisors to ensure the designs and environments reflect the aspirations and identity of Māori should there be any building changes in the future.  </w:t>
            </w:r>
          </w:p>
          <w:p w14:paraId="4BC771F2" w14:textId="77777777" w:rsidR="00000000" w:rsidRPr="00BE00C7" w:rsidRDefault="00000000" w:rsidP="00BE00C7">
            <w:pPr>
              <w:pStyle w:val="OutcomeDescription"/>
              <w:spacing w:before="120" w:after="120"/>
              <w:rPr>
                <w:rFonts w:cs="Arial"/>
                <w:lang w:eastAsia="en-NZ"/>
              </w:rPr>
            </w:pPr>
            <w:r w:rsidRPr="00BE00C7">
              <w:rPr>
                <w:rFonts w:cs="Arial"/>
                <w:lang w:eastAsia="en-NZ"/>
              </w:rPr>
              <w:t>Significantly increasing the size of the safe and secure outdoor space available to residents is worthy of a continuous improvement, refer 4.1.2.</w:t>
            </w:r>
          </w:p>
          <w:p w14:paraId="3D6B2D3A" w14:textId="77777777" w:rsidR="00000000" w:rsidRPr="00BE00C7" w:rsidRDefault="00000000" w:rsidP="00BE00C7">
            <w:pPr>
              <w:pStyle w:val="OutcomeDescription"/>
              <w:spacing w:before="120" w:after="120"/>
              <w:rPr>
                <w:rFonts w:cs="Arial"/>
                <w:lang w:eastAsia="en-NZ"/>
              </w:rPr>
            </w:pPr>
          </w:p>
        </w:tc>
      </w:tr>
      <w:tr w:rsidR="00F4690B" w14:paraId="34EE2E58" w14:textId="77777777">
        <w:tc>
          <w:tcPr>
            <w:tcW w:w="0" w:type="auto"/>
          </w:tcPr>
          <w:p w14:paraId="0F9C41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89530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0E61A072" w14:textId="77777777" w:rsidR="00000000" w:rsidRPr="00BE00C7" w:rsidRDefault="00000000" w:rsidP="00BE00C7">
            <w:pPr>
              <w:pStyle w:val="OutcomeDescription"/>
              <w:spacing w:before="120" w:after="120"/>
              <w:rPr>
                <w:rFonts w:cs="Arial"/>
                <w:lang w:eastAsia="en-NZ"/>
              </w:rPr>
            </w:pPr>
          </w:p>
        </w:tc>
        <w:tc>
          <w:tcPr>
            <w:tcW w:w="0" w:type="auto"/>
          </w:tcPr>
          <w:p w14:paraId="5254E5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F8CA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fire evacuation plan was approved by Fire and Emergency New Zealand (FENZ) on 23 March 1997. A trial evacuation takes place six-monthly, with a copy sent to Fire and Emergency New Zealand, the most recent being on 26 February 2026. The record was sighted. </w:t>
            </w:r>
          </w:p>
          <w:p w14:paraId="6C7188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w:t>
            </w:r>
            <w:r w:rsidRPr="00BE00C7">
              <w:rPr>
                <w:rFonts w:cs="Arial"/>
                <w:lang w:eastAsia="en-NZ"/>
              </w:rPr>
              <w:lastRenderedPageBreak/>
              <w:t>preparation for disasters and describe the procedures to be followed.</w:t>
            </w:r>
          </w:p>
          <w:p w14:paraId="5A961F21"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evacuation plans were displayed and known to staff. The emergency plan considered the special needs of people with dementia in an emergency. Call boxes, sprinklers, alarms, exit signs, and fire action notices were sighted. The floor plan was sighted in the civil defence kit.</w:t>
            </w:r>
          </w:p>
          <w:p w14:paraId="4C3528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orientation programme includes fire and security training. Staff files evidenced that staff were trained in emergency procedures. Staff confirmed their awareness of the emergency procedures and attend regular fire drills. Staff reported attending fire safety training, and records confirmed this. </w:t>
            </w:r>
          </w:p>
          <w:p w14:paraId="2E6380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staff reported that staff have current first aid certificates. Current first aid certificates were sighted in the files reviewed.</w:t>
            </w:r>
          </w:p>
          <w:p w14:paraId="3A39FFB7"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that staff respond promptly to call bells.</w:t>
            </w:r>
          </w:p>
          <w:p w14:paraId="5E13EB7E"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including dry food, medical supplies, personal protective equipment (PPE), and a gas BBQ were sighted.  Supplies were last checked on 27 December 2025. The FM reported that in the event of a power outage, a generator is available through a memorandum of understanding (MOU) with a local provider. The MOU was sighted.</w:t>
            </w:r>
          </w:p>
          <w:p w14:paraId="3D3E1C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hundred litres of water are stored, and evidence was sighted.  An additional 20,000 litres of water are stored on the property outside, and evidence was sighted. This meets the National Emergency Management Agency recommendations for the region. </w:t>
            </w:r>
          </w:p>
          <w:p w14:paraId="12E047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Security arrangements are in place and whānau are informed of these at the time of their relative’s admission. Residents are informed as applicable. Southanjer is a secure dementia care facility. The facility can be accessed through an external door into a foyer and then into the facility during daylight hours. Access to exit the facility into the foyer is with staff support as the door is key coded. The external door from the foyer is locked at dusk and a call bell is in place for visitors. Staff undertake security checks at night. Doors to the internal garden are locked at dusk or earlier in cold weather. Whānau and staff were </w:t>
            </w:r>
            <w:r w:rsidRPr="00BE00C7">
              <w:rPr>
                <w:rFonts w:cs="Arial"/>
                <w:lang w:eastAsia="en-NZ"/>
              </w:rPr>
              <w:lastRenderedPageBreak/>
              <w:t>familiar with emergency and security arrangements.</w:t>
            </w:r>
          </w:p>
          <w:p w14:paraId="4113F015" w14:textId="77777777" w:rsidR="00000000" w:rsidRPr="00BE00C7" w:rsidRDefault="00000000" w:rsidP="00BE00C7">
            <w:pPr>
              <w:pStyle w:val="OutcomeDescription"/>
              <w:spacing w:before="120" w:after="120"/>
              <w:rPr>
                <w:rFonts w:cs="Arial"/>
                <w:lang w:eastAsia="en-NZ"/>
              </w:rPr>
            </w:pPr>
          </w:p>
        </w:tc>
      </w:tr>
      <w:tr w:rsidR="00F4690B" w14:paraId="4783BA3F" w14:textId="77777777">
        <w:tc>
          <w:tcPr>
            <w:tcW w:w="0" w:type="auto"/>
          </w:tcPr>
          <w:p w14:paraId="3074C2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A4B35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25935E8" w14:textId="77777777" w:rsidR="00000000" w:rsidRPr="00BE00C7" w:rsidRDefault="00000000" w:rsidP="00BE00C7">
            <w:pPr>
              <w:pStyle w:val="OutcomeDescription"/>
              <w:spacing w:before="120" w:after="120"/>
              <w:rPr>
                <w:rFonts w:cs="Arial"/>
                <w:lang w:eastAsia="en-NZ"/>
              </w:rPr>
            </w:pPr>
          </w:p>
        </w:tc>
        <w:tc>
          <w:tcPr>
            <w:tcW w:w="0" w:type="auto"/>
          </w:tcPr>
          <w:p w14:paraId="3375B9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4C1B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Southanjer is committed to reducing infection.</w:t>
            </w:r>
          </w:p>
          <w:p w14:paraId="70C7FF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Expertise and advice are sought following a defined process. Specialist support can be accessed through Health New Zealand – Te Whatu Ora, the medical laboratory, external consultants, colleagues, and the attending GP. </w:t>
            </w:r>
          </w:p>
          <w:p w14:paraId="43A770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 &amp; AMS policy documents the pathway for the reporting of issues and significant events to the governance body. Evidence was sighted. </w:t>
            </w:r>
          </w:p>
          <w:p w14:paraId="099B64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planning was tested thoroughly during COVID-19. The last outbreak reported was in June 2025.</w:t>
            </w:r>
          </w:p>
          <w:p w14:paraId="2965F564" w14:textId="77777777" w:rsidR="00000000" w:rsidRPr="00BE00C7" w:rsidRDefault="00000000" w:rsidP="00BE00C7">
            <w:pPr>
              <w:pStyle w:val="OutcomeDescription"/>
              <w:spacing w:before="120" w:after="120"/>
              <w:rPr>
                <w:rFonts w:cs="Arial"/>
                <w:lang w:eastAsia="en-NZ"/>
              </w:rPr>
            </w:pPr>
          </w:p>
        </w:tc>
      </w:tr>
      <w:tr w:rsidR="00F4690B" w14:paraId="577DBBA0" w14:textId="77777777">
        <w:tc>
          <w:tcPr>
            <w:tcW w:w="0" w:type="auto"/>
          </w:tcPr>
          <w:p w14:paraId="238CD0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C1C92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F3A192D" w14:textId="77777777" w:rsidR="00000000" w:rsidRPr="00BE00C7" w:rsidRDefault="00000000" w:rsidP="00BE00C7">
            <w:pPr>
              <w:pStyle w:val="OutcomeDescription"/>
              <w:spacing w:before="120" w:after="120"/>
              <w:rPr>
                <w:rFonts w:cs="Arial"/>
                <w:lang w:eastAsia="en-NZ"/>
              </w:rPr>
            </w:pPr>
          </w:p>
        </w:tc>
        <w:tc>
          <w:tcPr>
            <w:tcW w:w="0" w:type="auto"/>
          </w:tcPr>
          <w:p w14:paraId="12E489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7C99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and AMS policies reflected the requirements of the standard and are based on current accepted good practice.  There is an IP programme in place that has been developed by those with IP expertise, is linked to the quality improvement programme, and has been approved by the governing body. Annual review of the programme last occurred in February 2026 and reporting to governance had occurred.</w:t>
            </w:r>
          </w:p>
          <w:p w14:paraId="1B2013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team approach to IP and AMS that includes all RNs. The team is responsible for overseeing and implementing the IP programme with reporting lines to the FM. The RNs have the appropriate skills, knowledge and qualifications for their roles and confirmed access to the necessary resources and support. Their advice and/or the advice of the committee has been sought when making decisions around procurement relevant to care delivery, and policies. No design of any new building or facility changes have occurred; there are processes in place to ensure IP advice would be </w:t>
            </w:r>
            <w:r w:rsidRPr="00BE00C7">
              <w:rPr>
                <w:rFonts w:cs="Arial"/>
                <w:lang w:eastAsia="en-NZ"/>
              </w:rPr>
              <w:lastRenderedPageBreak/>
              <w:t xml:space="preserve">sought should this occur.  </w:t>
            </w:r>
          </w:p>
          <w:p w14:paraId="389CFD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79A38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12BB22FB"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3039A89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equipment and there was evidence of these being appropriately decontaminated and reprocessed. The process is audited to maintain good practice. Single-use medical devices are not reused.</w:t>
            </w:r>
          </w:p>
          <w:p w14:paraId="2F046AB0" w14:textId="77777777" w:rsidR="00000000" w:rsidRPr="00BE00C7" w:rsidRDefault="00000000" w:rsidP="00BE00C7">
            <w:pPr>
              <w:pStyle w:val="OutcomeDescription"/>
              <w:spacing w:before="120" w:after="120"/>
              <w:rPr>
                <w:rFonts w:cs="Arial"/>
                <w:lang w:eastAsia="en-NZ"/>
              </w:rPr>
            </w:pPr>
          </w:p>
        </w:tc>
      </w:tr>
      <w:tr w:rsidR="00F4690B" w14:paraId="4844A7B8" w14:textId="77777777">
        <w:tc>
          <w:tcPr>
            <w:tcW w:w="0" w:type="auto"/>
          </w:tcPr>
          <w:p w14:paraId="0D93D33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B1B13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8C1BE15" w14:textId="77777777" w:rsidR="00000000" w:rsidRPr="00BE00C7" w:rsidRDefault="00000000" w:rsidP="00BE00C7">
            <w:pPr>
              <w:pStyle w:val="OutcomeDescription"/>
              <w:spacing w:before="120" w:after="120"/>
              <w:rPr>
                <w:rFonts w:cs="Arial"/>
                <w:lang w:eastAsia="en-NZ"/>
              </w:rPr>
            </w:pPr>
          </w:p>
        </w:tc>
        <w:tc>
          <w:tcPr>
            <w:tcW w:w="0" w:type="auto"/>
          </w:tcPr>
          <w:p w14:paraId="1BA5FE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242A2A"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actively promoted at Southanjer. The AMS programme was appropriate for the size and complexity of the service and was supported by current policies and procedures. The effectiveness of the AMS programme was evaluated through regular monitoring of antimicrobial use, with identification of trends and opportunities for improvement.</w:t>
            </w:r>
          </w:p>
          <w:p w14:paraId="687262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RNs and a general practitioner were interviewed during the audit and both confirmed that they work collaboratively to minimise unnecessary antibiotic use in older persons. They described a shared approach whereby antibiotics were generally prescribed only when the resident was clearly symptomatic or a laboratory specimen had been sent, in line with best-practice AMS principles.</w:t>
            </w:r>
          </w:p>
          <w:p w14:paraId="072C444B" w14:textId="77777777" w:rsidR="00000000" w:rsidRPr="00BE00C7" w:rsidRDefault="00000000" w:rsidP="00BE00C7">
            <w:pPr>
              <w:pStyle w:val="OutcomeDescription"/>
              <w:spacing w:before="120" w:after="120"/>
              <w:rPr>
                <w:rFonts w:cs="Arial"/>
                <w:lang w:eastAsia="en-NZ"/>
              </w:rPr>
            </w:pPr>
          </w:p>
        </w:tc>
      </w:tr>
      <w:tr w:rsidR="00F4690B" w14:paraId="11C1F7EB" w14:textId="77777777">
        <w:tc>
          <w:tcPr>
            <w:tcW w:w="0" w:type="auto"/>
          </w:tcPr>
          <w:p w14:paraId="0CE319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5.4: Surveillance of health care-associated infection </w:t>
            </w:r>
            <w:r w:rsidRPr="00BE00C7">
              <w:rPr>
                <w:rFonts w:cs="Arial"/>
                <w:lang w:eastAsia="en-NZ"/>
              </w:rPr>
              <w:lastRenderedPageBreak/>
              <w:t>(HAI)</w:t>
            </w:r>
          </w:p>
          <w:p w14:paraId="7F5E02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49C8353" w14:textId="77777777" w:rsidR="00000000" w:rsidRPr="00BE00C7" w:rsidRDefault="00000000" w:rsidP="00BE00C7">
            <w:pPr>
              <w:pStyle w:val="OutcomeDescription"/>
              <w:spacing w:before="120" w:after="120"/>
              <w:rPr>
                <w:rFonts w:cs="Arial"/>
                <w:lang w:eastAsia="en-NZ"/>
              </w:rPr>
            </w:pPr>
          </w:p>
        </w:tc>
        <w:tc>
          <w:tcPr>
            <w:tcW w:w="0" w:type="auto"/>
          </w:tcPr>
          <w:p w14:paraId="1366DF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98C4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aged care services offered and is in line </w:t>
            </w:r>
            <w:r w:rsidRPr="00BE00C7">
              <w:rPr>
                <w:rFonts w:cs="Arial"/>
                <w:lang w:eastAsia="en-NZ"/>
              </w:rPr>
              <w:lastRenderedPageBreak/>
              <w:t xml:space="preserve">with risks and priorities defined in the infection prevention programme. </w:t>
            </w:r>
          </w:p>
          <w:p w14:paraId="3BB874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methods, tools, documentation, analysis, and assignment of responsibilities were described within the IP framework and aligned with standardised surveillance definitions. Surveillance processes include the routine capture of resident ethnicity data. Monthly surveillance data was collated and analysed to identify any trends, possible causative factors, and required actions. Results of the surveillance programme are shared with staff and reported to the governing body.  </w:t>
            </w:r>
          </w:p>
          <w:p w14:paraId="2E59CC95"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460A3C8E" w14:textId="77777777" w:rsidR="00000000" w:rsidRPr="00BE00C7" w:rsidRDefault="00000000" w:rsidP="00BE00C7">
            <w:pPr>
              <w:pStyle w:val="OutcomeDescription"/>
              <w:spacing w:before="120" w:after="120"/>
              <w:rPr>
                <w:rFonts w:cs="Arial"/>
                <w:lang w:eastAsia="en-NZ"/>
              </w:rPr>
            </w:pPr>
          </w:p>
        </w:tc>
      </w:tr>
      <w:tr w:rsidR="00F4690B" w14:paraId="650858EE" w14:textId="77777777">
        <w:tc>
          <w:tcPr>
            <w:tcW w:w="0" w:type="auto"/>
          </w:tcPr>
          <w:p w14:paraId="5950AE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073659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B06E31E" w14:textId="77777777" w:rsidR="00000000" w:rsidRPr="00BE00C7" w:rsidRDefault="00000000" w:rsidP="00BE00C7">
            <w:pPr>
              <w:pStyle w:val="OutcomeDescription"/>
              <w:spacing w:before="120" w:after="120"/>
              <w:rPr>
                <w:rFonts w:cs="Arial"/>
                <w:lang w:eastAsia="en-NZ"/>
              </w:rPr>
            </w:pPr>
          </w:p>
        </w:tc>
        <w:tc>
          <w:tcPr>
            <w:tcW w:w="0" w:type="auto"/>
          </w:tcPr>
          <w:p w14:paraId="6243C7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4365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hygienic, and well-maintained environment supported the prevention of infection and mitigation of transmission of antimicrobial-resistant organisms. The facility presented was clean, tidy, and homely throughout the audit, and created a comfortable and welcoming living environment for residents. </w:t>
            </w:r>
          </w:p>
          <w:p w14:paraId="7DA5DD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consistently followed documented policies and processes for cleaning, laundry, and the management of waste and infectious and hazardous substances. </w:t>
            </w:r>
          </w:p>
          <w:p w14:paraId="5F2FDB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facility, while small, is functional, with clearly defined clean and dirty zones. Staff demonstrated an understanding of correct laundry techniques, including the safe handling, segregation, and processing of soiled and infectious linen, as well as cultural requirements relating to laundry practices. </w:t>
            </w:r>
          </w:p>
          <w:p w14:paraId="4A07B9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Chemicals and hazardous substances were stored safely and in line with policy.  </w:t>
            </w:r>
          </w:p>
          <w:p w14:paraId="256ACD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Laundry and cleaning processes were regularly monitored for effectiveness, with recent audits completed on cleaning, laundry, and kitchen practices. The RNs had oversight of the environmental testing and monitoring programme. Staff involved in cleaning and laundry duties had completed relevant training and were observed to carry out their roles safely and appropriately. </w:t>
            </w:r>
          </w:p>
          <w:p w14:paraId="0D58D0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whānau reported that the laundry was managed well and that the facility was kept clean and tidy. These observations were confirmed by the audit team during site inspection.</w:t>
            </w:r>
          </w:p>
          <w:p w14:paraId="233FE386" w14:textId="77777777" w:rsidR="00000000" w:rsidRPr="00BE00C7" w:rsidRDefault="00000000" w:rsidP="00BE00C7">
            <w:pPr>
              <w:pStyle w:val="OutcomeDescription"/>
              <w:spacing w:before="120" w:after="120"/>
              <w:rPr>
                <w:rFonts w:cs="Arial"/>
                <w:lang w:eastAsia="en-NZ"/>
              </w:rPr>
            </w:pPr>
          </w:p>
        </w:tc>
      </w:tr>
      <w:tr w:rsidR="00F4690B" w14:paraId="65B7C481" w14:textId="77777777">
        <w:tc>
          <w:tcPr>
            <w:tcW w:w="0" w:type="auto"/>
          </w:tcPr>
          <w:p w14:paraId="0C4886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564F5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D317D23" w14:textId="77777777" w:rsidR="00000000" w:rsidRPr="00BE00C7" w:rsidRDefault="00000000" w:rsidP="00BE00C7">
            <w:pPr>
              <w:pStyle w:val="OutcomeDescription"/>
              <w:spacing w:before="120" w:after="120"/>
              <w:rPr>
                <w:rFonts w:cs="Arial"/>
                <w:lang w:eastAsia="en-NZ"/>
              </w:rPr>
            </w:pPr>
          </w:p>
        </w:tc>
        <w:tc>
          <w:tcPr>
            <w:tcW w:w="0" w:type="auto"/>
          </w:tcPr>
          <w:p w14:paraId="0E9A5D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F9B4DA"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This is documented in the restraint policy. The FM and staff confirmed commitment to this.  At the time of audit, there was no restraint in use. Any use of restraint would be reported to the governing body.</w:t>
            </w:r>
          </w:p>
          <w:p w14:paraId="509BE8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senior RN is the restraint coordinator, providing support and oversight for any restraint management.  Their position description was sighted. The restraint policies describe the approval process should any restraint be required in the future. Policies and procedures meet the requirements of the standards.  </w:t>
            </w:r>
          </w:p>
          <w:p w14:paraId="082B113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trained in the least restrictive practice, safe restraint practice, alternative cultural-specific interventions, and de-escalation techniques.</w:t>
            </w:r>
          </w:p>
          <w:p w14:paraId="77410708"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has been no restraint in use since the last audit, subsections 6.2 and 6.3 have not been audited.</w:t>
            </w:r>
          </w:p>
          <w:p w14:paraId="14B7AEC0" w14:textId="77777777" w:rsidR="00000000" w:rsidRPr="00BE00C7" w:rsidRDefault="00000000" w:rsidP="00BE00C7">
            <w:pPr>
              <w:pStyle w:val="OutcomeDescription"/>
              <w:spacing w:before="120" w:after="120"/>
              <w:rPr>
                <w:rFonts w:cs="Arial"/>
                <w:lang w:eastAsia="en-NZ"/>
              </w:rPr>
            </w:pPr>
          </w:p>
        </w:tc>
      </w:tr>
    </w:tbl>
    <w:p w14:paraId="55FA710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3CE6C5D" w14:textId="77777777" w:rsidR="00000000" w:rsidRDefault="00000000">
      <w:pPr>
        <w:pStyle w:val="Heading1"/>
        <w:rPr>
          <w:rFonts w:cs="Arial"/>
        </w:rPr>
      </w:pPr>
      <w:r>
        <w:rPr>
          <w:rFonts w:cs="Arial"/>
        </w:rPr>
        <w:lastRenderedPageBreak/>
        <w:t>Specific results for criterion where corrective actions are required</w:t>
      </w:r>
    </w:p>
    <w:p w14:paraId="211FF15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1799FD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1F5FF2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4690B" w14:paraId="0D784954" w14:textId="77777777">
        <w:tc>
          <w:tcPr>
            <w:tcW w:w="0" w:type="auto"/>
          </w:tcPr>
          <w:p w14:paraId="254970C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AA1D67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DAE2B04" w14:textId="77777777" w:rsidR="00000000" w:rsidRDefault="00000000">
      <w:pPr>
        <w:pStyle w:val="Heading1"/>
        <w:rPr>
          <w:rFonts w:cs="Arial"/>
        </w:rPr>
      </w:pPr>
      <w:r>
        <w:rPr>
          <w:rFonts w:cs="Arial"/>
        </w:rPr>
        <w:lastRenderedPageBreak/>
        <w:t>Specific results for criterion where a continuous improvement has been recorded</w:t>
      </w:r>
    </w:p>
    <w:p w14:paraId="6DB4F55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2360AD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E4A9EF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1331"/>
        <w:gridCol w:w="5083"/>
        <w:gridCol w:w="4788"/>
      </w:tblGrid>
      <w:tr w:rsidR="00F4690B" w14:paraId="3BE5B6A5" w14:textId="77777777">
        <w:tc>
          <w:tcPr>
            <w:tcW w:w="0" w:type="auto"/>
          </w:tcPr>
          <w:p w14:paraId="0FC140C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3DFAEA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73BD64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D98D9B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F4690B" w14:paraId="49353C79" w14:textId="77777777">
        <w:tc>
          <w:tcPr>
            <w:tcW w:w="0" w:type="auto"/>
          </w:tcPr>
          <w:p w14:paraId="769CBE5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7640019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08A48B1"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4135664" w14:textId="77777777" w:rsidR="00000000" w:rsidRPr="00BE00C7" w:rsidRDefault="00000000" w:rsidP="00BE00C7">
            <w:pPr>
              <w:pStyle w:val="OutcomeDescription"/>
              <w:spacing w:before="120" w:after="120"/>
              <w:rPr>
                <w:rFonts w:cs="Arial"/>
                <w:lang w:eastAsia="en-NZ"/>
              </w:rPr>
            </w:pPr>
            <w:r w:rsidRPr="00BE00C7">
              <w:rPr>
                <w:rFonts w:cs="Arial"/>
                <w:lang w:eastAsia="en-NZ"/>
              </w:rPr>
              <w:t>In 2024, Southanjer and Northanjer identified that old, archived forms were being found and used, increasing risk of poor reporting and/or resident care. Inefficient use of nursing, management and caregiver time meant less quality time with the residents.</w:t>
            </w:r>
          </w:p>
          <w:p w14:paraId="14E5F4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often no delegation recorded in progress note signing, identifiable resident features were not always completed, progress note handwriting was difficult to read, care plan updates were easy to miss, progress notes were missing, adverse event and infection analysis was sometimes incomplete and not robust and often too late to discuss at team meetings. </w:t>
            </w:r>
          </w:p>
          <w:p w14:paraId="54E65D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specific project aiming to reduce the risk of poor standards of clinical documentation and quality assurance was implemented. The potential for introducing an online software system was discussed at the team’s appraisal meetings to ensure ‘buy in’ from the team. An external electronic aged care </w:t>
            </w:r>
            <w:r w:rsidRPr="00BE00C7">
              <w:rPr>
                <w:rFonts w:cs="Arial"/>
                <w:lang w:eastAsia="en-NZ"/>
              </w:rPr>
              <w:lastRenderedPageBreak/>
              <w:t xml:space="preserve">management software was procured, indicating the commitment for these small facilities to meet best practice for quality assurance, compliance and operational requirements, with a focus on best care for their residents.  As a result, internal audits have resulted in 100% compliance, compared to 80-90% compliance before, and are completed as per the internal audit schedule, ensuring a quality focus. </w:t>
            </w:r>
          </w:p>
          <w:p w14:paraId="24A6FD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Adverse event and infection data analyses are more robust, as evidenced in the comparison of reports comparing reporting and analysis prior to the introduction. The timely completion of data analyses is resulting in better communication of results with the team, as evidenced by meeting minutes and survey data. This has also improved the referral for physiotherapy input as residents deemed ‘high risk’ of falls are triggered in real-time, meaning faster input is achieved. </w:t>
            </w:r>
          </w:p>
          <w:p w14:paraId="355E53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increased centralisation of documents has ensured that competencies and appraisals are completed and recorded on time, with 100% completion at time of audit, ensuring a team competent and confident to provide excellent, resident-focused care. Progress notes are signed off by the team with their delegation included and time written, and there is better integration of an individual’s health and support needs. </w:t>
            </w:r>
          </w:p>
          <w:p w14:paraId="7EA5E4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has improved the residents’ lives by ensuring that their care plans are completed correctly and are easily accessible to the team or wider stakeholders if transfers are required or information is sought from GPs or specialists providing input. The integration with the electronic medication management system has ensured that the systems ‘talk’ to each other, informing the team in real time of changes, which is more reliable than the previous paper notes system, improving medication management for the resident. The integration with interRAI has meant that the care plans include the </w:t>
            </w:r>
            <w:r w:rsidRPr="00BE00C7">
              <w:rPr>
                <w:rFonts w:cs="Arial"/>
                <w:lang w:eastAsia="en-NZ"/>
              </w:rPr>
              <w:lastRenderedPageBreak/>
              <w:t>required collaborative action plans. Documentation has improved, as evidenced by comparison of data between prior to and after introduction, as has the handover of clinical input, for example, bowel monitoring, wound care plans, short-term care plans, and assessment of deterioration. This means improved continuity and level of care for the residents.</w:t>
            </w:r>
          </w:p>
          <w:p w14:paraId="3D3A2D34" w14:textId="77777777" w:rsidR="00000000" w:rsidRPr="00BE00C7" w:rsidRDefault="00000000" w:rsidP="00BE00C7">
            <w:pPr>
              <w:pStyle w:val="OutcomeDescription"/>
              <w:spacing w:before="120" w:after="120"/>
              <w:rPr>
                <w:rFonts w:cs="Arial"/>
                <w:lang w:eastAsia="en-NZ"/>
              </w:rPr>
            </w:pPr>
          </w:p>
        </w:tc>
        <w:tc>
          <w:tcPr>
            <w:tcW w:w="0" w:type="auto"/>
          </w:tcPr>
          <w:p w14:paraId="7BE4EF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 2024, Southanjer and Northanjer implemented a specific project aiming to reduce the risk of poor standards of clinical documentation and quality assurance. An external electronic aged care management software was procured. The timely completion of data entry and analyses is resulting in better communication of results with the team. The integration with the electronic medication management system and interRAI has improved the residents’ lives by ensuring that their care plans are completed correctly and are easily accessible to the team. Documentation has improved, which means improved continuity and level of care for the residents. Staff satisfaction surveys indicated reduced time on compliance tasks, allowing for more quality time with residents and improved team awareness of residents’ needs.</w:t>
            </w:r>
          </w:p>
          <w:p w14:paraId="18C4992E" w14:textId="77777777" w:rsidR="00000000" w:rsidRPr="00BE00C7" w:rsidRDefault="00000000" w:rsidP="00BE00C7">
            <w:pPr>
              <w:pStyle w:val="OutcomeDescription"/>
              <w:spacing w:before="120" w:after="120"/>
              <w:rPr>
                <w:rFonts w:cs="Arial"/>
                <w:lang w:eastAsia="en-NZ"/>
              </w:rPr>
            </w:pPr>
          </w:p>
        </w:tc>
      </w:tr>
      <w:tr w:rsidR="00F4690B" w14:paraId="2A33142C" w14:textId="77777777">
        <w:tc>
          <w:tcPr>
            <w:tcW w:w="0" w:type="auto"/>
          </w:tcPr>
          <w:p w14:paraId="1A5DC1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4.1.2</w:t>
            </w:r>
          </w:p>
          <w:p w14:paraId="19DDD9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6EE486E6"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501822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identified an opportunity to purchase adjacent land and significantly increase the size of the safe and secure outdoor space available to residents. Many of the residents are from rural and farming backgrounds and were used to a sense of space and access to large outdoor areas with gardens, hills and views. </w:t>
            </w:r>
          </w:p>
          <w:p w14:paraId="48E35B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initiative was research-based and aimed to benefit residents through improved cognition and increased stability.  Research cited in the initiative documentation confirmed more time walking outdoors and increased accessibility to green space improves cognition, curved/non-straight walkways are cognitively challenging, and changes in level or walking on inclines/declines improves stability and reduces falls risk.</w:t>
            </w:r>
          </w:p>
          <w:p w14:paraId="55377150"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initiative:</w:t>
            </w:r>
          </w:p>
          <w:p w14:paraId="4B02E88C"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Increased (more than doubled) the green space available, allowing a view over neighbouring farmland and local mountain ranges.</w:t>
            </w:r>
          </w:p>
          <w:p w14:paraId="49A01E92"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Landscaping to the outdoor area gave more light to indoor areas and an increased sense of space both inside and outside.</w:t>
            </w:r>
          </w:p>
          <w:p w14:paraId="1EC1AD78"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Created curved walkways to maintain or improve cognition and mobility. </w:t>
            </w:r>
          </w:p>
          <w:p w14:paraId="072893B0"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Created a hill or mound to give a change in </w:t>
            </w:r>
            <w:r w:rsidRPr="00BE00C7">
              <w:rPr>
                <w:rFonts w:cs="Arial"/>
                <w:lang w:eastAsia="en-NZ"/>
              </w:rPr>
              <w:lastRenderedPageBreak/>
              <w:t xml:space="preserve">incline/decline when a resident is walking, to improve strength and balance, and leading to improved stability. </w:t>
            </w:r>
          </w:p>
          <w:p w14:paraId="3AB6782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 ‘bridge’ over one area of garden created interest and included handrails for safety.</w:t>
            </w:r>
          </w:p>
          <w:p w14:paraId="052CCA10"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Created a new pergola and seating area, which was placed for afternoon sun, and benches at the top of the mound to encourage residents to ‘climb the hill’.</w:t>
            </w:r>
          </w:p>
          <w:p w14:paraId="225083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expansion and upgrades to the outdoor area were completed in 2025. Evaluation of the improvement has occurred through seeking and monitoring resident and EPOA feedback and monitoring falls statistics.</w:t>
            </w:r>
          </w:p>
          <w:p w14:paraId="05CD09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Feedback from residents and whānau has been positive, with many positive comments and the larger outdoor area being a reason for choosing the facility in some cases. Resident's comments on the improvement included ‘It is just lovely up here......a sense of space and lovely seeing the hills and paddocks’ and ‘there are worse places we could live, it is really lovely sitting up here in the sun looking at the view’. One EPOA interviewed as part of the audit commented that they walk in the garden area daily and appreciate the upgrades. </w:t>
            </w:r>
          </w:p>
          <w:p w14:paraId="25F5A8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team has reported that it is easier to entice residents outdoors, with increasing numbers joining in outdoor activities. They also noted that the different surfaces and angles support physical movement and that the view from the seating area is a great conversation starter. Falls statistics have been monitored and show a 14% reduction in falls over the last year.</w:t>
            </w:r>
          </w:p>
          <w:p w14:paraId="5C4149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improvement to the outdoor area exceeds that required by the standard and the ARRC contract. The improvements made have shown clear benefits to the residents, and a rating of continuous improvement is given.</w:t>
            </w:r>
          </w:p>
          <w:p w14:paraId="4FBE97F6" w14:textId="77777777" w:rsidR="00000000" w:rsidRPr="00BE00C7" w:rsidRDefault="00000000" w:rsidP="00BE00C7">
            <w:pPr>
              <w:pStyle w:val="OutcomeDescription"/>
              <w:spacing w:before="120" w:after="120"/>
              <w:rPr>
                <w:rFonts w:cs="Arial"/>
                <w:lang w:eastAsia="en-NZ"/>
              </w:rPr>
            </w:pPr>
          </w:p>
        </w:tc>
        <w:tc>
          <w:tcPr>
            <w:tcW w:w="0" w:type="auto"/>
          </w:tcPr>
          <w:p w14:paraId="5DD8AA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Southanjer purchased adjacent land to significantly increase the size of the safe and secure outdoor area available to residents. The initiative was research-based and aimed to give the residents greater access to green spaces, views of farmland and local mountains, and improve cognition and stability/mobility, resulting in reduced falls risk. Improvement made increased space, created curved walkways, a hill area, and outdoor seating with views. Evaluation shows the benefit to residents and whānau through increased activities and a reduction in falls risk of 14% since 2025.</w:t>
            </w:r>
          </w:p>
          <w:p w14:paraId="5C0E4327" w14:textId="77777777" w:rsidR="00000000" w:rsidRPr="00BE00C7" w:rsidRDefault="00000000" w:rsidP="00BE00C7">
            <w:pPr>
              <w:pStyle w:val="OutcomeDescription"/>
              <w:spacing w:before="120" w:after="120"/>
              <w:rPr>
                <w:rFonts w:cs="Arial"/>
                <w:lang w:eastAsia="en-NZ"/>
              </w:rPr>
            </w:pPr>
          </w:p>
        </w:tc>
      </w:tr>
    </w:tbl>
    <w:p w14:paraId="0499B02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706BB2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93AD" w14:textId="77777777" w:rsidR="008668E5" w:rsidRDefault="008668E5">
      <w:r>
        <w:separator/>
      </w:r>
    </w:p>
  </w:endnote>
  <w:endnote w:type="continuationSeparator" w:id="0">
    <w:p w14:paraId="20FBFFB1" w14:textId="77777777" w:rsidR="008668E5" w:rsidRDefault="0086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2E69" w14:textId="77777777" w:rsidR="00000000" w:rsidRDefault="00000000">
    <w:pPr>
      <w:pStyle w:val="Footer"/>
    </w:pPr>
  </w:p>
  <w:p w14:paraId="6B342CAA" w14:textId="77777777" w:rsidR="00000000" w:rsidRDefault="00000000"/>
  <w:p w14:paraId="4BA2614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7F1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Glenhays Limited - Southanjer</w:t>
    </w:r>
    <w:bookmarkEnd w:id="59"/>
    <w:r>
      <w:rPr>
        <w:rFonts w:cs="Arial"/>
        <w:sz w:val="16"/>
        <w:szCs w:val="20"/>
      </w:rPr>
      <w:tab/>
      <w:t xml:space="preserve">Date of Audit: </w:t>
    </w:r>
    <w:bookmarkStart w:id="60" w:name="AuditStartDate1"/>
    <w:r>
      <w:rPr>
        <w:rFonts w:cs="Arial"/>
        <w:sz w:val="16"/>
        <w:szCs w:val="20"/>
      </w:rPr>
      <w:t>18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E43AB5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15F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8167" w14:textId="77777777" w:rsidR="008668E5" w:rsidRDefault="008668E5">
      <w:r>
        <w:separator/>
      </w:r>
    </w:p>
  </w:footnote>
  <w:footnote w:type="continuationSeparator" w:id="0">
    <w:p w14:paraId="3BEEC733" w14:textId="77777777" w:rsidR="008668E5" w:rsidRDefault="00866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6FBC" w14:textId="77777777" w:rsidR="00000000" w:rsidRDefault="00000000">
    <w:pPr>
      <w:pStyle w:val="Header"/>
    </w:pPr>
  </w:p>
  <w:p w14:paraId="3545592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605C" w14:textId="77777777" w:rsidR="00000000" w:rsidRDefault="00000000">
    <w:pPr>
      <w:pStyle w:val="Header"/>
    </w:pPr>
  </w:p>
  <w:p w14:paraId="2A04514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86F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842BE28">
      <w:start w:val="1"/>
      <w:numFmt w:val="decimal"/>
      <w:lvlText w:val="%1."/>
      <w:lvlJc w:val="left"/>
      <w:pPr>
        <w:ind w:left="360" w:hanging="360"/>
      </w:pPr>
    </w:lvl>
    <w:lvl w:ilvl="1" w:tplc="B55C2A82" w:tentative="1">
      <w:start w:val="1"/>
      <w:numFmt w:val="lowerLetter"/>
      <w:lvlText w:val="%2."/>
      <w:lvlJc w:val="left"/>
      <w:pPr>
        <w:ind w:left="1080" w:hanging="360"/>
      </w:pPr>
    </w:lvl>
    <w:lvl w:ilvl="2" w:tplc="45461478" w:tentative="1">
      <w:start w:val="1"/>
      <w:numFmt w:val="lowerRoman"/>
      <w:lvlText w:val="%3."/>
      <w:lvlJc w:val="right"/>
      <w:pPr>
        <w:ind w:left="1800" w:hanging="180"/>
      </w:pPr>
    </w:lvl>
    <w:lvl w:ilvl="3" w:tplc="7D58168C" w:tentative="1">
      <w:start w:val="1"/>
      <w:numFmt w:val="decimal"/>
      <w:lvlText w:val="%4."/>
      <w:lvlJc w:val="left"/>
      <w:pPr>
        <w:ind w:left="2520" w:hanging="360"/>
      </w:pPr>
    </w:lvl>
    <w:lvl w:ilvl="4" w:tplc="4290F77A" w:tentative="1">
      <w:start w:val="1"/>
      <w:numFmt w:val="lowerLetter"/>
      <w:lvlText w:val="%5."/>
      <w:lvlJc w:val="left"/>
      <w:pPr>
        <w:ind w:left="3240" w:hanging="360"/>
      </w:pPr>
    </w:lvl>
    <w:lvl w:ilvl="5" w:tplc="BB368692" w:tentative="1">
      <w:start w:val="1"/>
      <w:numFmt w:val="lowerRoman"/>
      <w:lvlText w:val="%6."/>
      <w:lvlJc w:val="right"/>
      <w:pPr>
        <w:ind w:left="3960" w:hanging="180"/>
      </w:pPr>
    </w:lvl>
    <w:lvl w:ilvl="6" w:tplc="379021DE" w:tentative="1">
      <w:start w:val="1"/>
      <w:numFmt w:val="decimal"/>
      <w:lvlText w:val="%7."/>
      <w:lvlJc w:val="left"/>
      <w:pPr>
        <w:ind w:left="4680" w:hanging="360"/>
      </w:pPr>
    </w:lvl>
    <w:lvl w:ilvl="7" w:tplc="897039A6" w:tentative="1">
      <w:start w:val="1"/>
      <w:numFmt w:val="lowerLetter"/>
      <w:lvlText w:val="%8."/>
      <w:lvlJc w:val="left"/>
      <w:pPr>
        <w:ind w:left="5400" w:hanging="360"/>
      </w:pPr>
    </w:lvl>
    <w:lvl w:ilvl="8" w:tplc="FFCE304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99219BE">
      <w:start w:val="1"/>
      <w:numFmt w:val="bullet"/>
      <w:lvlText w:val=""/>
      <w:lvlJc w:val="left"/>
      <w:pPr>
        <w:ind w:left="720" w:hanging="360"/>
      </w:pPr>
      <w:rPr>
        <w:rFonts w:ascii="Symbol" w:hAnsi="Symbol" w:hint="default"/>
      </w:rPr>
    </w:lvl>
    <w:lvl w:ilvl="1" w:tplc="E772B94E" w:tentative="1">
      <w:start w:val="1"/>
      <w:numFmt w:val="bullet"/>
      <w:lvlText w:val="o"/>
      <w:lvlJc w:val="left"/>
      <w:pPr>
        <w:ind w:left="1440" w:hanging="360"/>
      </w:pPr>
      <w:rPr>
        <w:rFonts w:ascii="Courier New" w:hAnsi="Courier New" w:cs="Courier New" w:hint="default"/>
      </w:rPr>
    </w:lvl>
    <w:lvl w:ilvl="2" w:tplc="8A5A1672" w:tentative="1">
      <w:start w:val="1"/>
      <w:numFmt w:val="bullet"/>
      <w:lvlText w:val=""/>
      <w:lvlJc w:val="left"/>
      <w:pPr>
        <w:ind w:left="2160" w:hanging="360"/>
      </w:pPr>
      <w:rPr>
        <w:rFonts w:ascii="Wingdings" w:hAnsi="Wingdings" w:hint="default"/>
      </w:rPr>
    </w:lvl>
    <w:lvl w:ilvl="3" w:tplc="7DB88090" w:tentative="1">
      <w:start w:val="1"/>
      <w:numFmt w:val="bullet"/>
      <w:lvlText w:val=""/>
      <w:lvlJc w:val="left"/>
      <w:pPr>
        <w:ind w:left="2880" w:hanging="360"/>
      </w:pPr>
      <w:rPr>
        <w:rFonts w:ascii="Symbol" w:hAnsi="Symbol" w:hint="default"/>
      </w:rPr>
    </w:lvl>
    <w:lvl w:ilvl="4" w:tplc="96A24DFC" w:tentative="1">
      <w:start w:val="1"/>
      <w:numFmt w:val="bullet"/>
      <w:lvlText w:val="o"/>
      <w:lvlJc w:val="left"/>
      <w:pPr>
        <w:ind w:left="3600" w:hanging="360"/>
      </w:pPr>
      <w:rPr>
        <w:rFonts w:ascii="Courier New" w:hAnsi="Courier New" w:cs="Courier New" w:hint="default"/>
      </w:rPr>
    </w:lvl>
    <w:lvl w:ilvl="5" w:tplc="3A5AFE10" w:tentative="1">
      <w:start w:val="1"/>
      <w:numFmt w:val="bullet"/>
      <w:lvlText w:val=""/>
      <w:lvlJc w:val="left"/>
      <w:pPr>
        <w:ind w:left="4320" w:hanging="360"/>
      </w:pPr>
      <w:rPr>
        <w:rFonts w:ascii="Wingdings" w:hAnsi="Wingdings" w:hint="default"/>
      </w:rPr>
    </w:lvl>
    <w:lvl w:ilvl="6" w:tplc="72DE3F60" w:tentative="1">
      <w:start w:val="1"/>
      <w:numFmt w:val="bullet"/>
      <w:lvlText w:val=""/>
      <w:lvlJc w:val="left"/>
      <w:pPr>
        <w:ind w:left="5040" w:hanging="360"/>
      </w:pPr>
      <w:rPr>
        <w:rFonts w:ascii="Symbol" w:hAnsi="Symbol" w:hint="default"/>
      </w:rPr>
    </w:lvl>
    <w:lvl w:ilvl="7" w:tplc="C56A162C" w:tentative="1">
      <w:start w:val="1"/>
      <w:numFmt w:val="bullet"/>
      <w:lvlText w:val="o"/>
      <w:lvlJc w:val="left"/>
      <w:pPr>
        <w:ind w:left="5760" w:hanging="360"/>
      </w:pPr>
      <w:rPr>
        <w:rFonts w:ascii="Courier New" w:hAnsi="Courier New" w:cs="Courier New" w:hint="default"/>
      </w:rPr>
    </w:lvl>
    <w:lvl w:ilvl="8" w:tplc="EDD0D4AA" w:tentative="1">
      <w:start w:val="1"/>
      <w:numFmt w:val="bullet"/>
      <w:lvlText w:val=""/>
      <w:lvlJc w:val="left"/>
      <w:pPr>
        <w:ind w:left="6480" w:hanging="360"/>
      </w:pPr>
      <w:rPr>
        <w:rFonts w:ascii="Wingdings" w:hAnsi="Wingdings" w:hint="default"/>
      </w:rPr>
    </w:lvl>
  </w:abstractNum>
  <w:num w:numId="1" w16cid:durableId="1395392932">
    <w:abstractNumId w:val="1"/>
  </w:num>
  <w:num w:numId="2" w16cid:durableId="56322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0B"/>
    <w:rsid w:val="0016275F"/>
    <w:rsid w:val="00692C80"/>
    <w:rsid w:val="008668E5"/>
    <w:rsid w:val="00C06FBE"/>
    <w:rsid w:val="00F469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BF8C"/>
  <w15:docId w15:val="{0A40C550-D7E2-4223-B537-20A467B4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12250</Words>
  <Characters>69825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2</cp:revision>
  <dcterms:created xsi:type="dcterms:W3CDTF">2026-05-12T03:06:00Z</dcterms:created>
  <dcterms:modified xsi:type="dcterms:W3CDTF">2026-05-12T03:06:00Z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