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38981" w14:textId="77777777" w:rsidR="00000000" w:rsidRDefault="00000000">
      <w:pPr>
        <w:pStyle w:val="Heading1"/>
        <w:rPr>
          <w:rFonts w:cs="Arial"/>
        </w:rPr>
      </w:pPr>
      <w:bookmarkStart w:id="0" w:name="PRMS_RIName"/>
      <w:r>
        <w:rPr>
          <w:rFonts w:cs="Arial"/>
        </w:rPr>
        <w:t>Radius Residential Care Limited - Radius Glaisdale</w:t>
      </w:r>
      <w:bookmarkEnd w:id="0"/>
    </w:p>
    <w:p w14:paraId="688F1292" w14:textId="77777777" w:rsidR="00000000" w:rsidRDefault="00000000">
      <w:pPr>
        <w:pStyle w:val="Heading2"/>
        <w:spacing w:after="0"/>
        <w:rPr>
          <w:rFonts w:cs="Arial"/>
        </w:rPr>
      </w:pPr>
      <w:r>
        <w:rPr>
          <w:rFonts w:cs="Arial"/>
        </w:rPr>
        <w:t>Introduction</w:t>
      </w:r>
    </w:p>
    <w:p w14:paraId="53C85CC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89C3428"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B89B1A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C714CAD"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197701A" w14:textId="77777777" w:rsidR="00000000" w:rsidRDefault="00000000">
      <w:pPr>
        <w:spacing w:before="240" w:after="240"/>
        <w:rPr>
          <w:rFonts w:cs="Arial"/>
          <w:lang w:eastAsia="en-NZ"/>
        </w:rPr>
      </w:pPr>
      <w:r>
        <w:rPr>
          <w:rFonts w:cs="Arial"/>
          <w:lang w:eastAsia="en-NZ"/>
        </w:rPr>
        <w:t>The specifics of this audit included:</w:t>
      </w:r>
    </w:p>
    <w:p w14:paraId="29B45476"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619037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Radius Residential Care Limited</w:t>
      </w:r>
      <w:bookmarkEnd w:id="4"/>
    </w:p>
    <w:p w14:paraId="08A7C8D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Radius Glaisdale</w:t>
      </w:r>
      <w:bookmarkEnd w:id="5"/>
    </w:p>
    <w:p w14:paraId="27D0839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0554D86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12 March </w:t>
      </w:r>
      <w:r>
        <w:rPr>
          <w:rFonts w:cs="Arial"/>
        </w:rPr>
        <w:t>2026</w:t>
      </w:r>
      <w:bookmarkEnd w:id="7"/>
      <w:r w:rsidRPr="009418D4">
        <w:rPr>
          <w:rFonts w:cs="Arial"/>
        </w:rPr>
        <w:tab/>
        <w:t xml:space="preserve">End date: </w:t>
      </w:r>
      <w:bookmarkStart w:id="8" w:name="AuditEndDate"/>
      <w:r>
        <w:rPr>
          <w:rFonts w:cs="Arial"/>
        </w:rPr>
        <w:t>13 March 2026</w:t>
      </w:r>
      <w:bookmarkEnd w:id="8"/>
    </w:p>
    <w:p w14:paraId="22FF1E3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036A239" w14:textId="77777777" w:rsidR="0024626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76</w:t>
      </w:r>
      <w:bookmarkEnd w:id="10"/>
    </w:p>
    <w:p w14:paraId="3AFA2110"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8D3356C" w14:textId="77777777" w:rsidR="00000000" w:rsidRDefault="00000000">
      <w:pPr>
        <w:pStyle w:val="Heading1"/>
        <w:rPr>
          <w:rFonts w:cs="Arial"/>
        </w:rPr>
      </w:pPr>
      <w:r>
        <w:rPr>
          <w:rFonts w:cs="Arial"/>
        </w:rPr>
        <w:lastRenderedPageBreak/>
        <w:t>Executive summary of the audit</w:t>
      </w:r>
    </w:p>
    <w:p w14:paraId="49B540DB" w14:textId="77777777" w:rsidR="00000000" w:rsidRDefault="00000000">
      <w:pPr>
        <w:pStyle w:val="Heading2"/>
        <w:rPr>
          <w:rFonts w:cs="Arial"/>
        </w:rPr>
      </w:pPr>
      <w:r>
        <w:rPr>
          <w:rFonts w:cs="Arial"/>
        </w:rPr>
        <w:t>Introduction</w:t>
      </w:r>
    </w:p>
    <w:p w14:paraId="4985FC7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433DC3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494FD0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2BBF2D3"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F5F571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79D611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BA3086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886F93E"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D14897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246265" w14:paraId="2CC79466" w14:textId="77777777">
        <w:trPr>
          <w:cantSplit/>
          <w:tblHeader/>
        </w:trPr>
        <w:tc>
          <w:tcPr>
            <w:tcW w:w="1260" w:type="dxa"/>
            <w:tcBorders>
              <w:bottom w:val="single" w:sz="4" w:space="0" w:color="000000"/>
            </w:tcBorders>
            <w:vAlign w:val="center"/>
          </w:tcPr>
          <w:p w14:paraId="67EAF1D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B4DEF13"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7D9776E" w14:textId="77777777" w:rsidR="00000000" w:rsidRDefault="00000000">
            <w:pPr>
              <w:spacing w:before="60" w:after="60"/>
              <w:rPr>
                <w:rFonts w:eastAsia="Calibri"/>
                <w:b/>
                <w:szCs w:val="24"/>
              </w:rPr>
            </w:pPr>
            <w:r>
              <w:rPr>
                <w:rFonts w:eastAsia="Calibri"/>
                <w:b/>
                <w:szCs w:val="24"/>
              </w:rPr>
              <w:t>Definition</w:t>
            </w:r>
          </w:p>
        </w:tc>
      </w:tr>
      <w:tr w:rsidR="00246265" w14:paraId="70CF42A4" w14:textId="77777777">
        <w:trPr>
          <w:cantSplit/>
          <w:trHeight w:val="964"/>
        </w:trPr>
        <w:tc>
          <w:tcPr>
            <w:tcW w:w="1260" w:type="dxa"/>
            <w:tcBorders>
              <w:bottom w:val="single" w:sz="4" w:space="0" w:color="000000"/>
            </w:tcBorders>
            <w:shd w:val="clear" w:color="0066FF" w:fill="0000FF"/>
            <w:vAlign w:val="center"/>
          </w:tcPr>
          <w:p w14:paraId="7F94D3E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B93719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279416A"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46265" w14:paraId="6C169071" w14:textId="77777777">
        <w:trPr>
          <w:cantSplit/>
          <w:trHeight w:val="964"/>
        </w:trPr>
        <w:tc>
          <w:tcPr>
            <w:tcW w:w="1260" w:type="dxa"/>
            <w:shd w:val="clear" w:color="33CC33" w:fill="00FF00"/>
            <w:vAlign w:val="center"/>
          </w:tcPr>
          <w:p w14:paraId="5A3C8430" w14:textId="77777777" w:rsidR="00000000" w:rsidRDefault="00000000">
            <w:pPr>
              <w:spacing w:before="60" w:after="60"/>
              <w:rPr>
                <w:rFonts w:eastAsia="Calibri"/>
                <w:szCs w:val="24"/>
              </w:rPr>
            </w:pPr>
          </w:p>
        </w:tc>
        <w:tc>
          <w:tcPr>
            <w:tcW w:w="7095" w:type="dxa"/>
            <w:shd w:val="clear" w:color="auto" w:fill="auto"/>
            <w:vAlign w:val="center"/>
          </w:tcPr>
          <w:p w14:paraId="5EA813F5"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11274C5"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46265" w14:paraId="41798AE7" w14:textId="77777777">
        <w:trPr>
          <w:cantSplit/>
          <w:trHeight w:val="964"/>
        </w:trPr>
        <w:tc>
          <w:tcPr>
            <w:tcW w:w="1260" w:type="dxa"/>
            <w:tcBorders>
              <w:bottom w:val="single" w:sz="4" w:space="0" w:color="000000"/>
            </w:tcBorders>
            <w:shd w:val="clear" w:color="auto" w:fill="FFFF00"/>
            <w:vAlign w:val="center"/>
          </w:tcPr>
          <w:p w14:paraId="38B02807" w14:textId="77777777" w:rsidR="00000000" w:rsidRDefault="00000000">
            <w:pPr>
              <w:spacing w:before="60" w:after="60"/>
              <w:rPr>
                <w:rFonts w:eastAsia="Calibri"/>
                <w:szCs w:val="24"/>
              </w:rPr>
            </w:pPr>
          </w:p>
        </w:tc>
        <w:tc>
          <w:tcPr>
            <w:tcW w:w="7095" w:type="dxa"/>
            <w:shd w:val="clear" w:color="auto" w:fill="auto"/>
            <w:vAlign w:val="center"/>
          </w:tcPr>
          <w:p w14:paraId="58FC5A73"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426D9AC"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46265" w14:paraId="0386A69B" w14:textId="77777777">
        <w:trPr>
          <w:cantSplit/>
          <w:trHeight w:val="964"/>
        </w:trPr>
        <w:tc>
          <w:tcPr>
            <w:tcW w:w="1260" w:type="dxa"/>
            <w:tcBorders>
              <w:bottom w:val="single" w:sz="4" w:space="0" w:color="000000"/>
            </w:tcBorders>
            <w:shd w:val="clear" w:color="auto" w:fill="FFC800"/>
            <w:vAlign w:val="center"/>
          </w:tcPr>
          <w:p w14:paraId="6ED29D9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0F4128E"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E7898B1"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46265" w14:paraId="1E2F5E4F" w14:textId="77777777">
        <w:trPr>
          <w:cantSplit/>
          <w:trHeight w:val="964"/>
        </w:trPr>
        <w:tc>
          <w:tcPr>
            <w:tcW w:w="1260" w:type="dxa"/>
            <w:shd w:val="clear" w:color="auto" w:fill="FF0000"/>
            <w:vAlign w:val="center"/>
          </w:tcPr>
          <w:p w14:paraId="5FB235CA" w14:textId="77777777" w:rsidR="00000000" w:rsidRDefault="00000000">
            <w:pPr>
              <w:spacing w:before="60" w:after="60"/>
              <w:rPr>
                <w:rFonts w:eastAsia="Calibri"/>
                <w:szCs w:val="24"/>
              </w:rPr>
            </w:pPr>
          </w:p>
        </w:tc>
        <w:tc>
          <w:tcPr>
            <w:tcW w:w="7095" w:type="dxa"/>
            <w:shd w:val="clear" w:color="auto" w:fill="auto"/>
            <w:vAlign w:val="center"/>
          </w:tcPr>
          <w:p w14:paraId="52C66A09"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0DECB70"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A41AF47" w14:textId="77777777" w:rsidR="00000000" w:rsidRDefault="00000000">
      <w:pPr>
        <w:pStyle w:val="Heading2"/>
        <w:spacing w:after="0"/>
        <w:rPr>
          <w:rFonts w:cs="Arial"/>
        </w:rPr>
      </w:pPr>
      <w:r>
        <w:rPr>
          <w:rFonts w:cs="Arial"/>
        </w:rPr>
        <w:t>General overview of the audit</w:t>
      </w:r>
    </w:p>
    <w:p w14:paraId="64EE0192" w14:textId="77777777" w:rsidR="00000000" w:rsidRDefault="00000000">
      <w:pPr>
        <w:spacing w:before="240" w:line="276" w:lineRule="auto"/>
        <w:rPr>
          <w:rFonts w:eastAsia="Calibri"/>
        </w:rPr>
      </w:pPr>
      <w:bookmarkStart w:id="13" w:name="GeneralOverview"/>
      <w:r w:rsidRPr="00A4268A">
        <w:rPr>
          <w:rFonts w:eastAsia="Calibri"/>
        </w:rPr>
        <w:t>Radius Glaisdale is owned and operated by Radius Residential Care Limited. The service provides rest home, hospital, and dementia level of care for up to 80 residents. On the day of the audit, there were 76 residents.</w:t>
      </w:r>
    </w:p>
    <w:p w14:paraId="19BF2285" w14:textId="77777777" w:rsidR="00246265" w:rsidRPr="00A4268A" w:rsidRDefault="00000000">
      <w:pPr>
        <w:spacing w:before="240" w:line="276" w:lineRule="auto"/>
        <w:rPr>
          <w:rFonts w:eastAsia="Calibri"/>
        </w:rPr>
      </w:pPr>
      <w:r w:rsidRPr="00A4268A">
        <w:rPr>
          <w:rFonts w:eastAsia="Calibri"/>
        </w:rPr>
        <w:t>This surveillance audit was conducted against a sub-section of the Ngā Paerewa Health and Disability Services Standard and the services contract with Health New Zealand. The audit process included a review of policies and procedures, the review of residents' and staff files, observations and interviews with residents, relatives, staff, management, and a general practitioner.</w:t>
      </w:r>
    </w:p>
    <w:p w14:paraId="549C120B" w14:textId="77777777" w:rsidR="00246265" w:rsidRPr="00A4268A" w:rsidRDefault="00000000">
      <w:pPr>
        <w:spacing w:before="240" w:line="276" w:lineRule="auto"/>
        <w:rPr>
          <w:rFonts w:eastAsia="Calibri"/>
        </w:rPr>
      </w:pPr>
      <w:r w:rsidRPr="00A4268A">
        <w:rPr>
          <w:rFonts w:eastAsia="Calibri"/>
        </w:rPr>
        <w:t xml:space="preserve">The service is managed by a facility manager (registered nurse), supported by the clinical nurse manager, a Radius regional manager operations, staff, and the board. </w:t>
      </w:r>
    </w:p>
    <w:p w14:paraId="026D2603" w14:textId="77777777" w:rsidR="00246265" w:rsidRPr="00A4268A" w:rsidRDefault="00000000">
      <w:pPr>
        <w:spacing w:before="240" w:line="276" w:lineRule="auto"/>
        <w:rPr>
          <w:rFonts w:eastAsia="Calibri"/>
        </w:rPr>
      </w:pPr>
      <w:r w:rsidRPr="00A4268A">
        <w:rPr>
          <w:rFonts w:eastAsia="Calibri"/>
        </w:rPr>
        <w:t xml:space="preserve">The previous certification audit did not identify any shortfalls. </w:t>
      </w:r>
    </w:p>
    <w:p w14:paraId="3057F7CA" w14:textId="77777777" w:rsidR="00246265" w:rsidRPr="00A4268A" w:rsidRDefault="00000000">
      <w:pPr>
        <w:spacing w:before="240" w:line="276" w:lineRule="auto"/>
        <w:rPr>
          <w:rFonts w:eastAsia="Calibri"/>
        </w:rPr>
      </w:pPr>
      <w:r w:rsidRPr="00A4268A">
        <w:rPr>
          <w:rFonts w:eastAsia="Calibri"/>
        </w:rPr>
        <w:t xml:space="preserve">This surveillance audit did not identify any shortfalls. </w:t>
      </w:r>
    </w:p>
    <w:bookmarkEnd w:id="13"/>
    <w:p w14:paraId="39C9CACA" w14:textId="77777777" w:rsidR="00246265" w:rsidRPr="00A4268A" w:rsidRDefault="00246265">
      <w:pPr>
        <w:spacing w:before="240" w:line="276" w:lineRule="auto"/>
        <w:rPr>
          <w:rFonts w:eastAsia="Calibri"/>
        </w:rPr>
      </w:pPr>
    </w:p>
    <w:p w14:paraId="0D758007"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46265" w14:paraId="53AAAE29" w14:textId="77777777" w:rsidTr="00A4268A">
        <w:trPr>
          <w:cantSplit/>
        </w:trPr>
        <w:tc>
          <w:tcPr>
            <w:tcW w:w="10206" w:type="dxa"/>
            <w:vAlign w:val="center"/>
          </w:tcPr>
          <w:p w14:paraId="6FBD3B7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99E796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FA3468B"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5D62734"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5E8448B" w14:textId="77777777" w:rsidR="00000000" w:rsidRDefault="00000000">
      <w:pPr>
        <w:spacing w:before="240" w:line="276" w:lineRule="auto"/>
        <w:rPr>
          <w:rFonts w:eastAsia="Calibri"/>
        </w:rPr>
      </w:pPr>
      <w:bookmarkStart w:id="16" w:name="ConsumerRights"/>
      <w:r w:rsidRPr="00A4268A">
        <w:rPr>
          <w:rFonts w:eastAsia="Calibri"/>
        </w:rPr>
        <w:t xml:space="preserve">Radius Glaisdale provides an environment that supports resident rights. Staff demonstrated an understanding of residents' rights and Treaty obligations. There is a Māori health plan, and residents and staff state that culturally appropriate care is provided. The service works collaboratively to embrace, support, and encourage a Māori worldview of health and provide high-quality, equitable, and effective services for Māori, framed by Te Tiriti o Waitangi. A Pacific health plan is in place. </w:t>
      </w:r>
    </w:p>
    <w:p w14:paraId="4A9A66AE" w14:textId="77777777" w:rsidR="00246265"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The management and staff provide services and support to people in a way that is inclusive and respects their identity and their experiences. The management and staff listen to and respect the voices of the residents and effectively communicate with them about their choices. Care plans accommodate the choices of residents and/or their family/whānau. </w:t>
      </w:r>
    </w:p>
    <w:p w14:paraId="2062076A" w14:textId="77777777" w:rsidR="00246265" w:rsidRPr="00A4268A" w:rsidRDefault="00000000">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are understood, respected, and upheld by the service. Complaints processes are implemented, and complaints and concerns are actively managed and well documented.</w:t>
      </w:r>
    </w:p>
    <w:bookmarkEnd w:id="16"/>
    <w:p w14:paraId="6BC33E0E" w14:textId="77777777" w:rsidR="00246265" w:rsidRPr="00A4268A" w:rsidRDefault="00246265">
      <w:pPr>
        <w:spacing w:before="240" w:line="276" w:lineRule="auto"/>
        <w:rPr>
          <w:rFonts w:eastAsia="Calibri"/>
        </w:rPr>
      </w:pPr>
    </w:p>
    <w:p w14:paraId="3C30830A"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46265" w14:paraId="16189669" w14:textId="77777777" w:rsidTr="00A4268A">
        <w:trPr>
          <w:cantSplit/>
        </w:trPr>
        <w:tc>
          <w:tcPr>
            <w:tcW w:w="10206" w:type="dxa"/>
            <w:vAlign w:val="center"/>
          </w:tcPr>
          <w:p w14:paraId="2C1FFC7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2250EEF"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2BADF62"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84EEB86"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 quality and risk management systems are focused on the provision of a quality service and a high level of care. The business and quality plan includes a mission statement and outlines current objectives. There are quality and risk management processes that take a risk-based approach. </w:t>
      </w:r>
    </w:p>
    <w:p w14:paraId="16AE420F" w14:textId="77777777" w:rsidR="00246265" w:rsidRPr="00A4268A" w:rsidRDefault="00000000">
      <w:pPr>
        <w:spacing w:before="240" w:line="276" w:lineRule="auto"/>
        <w:rPr>
          <w:rFonts w:eastAsia="Calibri"/>
        </w:rPr>
      </w:pPr>
      <w:r w:rsidRPr="00A4268A">
        <w:rPr>
          <w:rFonts w:eastAsia="Calibri"/>
        </w:rPr>
        <w:t xml:space="preserve">The service and management ensure the best outcomes for residents and that the health and safety of residents is a priority. Actual and potential risks are identified and mitigated. </w:t>
      </w:r>
    </w:p>
    <w:p w14:paraId="3628ECC7" w14:textId="77777777" w:rsidR="00246265" w:rsidRPr="00A4268A" w:rsidRDefault="00000000">
      <w:pPr>
        <w:spacing w:before="240" w:line="276" w:lineRule="auto"/>
        <w:rPr>
          <w:rFonts w:eastAsia="Calibri"/>
        </w:rPr>
      </w:pPr>
      <w:r w:rsidRPr="00A4268A">
        <w:rPr>
          <w:rFonts w:eastAsia="Calibri"/>
        </w:rPr>
        <w:t>Staff coverage is maintained for all shifts. The acuity of residents is taken into consideration when planning and ensuring adequate coverage. Staff employed are provided with orientation, job descriptions, and receive education. All employed and contracted health professionals maintain a current practising certificate.</w:t>
      </w:r>
    </w:p>
    <w:bookmarkEnd w:id="19"/>
    <w:p w14:paraId="5B105207" w14:textId="77777777" w:rsidR="00246265" w:rsidRPr="00A4268A" w:rsidRDefault="00246265">
      <w:pPr>
        <w:spacing w:before="240" w:line="276" w:lineRule="auto"/>
        <w:rPr>
          <w:rFonts w:eastAsia="Calibri"/>
        </w:rPr>
      </w:pPr>
    </w:p>
    <w:p w14:paraId="1C27B82D"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46265" w14:paraId="334A3B15" w14:textId="77777777" w:rsidTr="00A4268A">
        <w:trPr>
          <w:cantSplit/>
        </w:trPr>
        <w:tc>
          <w:tcPr>
            <w:tcW w:w="10206" w:type="dxa"/>
            <w:vAlign w:val="center"/>
          </w:tcPr>
          <w:p w14:paraId="3AD163D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DEF6874"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486D29A"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1C9660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Registered nurses are responsible for assessment, care plan development and evaluation. Medical and nursing assessments are completed within the required timeframes. Residents and family/whānau interviewed confirmed they are involved at all stages from assessment to care planning and in care plan reviews which occur at least six-monthly. The general practitioner is onsite twice weekly, and the general practice provides 24/7 on call services.</w:t>
      </w:r>
    </w:p>
    <w:p w14:paraId="665AF1E1" w14:textId="77777777" w:rsidR="00246265" w:rsidRPr="00A4268A" w:rsidRDefault="00000000"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49FE2373" w14:textId="77777777" w:rsidR="00246265" w:rsidRPr="00A4268A" w:rsidRDefault="00000000" w:rsidP="00621629">
      <w:pPr>
        <w:spacing w:before="240" w:line="276" w:lineRule="auto"/>
        <w:rPr>
          <w:rFonts w:eastAsia="Calibri"/>
        </w:rPr>
      </w:pPr>
      <w:r w:rsidRPr="00A4268A">
        <w:rPr>
          <w:rFonts w:eastAsia="Calibri"/>
        </w:rPr>
        <w:t xml:space="preserve">The food service meets the nutritional needs of the residents. Dietary preferences, intolerances, allergies and cultural needs are catered for. The service has a current food control plan. </w:t>
      </w:r>
    </w:p>
    <w:p w14:paraId="35A2BD08" w14:textId="77777777" w:rsidR="00246265" w:rsidRPr="00A4268A" w:rsidRDefault="00000000" w:rsidP="00621629">
      <w:pPr>
        <w:spacing w:before="240" w:line="276" w:lineRule="auto"/>
        <w:rPr>
          <w:rFonts w:eastAsia="Calibri"/>
        </w:rPr>
      </w:pPr>
      <w:r w:rsidRPr="00A4268A">
        <w:rPr>
          <w:rFonts w:eastAsia="Calibri"/>
        </w:rPr>
        <w:lastRenderedPageBreak/>
        <w:t>Transition, exit, discharge, or transfer is managed in a planned and coordinated manner.</w:t>
      </w:r>
    </w:p>
    <w:bookmarkEnd w:id="22"/>
    <w:p w14:paraId="3F3AB5F8" w14:textId="77777777" w:rsidR="00246265" w:rsidRPr="00A4268A" w:rsidRDefault="00246265" w:rsidP="00621629">
      <w:pPr>
        <w:spacing w:before="240" w:line="276" w:lineRule="auto"/>
        <w:rPr>
          <w:rFonts w:eastAsia="Calibri"/>
        </w:rPr>
      </w:pPr>
    </w:p>
    <w:p w14:paraId="4A63D1AC"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46265" w14:paraId="6436236B" w14:textId="77777777" w:rsidTr="00A4268A">
        <w:trPr>
          <w:cantSplit/>
        </w:trPr>
        <w:tc>
          <w:tcPr>
            <w:tcW w:w="10206" w:type="dxa"/>
            <w:vAlign w:val="center"/>
          </w:tcPr>
          <w:p w14:paraId="726F808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AA1F0F1"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1A50ED0"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BF9A268" w14:textId="77777777" w:rsidR="00000000" w:rsidRDefault="00000000">
      <w:pPr>
        <w:spacing w:before="240" w:line="276" w:lineRule="auto"/>
        <w:rPr>
          <w:rFonts w:eastAsia="Calibri"/>
        </w:rPr>
      </w:pPr>
      <w:bookmarkStart w:id="25" w:name="SafeAndAppropriateEnvironment"/>
      <w:r w:rsidRPr="00A4268A">
        <w:rPr>
          <w:rFonts w:eastAsia="Calibri"/>
        </w:rPr>
        <w:t>There is a current building warrant of fitness. Clinical and electrical equipment are checked for safety. Residents personalise their rooms according to their preferences. There are spaces for residents to carry out cultural practices.</w:t>
      </w:r>
    </w:p>
    <w:bookmarkEnd w:id="25"/>
    <w:p w14:paraId="02D81DCB" w14:textId="77777777" w:rsidR="00246265" w:rsidRPr="00A4268A" w:rsidRDefault="00246265">
      <w:pPr>
        <w:spacing w:before="240" w:line="276" w:lineRule="auto"/>
        <w:rPr>
          <w:rFonts w:eastAsia="Calibri"/>
        </w:rPr>
      </w:pPr>
    </w:p>
    <w:p w14:paraId="37FB9617"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46265" w14:paraId="0B7CF973" w14:textId="77777777" w:rsidTr="00A4268A">
        <w:trPr>
          <w:cantSplit/>
        </w:trPr>
        <w:tc>
          <w:tcPr>
            <w:tcW w:w="10206" w:type="dxa"/>
            <w:vAlign w:val="center"/>
          </w:tcPr>
          <w:p w14:paraId="49B9C3A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694B416"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1CDB3F1"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47A5C89" w14:textId="77777777" w:rsidR="00000000" w:rsidRDefault="00000000">
      <w:pPr>
        <w:spacing w:before="240" w:line="276" w:lineRule="auto"/>
        <w:rPr>
          <w:rFonts w:eastAsia="Calibri"/>
        </w:rPr>
      </w:pPr>
      <w:bookmarkStart w:id="28" w:name="RestraintMinimisationAndSafePractice"/>
      <w:r w:rsidRPr="00A4268A">
        <w:rPr>
          <w:rFonts w:eastAsia="Calibri"/>
        </w:rPr>
        <w:t>The service ensures the safety of the residents and staff through a planned infection prevention and antimicrobial stewardship programme that is appropriate to the size and complexity of the service. The clinical nurse manager coordinates the programme.</w:t>
      </w:r>
    </w:p>
    <w:p w14:paraId="753CD09A" w14:textId="77777777" w:rsidR="00246265" w:rsidRPr="00A4268A" w:rsidRDefault="00000000">
      <w:pPr>
        <w:spacing w:before="240" w:line="276" w:lineRule="auto"/>
        <w:rPr>
          <w:rFonts w:eastAsia="Calibri"/>
        </w:rPr>
      </w:pPr>
      <w:r w:rsidRPr="00A4268A">
        <w:rPr>
          <w:rFonts w:eastAsia="Calibri"/>
        </w:rPr>
        <w:t xml:space="preserve">Staff orientation and ongoing education are maintained. There were sufficient infection prevention resources, including personal protective equipment, available and readily accessible to support the plan if it is activated. </w:t>
      </w:r>
    </w:p>
    <w:p w14:paraId="391BA62C" w14:textId="77777777" w:rsidR="00246265" w:rsidRPr="00A4268A" w:rsidRDefault="00000000">
      <w:pPr>
        <w:spacing w:before="240" w:line="276" w:lineRule="auto"/>
        <w:rPr>
          <w:rFonts w:eastAsia="Calibri"/>
        </w:rPr>
      </w:pPr>
      <w:r w:rsidRPr="00A4268A">
        <w:rPr>
          <w:rFonts w:eastAsia="Calibri"/>
        </w:rPr>
        <w:lastRenderedPageBreak/>
        <w:t>Surveillance of health care-associated infections is undertaken, and results are shared with all staff. Follow-up action is taken as and when required. Infection outbreaks are managed according to the Ministry of Health guidelines.</w:t>
      </w:r>
    </w:p>
    <w:bookmarkEnd w:id="28"/>
    <w:p w14:paraId="74C2B422" w14:textId="77777777" w:rsidR="00246265" w:rsidRPr="00A4268A" w:rsidRDefault="00246265">
      <w:pPr>
        <w:spacing w:before="240" w:line="276" w:lineRule="auto"/>
        <w:rPr>
          <w:rFonts w:eastAsia="Calibri"/>
        </w:rPr>
      </w:pPr>
    </w:p>
    <w:p w14:paraId="6C85677F"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46265" w14:paraId="457EC43C" w14:textId="77777777" w:rsidTr="00A4268A">
        <w:trPr>
          <w:cantSplit/>
        </w:trPr>
        <w:tc>
          <w:tcPr>
            <w:tcW w:w="10206" w:type="dxa"/>
            <w:vAlign w:val="center"/>
          </w:tcPr>
          <w:p w14:paraId="54E069B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045B2E8"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CED450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B3B1AB3" w14:textId="77777777" w:rsidR="00000000" w:rsidRDefault="00000000">
      <w:pPr>
        <w:spacing w:before="240" w:line="276" w:lineRule="auto"/>
        <w:rPr>
          <w:rFonts w:eastAsia="Calibri"/>
        </w:rPr>
      </w:pPr>
      <w:bookmarkStart w:id="31" w:name="InfectionPreventionAndControl"/>
      <w:r w:rsidRPr="00A4268A">
        <w:rPr>
          <w:rFonts w:eastAsia="Calibri"/>
        </w:rPr>
        <w:t>Radius Glaisdale is committed to reducing the use of restraint. Restraint minimisation and safe practice policies and procedures are in place. Restraint minimisation is overseen by the restraint coordinator (a registered nurse). At the time of the audit, there was no use of restraint. Staff receive training during orientation and annually on restraint minimisation and are required to complete annual competencies.</w:t>
      </w:r>
    </w:p>
    <w:bookmarkEnd w:id="31"/>
    <w:p w14:paraId="157C03E5" w14:textId="77777777" w:rsidR="00246265" w:rsidRPr="00A4268A" w:rsidRDefault="00246265">
      <w:pPr>
        <w:spacing w:before="240" w:line="276" w:lineRule="auto"/>
        <w:rPr>
          <w:rFonts w:eastAsia="Calibri"/>
        </w:rPr>
      </w:pPr>
    </w:p>
    <w:p w14:paraId="51AE2AE0" w14:textId="77777777" w:rsidR="00000000" w:rsidRDefault="00000000" w:rsidP="000E6E02">
      <w:pPr>
        <w:pStyle w:val="Heading2"/>
        <w:spacing w:before="0"/>
        <w:rPr>
          <w:rFonts w:cs="Arial"/>
        </w:rPr>
      </w:pPr>
      <w:r>
        <w:rPr>
          <w:rFonts w:cs="Arial"/>
        </w:rPr>
        <w:lastRenderedPageBreak/>
        <w:t>Summary of attainment</w:t>
      </w:r>
    </w:p>
    <w:p w14:paraId="21AFC68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46265" w14:paraId="247816B3" w14:textId="77777777">
        <w:tc>
          <w:tcPr>
            <w:tcW w:w="1384" w:type="dxa"/>
            <w:vAlign w:val="center"/>
          </w:tcPr>
          <w:p w14:paraId="6F607CF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3A5F71A" w14:textId="77777777" w:rsidR="00000000" w:rsidRDefault="00000000">
            <w:pPr>
              <w:keepNext/>
              <w:spacing w:before="60" w:after="60"/>
              <w:jc w:val="center"/>
              <w:rPr>
                <w:rFonts w:cs="Arial"/>
                <w:b/>
                <w:sz w:val="20"/>
                <w:szCs w:val="20"/>
              </w:rPr>
            </w:pPr>
            <w:r>
              <w:rPr>
                <w:rFonts w:cs="Arial"/>
                <w:b/>
                <w:sz w:val="20"/>
                <w:szCs w:val="20"/>
              </w:rPr>
              <w:t>Continuous Improvement</w:t>
            </w:r>
          </w:p>
          <w:p w14:paraId="71057A4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A311430" w14:textId="77777777" w:rsidR="00000000" w:rsidRDefault="00000000">
            <w:pPr>
              <w:keepNext/>
              <w:spacing w:before="60" w:after="60"/>
              <w:jc w:val="center"/>
              <w:rPr>
                <w:rFonts w:cs="Arial"/>
                <w:b/>
                <w:sz w:val="20"/>
                <w:szCs w:val="20"/>
              </w:rPr>
            </w:pPr>
            <w:r>
              <w:rPr>
                <w:rFonts w:cs="Arial"/>
                <w:b/>
                <w:sz w:val="20"/>
                <w:szCs w:val="20"/>
              </w:rPr>
              <w:t>Fully Attained</w:t>
            </w:r>
          </w:p>
          <w:p w14:paraId="47E0755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90266D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C3036F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0B8D0E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D324850"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D0D199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A9B07A0"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8805C31"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F5DA03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5D729D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A6D76ED" w14:textId="77777777" w:rsidR="00000000" w:rsidRDefault="00000000">
            <w:pPr>
              <w:keepNext/>
              <w:spacing w:before="60" w:after="60"/>
              <w:jc w:val="center"/>
              <w:rPr>
                <w:rFonts w:cs="Arial"/>
                <w:b/>
                <w:sz w:val="20"/>
                <w:szCs w:val="20"/>
              </w:rPr>
            </w:pPr>
            <w:r>
              <w:rPr>
                <w:rFonts w:cs="Arial"/>
                <w:b/>
                <w:sz w:val="20"/>
                <w:szCs w:val="20"/>
              </w:rPr>
              <w:t>(PA Critical)</w:t>
            </w:r>
          </w:p>
        </w:tc>
      </w:tr>
      <w:tr w:rsidR="00246265" w14:paraId="3A022096" w14:textId="77777777">
        <w:tc>
          <w:tcPr>
            <w:tcW w:w="1384" w:type="dxa"/>
            <w:vAlign w:val="center"/>
          </w:tcPr>
          <w:p w14:paraId="2E0B982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DD838A8"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B023283"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5E58AF3E"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B47CDB2"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CAAD5EB"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0DD715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A50D4D7"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46265" w14:paraId="6610E780" w14:textId="77777777">
        <w:tc>
          <w:tcPr>
            <w:tcW w:w="1384" w:type="dxa"/>
            <w:vAlign w:val="center"/>
          </w:tcPr>
          <w:p w14:paraId="7EA8E438"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0482E5B"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C273631"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6756ED8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CE384A7"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F64B304"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5346AB6"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6EE7BD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18E0CE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46265" w14:paraId="5BA0BE8A" w14:textId="77777777">
        <w:tc>
          <w:tcPr>
            <w:tcW w:w="1384" w:type="dxa"/>
            <w:vAlign w:val="center"/>
          </w:tcPr>
          <w:p w14:paraId="3191562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FA3E3E6"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D6AC971"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4BEDA8D" w14:textId="77777777" w:rsidR="00000000" w:rsidRDefault="00000000">
            <w:pPr>
              <w:keepNext/>
              <w:spacing w:before="60" w:after="60"/>
              <w:jc w:val="center"/>
              <w:rPr>
                <w:rFonts w:cs="Arial"/>
                <w:b/>
                <w:sz w:val="20"/>
                <w:szCs w:val="20"/>
              </w:rPr>
            </w:pPr>
            <w:r>
              <w:rPr>
                <w:rFonts w:cs="Arial"/>
                <w:b/>
                <w:sz w:val="20"/>
                <w:szCs w:val="20"/>
              </w:rPr>
              <w:t>Unattained Low Risk</w:t>
            </w:r>
          </w:p>
          <w:p w14:paraId="68D33FA4"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B3D706A" w14:textId="77777777" w:rsidR="00000000" w:rsidRDefault="00000000">
            <w:pPr>
              <w:keepNext/>
              <w:spacing w:before="60" w:after="60"/>
              <w:jc w:val="center"/>
              <w:rPr>
                <w:rFonts w:cs="Arial"/>
                <w:b/>
                <w:sz w:val="20"/>
                <w:szCs w:val="20"/>
              </w:rPr>
            </w:pPr>
            <w:r>
              <w:rPr>
                <w:rFonts w:cs="Arial"/>
                <w:b/>
                <w:sz w:val="20"/>
                <w:szCs w:val="20"/>
              </w:rPr>
              <w:t>Unattained Moderate Risk</w:t>
            </w:r>
          </w:p>
          <w:p w14:paraId="4F0E5352"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39F4F32" w14:textId="77777777" w:rsidR="00000000" w:rsidRDefault="00000000">
            <w:pPr>
              <w:keepNext/>
              <w:spacing w:before="60" w:after="60"/>
              <w:jc w:val="center"/>
              <w:rPr>
                <w:rFonts w:cs="Arial"/>
                <w:b/>
                <w:sz w:val="20"/>
                <w:szCs w:val="20"/>
              </w:rPr>
            </w:pPr>
            <w:r>
              <w:rPr>
                <w:rFonts w:cs="Arial"/>
                <w:b/>
                <w:sz w:val="20"/>
                <w:szCs w:val="20"/>
              </w:rPr>
              <w:t>Unattained High Risk</w:t>
            </w:r>
          </w:p>
          <w:p w14:paraId="41AE2C45"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1E53DB0" w14:textId="77777777" w:rsidR="00000000" w:rsidRDefault="00000000">
            <w:pPr>
              <w:keepNext/>
              <w:spacing w:before="60" w:after="60"/>
              <w:jc w:val="center"/>
              <w:rPr>
                <w:rFonts w:cs="Arial"/>
                <w:b/>
                <w:sz w:val="20"/>
                <w:szCs w:val="20"/>
              </w:rPr>
            </w:pPr>
            <w:r>
              <w:rPr>
                <w:rFonts w:cs="Arial"/>
                <w:b/>
                <w:sz w:val="20"/>
                <w:szCs w:val="20"/>
              </w:rPr>
              <w:t>Unattained Critical Risk</w:t>
            </w:r>
          </w:p>
          <w:p w14:paraId="627C74FB" w14:textId="77777777" w:rsidR="00000000" w:rsidRDefault="00000000">
            <w:pPr>
              <w:keepNext/>
              <w:spacing w:before="60" w:after="60"/>
              <w:jc w:val="center"/>
              <w:rPr>
                <w:rFonts w:cs="Arial"/>
                <w:b/>
                <w:sz w:val="20"/>
                <w:szCs w:val="20"/>
              </w:rPr>
            </w:pPr>
            <w:r>
              <w:rPr>
                <w:rFonts w:cs="Arial"/>
                <w:b/>
                <w:sz w:val="20"/>
                <w:szCs w:val="20"/>
              </w:rPr>
              <w:t>(UA Critical)</w:t>
            </w:r>
          </w:p>
        </w:tc>
      </w:tr>
      <w:tr w:rsidR="00246265" w14:paraId="61F9EC72" w14:textId="77777777">
        <w:tc>
          <w:tcPr>
            <w:tcW w:w="1384" w:type="dxa"/>
            <w:vAlign w:val="center"/>
          </w:tcPr>
          <w:p w14:paraId="40BA898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F3BC2C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2AB72D4"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6610D8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44FC337"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300D50B"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46265" w14:paraId="269BAC3F" w14:textId="77777777">
        <w:tc>
          <w:tcPr>
            <w:tcW w:w="1384" w:type="dxa"/>
            <w:vAlign w:val="center"/>
          </w:tcPr>
          <w:p w14:paraId="4BF0CF5E"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0502FF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F4C5F3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FED5DAE"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02FA57E"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EEC9EF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D2BB50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0CD3DC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CC748B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43D7D6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9"/>
        <w:gridCol w:w="1376"/>
        <w:gridCol w:w="6899"/>
      </w:tblGrid>
      <w:tr w:rsidR="00246265" w14:paraId="556776CF" w14:textId="77777777">
        <w:tc>
          <w:tcPr>
            <w:tcW w:w="0" w:type="auto"/>
          </w:tcPr>
          <w:p w14:paraId="35FFD77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2F9D94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6116BF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46265" w14:paraId="48028656" w14:textId="77777777">
        <w:tc>
          <w:tcPr>
            <w:tcW w:w="0" w:type="auto"/>
          </w:tcPr>
          <w:p w14:paraId="7D45D71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B5A4D4C"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2544DD3" w14:textId="77777777" w:rsidR="00000000" w:rsidRPr="00BE00C7" w:rsidRDefault="00000000" w:rsidP="00BE00C7">
            <w:pPr>
              <w:pStyle w:val="OutcomeDescription"/>
              <w:spacing w:before="120" w:after="120"/>
              <w:rPr>
                <w:rFonts w:cs="Arial"/>
                <w:lang w:eastAsia="en-NZ"/>
              </w:rPr>
            </w:pPr>
          </w:p>
        </w:tc>
        <w:tc>
          <w:tcPr>
            <w:tcW w:w="0" w:type="auto"/>
          </w:tcPr>
          <w:p w14:paraId="073A83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C721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acknowledges Te Tiriti o Waitangi as a founding document for New Zealand. The service has residents who identify as Māori. Radius Glaisdale is committed to integrating equality and diversity and upholding a culture that actively values difference. A National Cultural Committee is in place and meets three monthly with a standing agenda in place. Collecting ethnicity data for residents and staff is a priority. </w:t>
            </w:r>
          </w:p>
          <w:p w14:paraId="746D4C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developed policies, procedures and processes to embed and enact Te Tiriti o Waitangi in all aspects of its work. The facility manager (FM), regional manager operations and the clinical nurse manager (CNM) reported that there were residents and staff who identified as Māori. </w:t>
            </w:r>
          </w:p>
          <w:p w14:paraId="202FD2FE"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and interviews with the management team that include the clinical project manager, regional manager operations, the area manager, facility manager (FM), a clinical nurse manager (CNM), office manager (OM); and staff including two registered nurses, four health care assistants (HCAs), representatives from the outsourced external catering team, and kitchen manager, confirmed that the service delivers a service that is focused on the health, well-being, and cultural needs of its residents.</w:t>
            </w:r>
          </w:p>
          <w:p w14:paraId="65BE1397" w14:textId="77777777" w:rsidR="00000000" w:rsidRPr="00BE00C7" w:rsidRDefault="00000000" w:rsidP="00BE00C7">
            <w:pPr>
              <w:pStyle w:val="OutcomeDescription"/>
              <w:spacing w:before="120" w:after="120"/>
              <w:rPr>
                <w:rFonts w:cs="Arial"/>
                <w:lang w:eastAsia="en-NZ"/>
              </w:rPr>
            </w:pPr>
          </w:p>
        </w:tc>
      </w:tr>
      <w:tr w:rsidR="00246265" w14:paraId="484D5882" w14:textId="77777777">
        <w:tc>
          <w:tcPr>
            <w:tcW w:w="0" w:type="auto"/>
          </w:tcPr>
          <w:p w14:paraId="23E85C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421F0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507673B" w14:textId="77777777" w:rsidR="00000000" w:rsidRPr="00BE00C7" w:rsidRDefault="00000000" w:rsidP="00BE00C7">
            <w:pPr>
              <w:pStyle w:val="OutcomeDescription"/>
              <w:spacing w:before="120" w:after="120"/>
              <w:rPr>
                <w:rFonts w:cs="Arial"/>
                <w:lang w:eastAsia="en-NZ"/>
              </w:rPr>
            </w:pPr>
          </w:p>
        </w:tc>
        <w:tc>
          <w:tcPr>
            <w:tcW w:w="0" w:type="auto"/>
          </w:tcPr>
          <w:p w14:paraId="4810127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A0EC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is the basis of the Radius Pacific Health Plan. The aim is to uphold the principles of Pacific people by acknowledging respectful relationships, valuing families, and providing high-quality healthcare.</w:t>
            </w:r>
          </w:p>
          <w:p w14:paraId="578C3E28"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no residents who identified as Pacific; however, some staff members identified as Pacific. The staff interviewed highlighted the importance of understanding and supporting each other’s culture.</w:t>
            </w:r>
          </w:p>
          <w:p w14:paraId="3A396E68" w14:textId="77777777" w:rsidR="00000000" w:rsidRPr="00BE00C7" w:rsidRDefault="00000000" w:rsidP="00BE00C7">
            <w:pPr>
              <w:pStyle w:val="OutcomeDescription"/>
              <w:spacing w:before="120" w:after="120"/>
              <w:rPr>
                <w:rFonts w:cs="Arial"/>
                <w:lang w:eastAsia="en-NZ"/>
              </w:rPr>
            </w:pPr>
          </w:p>
        </w:tc>
      </w:tr>
      <w:tr w:rsidR="00246265" w14:paraId="216E5EE8" w14:textId="77777777">
        <w:tc>
          <w:tcPr>
            <w:tcW w:w="0" w:type="auto"/>
          </w:tcPr>
          <w:p w14:paraId="5A494D1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491E56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BF69C39" w14:textId="77777777" w:rsidR="00000000" w:rsidRPr="00BE00C7" w:rsidRDefault="00000000" w:rsidP="00BE00C7">
            <w:pPr>
              <w:pStyle w:val="OutcomeDescription"/>
              <w:spacing w:before="120" w:after="120"/>
              <w:rPr>
                <w:rFonts w:cs="Arial"/>
                <w:lang w:eastAsia="en-NZ"/>
              </w:rPr>
            </w:pPr>
          </w:p>
        </w:tc>
        <w:tc>
          <w:tcPr>
            <w:tcW w:w="0" w:type="auto"/>
          </w:tcPr>
          <w:p w14:paraId="2ED404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CE1094"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interviewed at the service understood the requirements of the Health and Disability Commissioner’s (HDC) Code of Health and Disability Services Consumers Rights (the Code), and were observed supporting residents to follow their wishes. Three family/whānau (two dementia, and one hospital), and eight residents including five rest home and three hospital reported being made aware of the Code and the Nationwide Health and Disability Advocacy Service (Advocacy Service), and confirmed they were provided with opportunities to discuss and clarify their rights.</w:t>
            </w:r>
          </w:p>
          <w:p w14:paraId="7A5EC9BD" w14:textId="77777777" w:rsidR="00000000" w:rsidRPr="00BE00C7" w:rsidRDefault="00000000" w:rsidP="00BE00C7">
            <w:pPr>
              <w:pStyle w:val="OutcomeDescription"/>
              <w:spacing w:before="120" w:after="120"/>
              <w:rPr>
                <w:rFonts w:cs="Arial"/>
                <w:lang w:eastAsia="en-NZ"/>
              </w:rPr>
            </w:pPr>
          </w:p>
        </w:tc>
      </w:tr>
      <w:tr w:rsidR="00246265" w14:paraId="1A938C56" w14:textId="77777777">
        <w:tc>
          <w:tcPr>
            <w:tcW w:w="0" w:type="auto"/>
          </w:tcPr>
          <w:p w14:paraId="223BBEE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91673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D6C77DF" w14:textId="77777777" w:rsidR="00000000" w:rsidRPr="00BE00C7" w:rsidRDefault="00000000" w:rsidP="00BE00C7">
            <w:pPr>
              <w:pStyle w:val="OutcomeDescription"/>
              <w:spacing w:before="120" w:after="120"/>
              <w:rPr>
                <w:rFonts w:cs="Arial"/>
                <w:lang w:eastAsia="en-NZ"/>
              </w:rPr>
            </w:pPr>
          </w:p>
        </w:tc>
        <w:tc>
          <w:tcPr>
            <w:tcW w:w="0" w:type="auto"/>
          </w:tcPr>
          <w:p w14:paraId="653F5A0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6D012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Education on abuse and neglect was provided to staff on an annual basis. Residents reported that their property and finances were respected and that professional boundaries were maintained.</w:t>
            </w:r>
          </w:p>
          <w:p w14:paraId="52D2FE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and CNM reported that staff are guided by the code of conduct to ensure the environment is safe and free from any form of institutional and/or systemic racism. Family/whānau stated that residents were free from any type of discrimination, harassment, physical or sexual abuse, or </w:t>
            </w:r>
            <w:r w:rsidRPr="00BE00C7">
              <w:rPr>
                <w:rFonts w:cs="Arial"/>
                <w:lang w:eastAsia="en-NZ"/>
              </w:rPr>
              <w:lastRenderedPageBreak/>
              <w:t>neglect and were safe. Policies and procedures, such as the harassment, discrimination, and bullying policy, are in place. The policy applies to all staff, contractors, visitors, and residents.</w:t>
            </w:r>
          </w:p>
          <w:p w14:paraId="0370D477" w14:textId="77777777" w:rsidR="00000000" w:rsidRPr="00BE00C7" w:rsidRDefault="00000000" w:rsidP="00BE00C7">
            <w:pPr>
              <w:pStyle w:val="OutcomeDescription"/>
              <w:spacing w:before="120" w:after="120"/>
              <w:rPr>
                <w:rFonts w:cs="Arial"/>
                <w:lang w:eastAsia="en-NZ"/>
              </w:rPr>
            </w:pPr>
          </w:p>
        </w:tc>
      </w:tr>
      <w:tr w:rsidR="00246265" w14:paraId="73FA4295" w14:textId="77777777">
        <w:tc>
          <w:tcPr>
            <w:tcW w:w="0" w:type="auto"/>
          </w:tcPr>
          <w:p w14:paraId="297B6E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F3A96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5ADD220" w14:textId="77777777" w:rsidR="00000000" w:rsidRPr="00BE00C7" w:rsidRDefault="00000000" w:rsidP="00BE00C7">
            <w:pPr>
              <w:pStyle w:val="OutcomeDescription"/>
              <w:spacing w:before="120" w:after="120"/>
              <w:rPr>
                <w:rFonts w:cs="Arial"/>
                <w:lang w:eastAsia="en-NZ"/>
              </w:rPr>
            </w:pPr>
          </w:p>
        </w:tc>
        <w:tc>
          <w:tcPr>
            <w:tcW w:w="0" w:type="auto"/>
          </w:tcPr>
          <w:p w14:paraId="7862CCB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53B5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Signed admission agreements were evidenced in the sampled residents’ records. Informed consent for specific procedures had been gained appropriately. Resuscitation forms, and care plans were signed by residents who are competent and able to consent, and a medical decision was made by the general practitioner (GP) for residents who were unable to provide consent for advance directives. Certificates of mental incapacity and activation of the enduring power of attorney (EPOA) documents were on file for residents where necessary. </w:t>
            </w:r>
          </w:p>
          <w:p w14:paraId="03767F32" w14:textId="77777777" w:rsidR="00000000" w:rsidRPr="00BE00C7" w:rsidRDefault="00000000" w:rsidP="00BE00C7">
            <w:pPr>
              <w:pStyle w:val="OutcomeDescription"/>
              <w:spacing w:before="120" w:after="120"/>
              <w:rPr>
                <w:rFonts w:cs="Arial"/>
                <w:lang w:eastAsia="en-NZ"/>
              </w:rPr>
            </w:pPr>
          </w:p>
        </w:tc>
      </w:tr>
      <w:tr w:rsidR="00246265" w14:paraId="04B482A4" w14:textId="77777777">
        <w:tc>
          <w:tcPr>
            <w:tcW w:w="0" w:type="auto"/>
          </w:tcPr>
          <w:p w14:paraId="62D933E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1A974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CDD5F5E" w14:textId="77777777" w:rsidR="00000000" w:rsidRPr="00BE00C7" w:rsidRDefault="00000000" w:rsidP="00BE00C7">
            <w:pPr>
              <w:pStyle w:val="OutcomeDescription"/>
              <w:spacing w:before="120" w:after="120"/>
              <w:rPr>
                <w:rFonts w:cs="Arial"/>
                <w:lang w:eastAsia="en-NZ"/>
              </w:rPr>
            </w:pPr>
          </w:p>
        </w:tc>
        <w:tc>
          <w:tcPr>
            <w:tcW w:w="0" w:type="auto"/>
          </w:tcPr>
          <w:p w14:paraId="73A061C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D30353" w14:textId="77777777" w:rsidR="00000000" w:rsidRPr="00BE00C7" w:rsidRDefault="00000000" w:rsidP="00BE00C7">
            <w:pPr>
              <w:pStyle w:val="OutcomeDescription"/>
              <w:spacing w:before="120" w:after="120"/>
              <w:rPr>
                <w:rFonts w:cs="Arial"/>
                <w:lang w:eastAsia="en-NZ"/>
              </w:rPr>
            </w:pPr>
            <w:r w:rsidRPr="00BE00C7">
              <w:rPr>
                <w:rFonts w:cs="Arial"/>
                <w:lang w:eastAsia="en-NZ"/>
              </w:rPr>
              <w:t>Radius Glaisdale's complaints management policy and procedures are documented to guide staff. The process complies with Right 10 of the Code. The service maintains a complaints register. There were two complaints in 2025 and none in 2026 (year-to-date). The FM reported that the complaint process timeframes are adhered to, and service improvement measures are implemented as required. Documentation, including follow-up letters and resolution, has been completed and managed in accordance with guidelines set by the HDC. The FM reported that any issues are discussed promptly with residents and family/whānau before they escalate into complaints. Higher risk complaints are managed with the support of the regional manager operations.</w:t>
            </w:r>
          </w:p>
          <w:p w14:paraId="3C337B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and residents making a complaint can involve an independent support person in the process if they choose. The complaints process is linked to advocacy services. The Code is visible and available in te reo Māori and English. The residents and family/whānau spoken with </w:t>
            </w:r>
            <w:r w:rsidRPr="00BE00C7">
              <w:rPr>
                <w:rFonts w:cs="Arial"/>
                <w:lang w:eastAsia="en-NZ"/>
              </w:rPr>
              <w:lastRenderedPageBreak/>
              <w:t>expressed satisfaction with the complaint process. In the event of a complaint from a Māori resident or family/whānau member, the service would seek the assistance of an interpreter or cultural advisor if needed.</w:t>
            </w:r>
          </w:p>
          <w:p w14:paraId="1E1C13FC" w14:textId="77777777" w:rsidR="00000000" w:rsidRPr="00BE00C7" w:rsidRDefault="00000000" w:rsidP="00BE00C7">
            <w:pPr>
              <w:pStyle w:val="OutcomeDescription"/>
              <w:spacing w:before="120" w:after="120"/>
              <w:rPr>
                <w:rFonts w:cs="Arial"/>
                <w:lang w:eastAsia="en-NZ"/>
              </w:rPr>
            </w:pPr>
            <w:r w:rsidRPr="00BE00C7">
              <w:rPr>
                <w:rFonts w:cs="Arial"/>
                <w:lang w:eastAsia="en-NZ"/>
              </w:rPr>
              <w:t>One complaint was lodged with the HDC in February 2024, which remains open at the time of audit. The service has responded to requests for information from the HDC and has provided the required documentation within the specified timeframes.</w:t>
            </w:r>
          </w:p>
          <w:p w14:paraId="36375B40" w14:textId="77777777" w:rsidR="00000000" w:rsidRPr="00BE00C7" w:rsidRDefault="00000000" w:rsidP="00BE00C7">
            <w:pPr>
              <w:pStyle w:val="OutcomeDescription"/>
              <w:spacing w:before="120" w:after="120"/>
              <w:rPr>
                <w:rFonts w:cs="Arial"/>
                <w:lang w:eastAsia="en-NZ"/>
              </w:rPr>
            </w:pPr>
          </w:p>
        </w:tc>
      </w:tr>
      <w:tr w:rsidR="00246265" w14:paraId="22194817" w14:textId="77777777">
        <w:tc>
          <w:tcPr>
            <w:tcW w:w="0" w:type="auto"/>
          </w:tcPr>
          <w:p w14:paraId="1C047F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3A12A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8DD5AF2" w14:textId="77777777" w:rsidR="00000000" w:rsidRPr="00BE00C7" w:rsidRDefault="00000000" w:rsidP="00BE00C7">
            <w:pPr>
              <w:pStyle w:val="OutcomeDescription"/>
              <w:spacing w:before="120" w:after="120"/>
              <w:rPr>
                <w:rFonts w:cs="Arial"/>
                <w:lang w:eastAsia="en-NZ"/>
              </w:rPr>
            </w:pPr>
          </w:p>
        </w:tc>
        <w:tc>
          <w:tcPr>
            <w:tcW w:w="0" w:type="auto"/>
          </w:tcPr>
          <w:p w14:paraId="2EF6BD2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C410DC" w14:textId="77777777" w:rsidR="00000000" w:rsidRPr="00BE00C7" w:rsidRDefault="00000000" w:rsidP="00BE00C7">
            <w:pPr>
              <w:pStyle w:val="OutcomeDescription"/>
              <w:spacing w:before="120" w:after="120"/>
              <w:rPr>
                <w:rFonts w:cs="Arial"/>
                <w:lang w:eastAsia="en-NZ"/>
              </w:rPr>
            </w:pPr>
            <w:r w:rsidRPr="00BE00C7">
              <w:rPr>
                <w:rFonts w:cs="Arial"/>
                <w:lang w:eastAsia="en-NZ"/>
              </w:rPr>
              <w:t>Radius Glaisdale is certified to provide rest home, hospital (including medical), and dementia level care, with a total of 80 beds. At the time of the audit, 76 beds were occupied.</w:t>
            </w:r>
          </w:p>
          <w:p w14:paraId="5EC79386" w14:textId="77777777" w:rsidR="00000000" w:rsidRPr="00BE00C7" w:rsidRDefault="00000000" w:rsidP="00BE00C7">
            <w:pPr>
              <w:pStyle w:val="OutcomeDescription"/>
              <w:spacing w:before="120" w:after="120"/>
              <w:rPr>
                <w:rFonts w:cs="Arial"/>
                <w:lang w:eastAsia="en-NZ"/>
              </w:rPr>
            </w:pPr>
            <w:r w:rsidRPr="00BE00C7">
              <w:rPr>
                <w:rFonts w:cs="Arial"/>
                <w:lang w:eastAsia="en-NZ"/>
              </w:rPr>
              <w:t>Occupancy included 20 residents receiving rest home level care, including one resident admitted under respite care; 37 residents receiving hospital level care, including one resident under a younger person with a disability (YPD) contract; and 19 residents in the secure dementia unit. All remaining residents were receiving services under the age-related residential care (ARRC) contract.</w:t>
            </w:r>
          </w:p>
          <w:p w14:paraId="297360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of Radius Care is the Board of Directors, comprising the Managing Director/Executive Chairman and four professional directors. The Board holds overall accountability for organisational governance and strategic decision-making. Operational responsibility is delegated to the Chief Executive Officer (CEO), who provides overall leadership and oversight of the management team. Day-to-day operational management is the responsibility of the senior management team. A structured weekly and monthly reporting framework is in place to provide assurance to the CEO and the Board regarding organisational performance and operations.</w:t>
            </w:r>
          </w:p>
          <w:p w14:paraId="4A39EE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board comprises directors with an appropriate mix of skills, knowledge, experience, and diversity to meet governance responsibilities. The regional manager and facility manager have experience in the aged care sector and demonstrated an understanding of relevant legislative and contractual requirements.</w:t>
            </w:r>
          </w:p>
          <w:p w14:paraId="2B8935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current Radius Glaisdale business and quality plan (April 2025–March 2026), aligned with the 2023–2028 strategic plan, is in place and outlines clearly defined goals that reflect the service’s vision, mission, and values. </w:t>
            </w:r>
            <w:r w:rsidRPr="00BE00C7">
              <w:rPr>
                <w:rFonts w:cs="Arial"/>
                <w:lang w:eastAsia="en-NZ"/>
              </w:rPr>
              <w:lastRenderedPageBreak/>
              <w:t>The plan includes annual and long-term objectives supported by operational plans. Objectives sighted were time-framed with defined actions, and regular reporting occurred through management meetings. The clinical project manager and regional manager operations reported that key performance indicators are reviewed monthly, and meeting minutes evidenced discussion of objectives and progress toward planned actions. A quality and risk management plan is in place, reviewed at least annually, and updated as required. The clinical governance team completes an annual review of all components of the quality programme.</w:t>
            </w:r>
          </w:p>
          <w:p w14:paraId="49E4FB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is accountable for ensuring the delivery of safe, equitable, and high-quality services and demonstrates a commitment to Te Tiriti o Waitangi and improving outcomes for Māori and Pacific peoples. The Radius Board of Directors has adopted the Radius Māori Health Strategy as a key framework for addressing health inequities for Māori and Pacific peoples. A national cultural committee meets three-monthly to guide culturally responsive decision-making and strengthen Māori influence. This commitment is reflected in policy and planning documents, which include actions to support equity, resident choice, and access to information. Information on the Code, complaints processes, and infection prevention and control is available in alternative languages to reduce barriers to access.</w:t>
            </w:r>
          </w:p>
          <w:p w14:paraId="709C424E"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governance is overseen by the national quality manager and the risk and compliance manager. Regular quality, compliance, and risk reports are provided and include analysis of operational and financial key performance indicators. Outcomes and required corrective actions are discussed at the compliance and risk meeting, chaired by a board member. High-risk areas are reviewed with corresponding corrective measures identified, implemented, and monitored until the desired outcome or goal is achieved.</w:t>
            </w:r>
          </w:p>
          <w:p w14:paraId="35A8A6F1" w14:textId="77777777" w:rsidR="00000000" w:rsidRPr="00BE00C7" w:rsidRDefault="00000000" w:rsidP="00BE00C7">
            <w:pPr>
              <w:pStyle w:val="OutcomeDescription"/>
              <w:spacing w:before="120" w:after="120"/>
              <w:rPr>
                <w:rFonts w:cs="Arial"/>
                <w:lang w:eastAsia="en-NZ"/>
              </w:rPr>
            </w:pPr>
          </w:p>
        </w:tc>
      </w:tr>
      <w:tr w:rsidR="00246265" w14:paraId="348D96F1" w14:textId="77777777">
        <w:tc>
          <w:tcPr>
            <w:tcW w:w="0" w:type="auto"/>
          </w:tcPr>
          <w:p w14:paraId="3EEF5A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F69C0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resources to </w:t>
            </w:r>
            <w:r w:rsidRPr="00BE00C7">
              <w:rPr>
                <w:rFonts w:cs="Arial"/>
                <w:lang w:eastAsia="en-NZ"/>
              </w:rPr>
              <w:lastRenderedPageBreak/>
              <w:t>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708FDDB" w14:textId="77777777" w:rsidR="00000000" w:rsidRPr="00BE00C7" w:rsidRDefault="00000000" w:rsidP="00BE00C7">
            <w:pPr>
              <w:pStyle w:val="OutcomeDescription"/>
              <w:spacing w:before="120" w:after="120"/>
              <w:rPr>
                <w:rFonts w:cs="Arial"/>
                <w:lang w:eastAsia="en-NZ"/>
              </w:rPr>
            </w:pPr>
          </w:p>
        </w:tc>
        <w:tc>
          <w:tcPr>
            <w:tcW w:w="0" w:type="auto"/>
          </w:tcPr>
          <w:p w14:paraId="4EFF7A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100B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Radius Glaisdale implements the organisation’s quality and risk management programme, which is directed by the organisational framework. The quality management systems include performance evaluation through monitoring, measurement, analysis, and evaluation; a programme of internal audits; and a process for identifying and addressing </w:t>
            </w:r>
            <w:r w:rsidRPr="00BE00C7">
              <w:rPr>
                <w:rFonts w:cs="Arial"/>
                <w:lang w:eastAsia="en-NZ"/>
              </w:rPr>
              <w:lastRenderedPageBreak/>
              <w:t>corrective actions.</w:t>
            </w:r>
          </w:p>
          <w:p w14:paraId="148B1493"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meetings (including monthly staff meetings, management meetings, and quality meetings), and data collation were all documented as scheduled, with corrective actions as indicated. Corrective actions are being documented to address service improvements, with evidence of progress and sign-off when achieved. This corrective action document is posted in the staffroom and discussed in staff meetings. Meetings provide an avenue for discussions in relation to key performance indicators (including clinical, such as infections, bruising, pressure injuries, skin tears, urinary tract infections, restraint, etc), quality data, health and safety, infection control/pandemic strategies, complaints received (if any), staffing, and education. Meeting minutes and quality data tables are available for staff review.</w:t>
            </w:r>
          </w:p>
          <w:p w14:paraId="36A10B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2025 Radius Glaisdale resident and family satisfaction survey reported an overall satisfaction rating of 94% with a Net Promoter Score of +82. Respondents reported high levels of satisfaction with communication (94%), healthcare services (94%), spiritual and cultural support (94%), and facilities (93%). Areas identified for improvement, including the rotation and rearrangement of lounge chairs and the provision of more flavourful meals, have been addressed with the respective departments.</w:t>
            </w:r>
          </w:p>
          <w:p w14:paraId="5B5019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and risk management plan, supported by relevant policies and procedures, identifies internal and external risks and outlines mitigation strategies consistent with the National Adverse Event Reporting Policy. Management demonstrated understanding of Severity Assessment Codes (SAC), including the reporting requirements for SAC 1 and SAC 2 events. A total of 10 SAC 2 notifications were completed. Management interviews evidenced awareness of essential notification requirements. Section 31 notifications were submitted when required in a timely manner. The appropriate authorities were notified of outbreaks.</w:t>
            </w:r>
          </w:p>
          <w:p w14:paraId="2ADD579F"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Hazard identification is completed, and an up-to-date hazard register was sighted. Health and safety policies are overseen by the health and safety committee. Manual handling education is provided regularly to staff. Staff interviewed reported they are kept informed of health and safety matters.</w:t>
            </w:r>
          </w:p>
          <w:p w14:paraId="087731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Individual reports are completed for each incident or accident, with immediate actions recorded and any required follow-up documented. </w:t>
            </w:r>
            <w:r w:rsidRPr="00BE00C7">
              <w:rPr>
                <w:rFonts w:cs="Arial"/>
                <w:lang w:eastAsia="en-NZ"/>
              </w:rPr>
              <w:lastRenderedPageBreak/>
              <w:t xml:space="preserve">Incident and accident data is collated monthly and analysed for trends, with results discussed at management and staff meetings. Ten resident-related incident and accident forms were reviewed, and each demonstrated that a clinical assessment and appropriate follow-up were completed by registered nurses. </w:t>
            </w:r>
          </w:p>
          <w:p w14:paraId="5FA27639" w14:textId="77777777" w:rsidR="00000000" w:rsidRPr="00BE00C7" w:rsidRDefault="00000000" w:rsidP="00BE00C7">
            <w:pPr>
              <w:pStyle w:val="OutcomeDescription"/>
              <w:spacing w:before="120" w:after="120"/>
              <w:rPr>
                <w:rFonts w:cs="Arial"/>
                <w:lang w:eastAsia="en-NZ"/>
              </w:rPr>
            </w:pPr>
            <w:r w:rsidRPr="00BE00C7">
              <w:rPr>
                <w:rFonts w:cs="Arial"/>
                <w:lang w:eastAsia="en-NZ"/>
              </w:rPr>
              <w:t>Falls rates decreased during the 2023–2024 period to 7.63, compared with 9.69 in 2022–2023 and 13.15 in 2021–2022. However, in 2025, the rate increased to 9.25 from 7.63, and as a result, the previous continuous improvement rating was not maintained in this audit.</w:t>
            </w:r>
          </w:p>
          <w:p w14:paraId="769E5E1E" w14:textId="77777777" w:rsidR="00000000" w:rsidRPr="00BE00C7" w:rsidRDefault="00000000" w:rsidP="00BE00C7">
            <w:pPr>
              <w:pStyle w:val="OutcomeDescription"/>
              <w:spacing w:before="120" w:after="120"/>
              <w:rPr>
                <w:rFonts w:cs="Arial"/>
                <w:lang w:eastAsia="en-NZ"/>
              </w:rPr>
            </w:pPr>
          </w:p>
        </w:tc>
      </w:tr>
      <w:tr w:rsidR="00246265" w14:paraId="49CEA231" w14:textId="77777777">
        <w:tc>
          <w:tcPr>
            <w:tcW w:w="0" w:type="auto"/>
          </w:tcPr>
          <w:p w14:paraId="36E460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25EF2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F916291" w14:textId="77777777" w:rsidR="00000000" w:rsidRPr="00BE00C7" w:rsidRDefault="00000000" w:rsidP="00BE00C7">
            <w:pPr>
              <w:pStyle w:val="OutcomeDescription"/>
              <w:spacing w:before="120" w:after="120"/>
              <w:rPr>
                <w:rFonts w:cs="Arial"/>
                <w:lang w:eastAsia="en-NZ"/>
              </w:rPr>
            </w:pPr>
          </w:p>
        </w:tc>
        <w:tc>
          <w:tcPr>
            <w:tcW w:w="0" w:type="auto"/>
          </w:tcPr>
          <w:p w14:paraId="477F2E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2E0F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service adjusts staffing levels to meet the changing needs of residents. Care staff reported that there has been adequate staff at the service. Residents and family/whānau interviewed supported this.</w:t>
            </w:r>
          </w:p>
          <w:p w14:paraId="03105A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Rosters from the past four weeks showed that all shifts were covered by experienced registered nurses and care staff, with support from the management team. The service employs 12 full-time registered nurses, including the CNM, and all shifts are covered by the registered nurses. </w:t>
            </w:r>
          </w:p>
          <w:p w14:paraId="2564E4A9"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The FM reported that most of the training is completed online or face-to-face, every month. Evidence of regular education provided to staff was sighted in attendance records. Training topics included (but not limited to): Covid-19 (donning and doffing of personal protective equipment and standard infection control precautions); nutrition and hydration; falls prevention techniques; chemical training; health and safety; syringe driver management; introduction to Te Tiriti o Waitangi; death and dying; recognising and assessing pain; resuscitation; pressure injuries; challenging behaviour; restraint elimination; emergency procedures; assessing residents with feeding and drinking; sexuality and intimacy; cultural safety; first aid; and fire evacuation.</w:t>
            </w:r>
          </w:p>
          <w:p w14:paraId="2AA4F3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Related competencies are assessed as per policy requirements. Care staff have either completed or commenced a New Zealand Qualification Authority education programme to meet the provider’s funding and service </w:t>
            </w:r>
            <w:r w:rsidRPr="00BE00C7">
              <w:rPr>
                <w:rFonts w:cs="Arial"/>
                <w:lang w:eastAsia="en-NZ"/>
              </w:rPr>
              <w:lastRenderedPageBreak/>
              <w:t>agreement requirements. Staff records were reviewed to demonstrate completion of the required training and competency assessments. There are 46 care staff employed. Twenty-eight have achieved NZQA qualification level four, nine with level three, and nine with level one. The management team reported that the model of care ensured that all residents are treated equitably.</w:t>
            </w:r>
          </w:p>
          <w:p w14:paraId="150DFBEB" w14:textId="77777777" w:rsidR="00000000" w:rsidRPr="00BE00C7" w:rsidRDefault="00000000" w:rsidP="00BE00C7">
            <w:pPr>
              <w:pStyle w:val="OutcomeDescription"/>
              <w:spacing w:before="120" w:after="120"/>
              <w:rPr>
                <w:rFonts w:cs="Arial"/>
                <w:lang w:eastAsia="en-NZ"/>
              </w:rPr>
            </w:pPr>
            <w:r w:rsidRPr="00BE00C7">
              <w:rPr>
                <w:rFonts w:cs="Arial"/>
                <w:lang w:eastAsia="en-NZ"/>
              </w:rPr>
              <w:t>A total of 16 care staff who work in the dementia unit have completed dementia training, with 13 enrolled in training from the rest home and hospital wings.</w:t>
            </w:r>
          </w:p>
          <w:p w14:paraId="54861BF2" w14:textId="77777777" w:rsidR="00000000" w:rsidRPr="00BE00C7" w:rsidRDefault="00000000" w:rsidP="00BE00C7">
            <w:pPr>
              <w:pStyle w:val="OutcomeDescription"/>
              <w:spacing w:before="120" w:after="120"/>
              <w:rPr>
                <w:rFonts w:cs="Arial"/>
                <w:lang w:eastAsia="en-NZ"/>
              </w:rPr>
            </w:pPr>
            <w:r w:rsidRPr="00BE00C7">
              <w:rPr>
                <w:rFonts w:cs="Arial"/>
                <w:lang w:eastAsia="en-NZ"/>
              </w:rPr>
              <w:t>Four registered nurses maintain competencies to conduct interRAI assessments, while two are booked to commence training. These staff records sampled demonstrated completion of the required training and competency assessments.</w:t>
            </w:r>
          </w:p>
          <w:p w14:paraId="37EAE7E2" w14:textId="77777777" w:rsidR="00000000" w:rsidRPr="00BE00C7" w:rsidRDefault="00000000" w:rsidP="00BE00C7">
            <w:pPr>
              <w:pStyle w:val="OutcomeDescription"/>
              <w:spacing w:before="120" w:after="120"/>
              <w:rPr>
                <w:rFonts w:cs="Arial"/>
                <w:lang w:eastAsia="en-NZ"/>
              </w:rPr>
            </w:pPr>
          </w:p>
        </w:tc>
      </w:tr>
      <w:tr w:rsidR="00246265" w14:paraId="4525689F" w14:textId="77777777">
        <w:tc>
          <w:tcPr>
            <w:tcW w:w="0" w:type="auto"/>
          </w:tcPr>
          <w:p w14:paraId="17310A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F6D46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E2A9048" w14:textId="77777777" w:rsidR="00000000" w:rsidRPr="00BE00C7" w:rsidRDefault="00000000" w:rsidP="00BE00C7">
            <w:pPr>
              <w:pStyle w:val="OutcomeDescription"/>
              <w:spacing w:before="120" w:after="120"/>
              <w:rPr>
                <w:rFonts w:cs="Arial"/>
                <w:lang w:eastAsia="en-NZ"/>
              </w:rPr>
            </w:pPr>
          </w:p>
        </w:tc>
        <w:tc>
          <w:tcPr>
            <w:tcW w:w="0" w:type="auto"/>
          </w:tcPr>
          <w:p w14:paraId="31EDE2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212D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staff training and development. </w:t>
            </w:r>
          </w:p>
          <w:p w14:paraId="29CA40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Qualifications are validated prior to employment. A register of annual practising certificates (APCs) is maintained for registered nurses and associated health contractors. </w:t>
            </w:r>
          </w:p>
          <w:p w14:paraId="4F0F28F2"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staff records reviewed confirmed the organisation’s policies are being consistently implemented. All staff records reviewed evidenced completed induction and orientation. A total of six staff files (two registered nurses, one diversional therapist, two healthcare assistants, and one housekeeper) were reviewed. Staff files included reference checks; police checks; appraisals; competencies; individual training plans; professional qualifications; orientation; employment agreements; and position descriptions.</w:t>
            </w:r>
          </w:p>
          <w:p w14:paraId="13A29C0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performance is reviewed and discussed at regular intervals; this was confirmed through documentation sighted and interviews with staff. Staff reported that they have input into the performance appraisal process, and that they can set their own goals.</w:t>
            </w:r>
          </w:p>
          <w:p w14:paraId="6047FF99" w14:textId="77777777" w:rsidR="00000000" w:rsidRPr="00BE00C7" w:rsidRDefault="00000000" w:rsidP="00BE00C7">
            <w:pPr>
              <w:pStyle w:val="OutcomeDescription"/>
              <w:spacing w:before="120" w:after="120"/>
              <w:rPr>
                <w:rFonts w:cs="Arial"/>
                <w:lang w:eastAsia="en-NZ"/>
              </w:rPr>
            </w:pPr>
          </w:p>
        </w:tc>
      </w:tr>
      <w:tr w:rsidR="00246265" w14:paraId="639F1102" w14:textId="77777777">
        <w:tc>
          <w:tcPr>
            <w:tcW w:w="0" w:type="auto"/>
          </w:tcPr>
          <w:p w14:paraId="472B86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BC0EA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2E92AD7" w14:textId="77777777" w:rsidR="00000000" w:rsidRPr="00BE00C7" w:rsidRDefault="00000000" w:rsidP="00BE00C7">
            <w:pPr>
              <w:pStyle w:val="OutcomeDescription"/>
              <w:spacing w:before="120" w:after="120"/>
              <w:rPr>
                <w:rFonts w:cs="Arial"/>
                <w:lang w:eastAsia="en-NZ"/>
              </w:rPr>
            </w:pPr>
          </w:p>
        </w:tc>
        <w:tc>
          <w:tcPr>
            <w:tcW w:w="0" w:type="auto"/>
          </w:tcPr>
          <w:p w14:paraId="261D740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F885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resident files were reviewed including two rest home level, two hospital level (one young disabled resident [YPD]) ,and two dementia level of care. Registered nurses are responsible for assessing residents on admission and on an ongoing basis. All resident files reviewed have evidence of resident, and family/whānau involvement in the assessment and care planning process. Residents interviewed confirmed they are involved in decision-making, and they have choices about their care.  Assessments, interim care plans, interRAI assessments and long-term care plans are developed within the timeframes required by the aged-related residential care contract. InterRAI assessments are not completed for residents on YPD funding, but they undergo a comprehensive assessment process and have a detailed care plan in place. </w:t>
            </w:r>
          </w:p>
          <w:p w14:paraId="231C2916"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assessments are completed by the contracted general practitioner within the required timeframes. Residents then have a monthly or three-monthly review by the general practitioner as a routine, or if their needs change, they are seen when needed.  The medical practice provides 24/7 on-call services, and the general practitioner is on-site twice per week. A physiotherapist is contracted to attend to residents who have a need for physiotherapy care twice per week. Residents have access to a visiting podiatrist six-weekly. Staff refer residents to a dietitian where required. Allied health practitioner and general practitioner assessments and interventions are documented and integrated into care plans.</w:t>
            </w:r>
          </w:p>
          <w:p w14:paraId="0A61061D"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resident files shows assessment is comprehensive and utilises the tools embedded in the interRAI system and other validated tools. Where interRAI shows a trigger for a specific need, this is included in care plans. Examples sighted include, but are not limited to, activities of daily living, mood changes, pressure injury risk, communication, social relationships and maintaining continence. Care plans are comprehensive and holistic and include the aspirations and goals of residents. Residents with dementia have a care plan in place that specifies the routine the resident likes to follow and how best to manage behaviours over the 24-hour period.</w:t>
            </w:r>
          </w:p>
          <w:p w14:paraId="473447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and healthcare assistants described how they involve residents and families/whānau in implementing care plans. Residents and families/whānau interviewed confirmed a high degree of satisfaction with all care aspects of the service. They stated that staff communicate well with them and in a timely manner. The general practitioner stated that staff are </w:t>
            </w:r>
            <w:r w:rsidRPr="00BE00C7">
              <w:rPr>
                <w:rFonts w:cs="Arial"/>
                <w:lang w:eastAsia="en-NZ"/>
              </w:rPr>
              <w:lastRenderedPageBreak/>
              <w:t>competent in assessment skills, wound management and in communicating any changes in residents’ condition.</w:t>
            </w:r>
          </w:p>
          <w:p w14:paraId="3B9C4000"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interviewed could describe a verbal handover at the beginning of each duty that maintains a continuity of service delivery; this was observed during the audit. Progress notes and monitoring charts for personal cares document care provided according to the care plan each shift. Registered nurses document at least daily for hospital-level residents. Healthcare assistants document the cares provided each shift. There is regular documented input from the general practitioner and allied health professionals. There was evidence that the registered nurse had added to the progress notes when there was an incident or changes in health status, or to complete regular registered nurse reviews of the care provided. Short-term care plans are developed when there are short-term needs, such as wounds or infections.</w:t>
            </w:r>
          </w:p>
          <w:p w14:paraId="74501C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reviewed routinely every six months or more frequently if the needs of residents change. InterRAI assessments are completed before the care plan review so that outcome measurements are utilised to evaluate progress or identify new needs. Family/whānau are invited to attend case conferences for care plan reviews or to email any suggestions if they are unable to attend. Care plan reviews include a review of the residents’ goals and aspirations, and if the supports given are helping to achieve these. </w:t>
            </w:r>
          </w:p>
          <w:p w14:paraId="4074D9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monitors residents’ weight and vital signs according to their needs which is monthly as a routine, but more frequently when indicated. Neurological observations are completed at recommended intervals for residents with unwitnessed falls or where a head injury is suspected. Monitoring charts are completed according to identified needs and include, but are not limited to, bowels, food and fluids, behaviour, blood glucose levels, positioning, personal cares and falls risk. At the time of the audit, there was a total of 32 wounds, including bruises, skin tears, chronic ulcers, blisters and one stage two pressure injury. Staff stated they can access the wound nurse specialist when needed and have had training in wound management. A sample of assessments and wound management plans, including wound measurements and photographs were reviewed. An electronic wound register has been fully maintained. Wound assessment, wound management, evaluation forms and wound monitoring occurred as planned in the sample of wounds reviewed. Healthcare assistants and </w:t>
            </w:r>
            <w:r w:rsidRPr="00BE00C7">
              <w:rPr>
                <w:rFonts w:cs="Arial"/>
                <w:lang w:eastAsia="en-NZ"/>
              </w:rPr>
              <w:lastRenderedPageBreak/>
              <w:t>registered nurses interviewed stated there are adequate clinical supplies and equipment provided, including continence, wound care supplies and pressure injury prevention resources.</w:t>
            </w:r>
          </w:p>
          <w:p w14:paraId="35A70607" w14:textId="5D6DD2AF" w:rsidR="00000000" w:rsidRPr="00BE00C7" w:rsidRDefault="00000000" w:rsidP="00365D32">
            <w:pPr>
              <w:pStyle w:val="OutcomeDescription"/>
              <w:spacing w:before="120" w:after="120"/>
              <w:rPr>
                <w:rFonts w:cs="Arial"/>
                <w:lang w:eastAsia="en-NZ"/>
              </w:rPr>
            </w:pPr>
          </w:p>
        </w:tc>
      </w:tr>
      <w:tr w:rsidR="00246265" w14:paraId="170FEB32" w14:textId="77777777">
        <w:tc>
          <w:tcPr>
            <w:tcW w:w="0" w:type="auto"/>
          </w:tcPr>
          <w:p w14:paraId="685C6B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C854A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0911863" w14:textId="77777777" w:rsidR="00000000" w:rsidRPr="00BE00C7" w:rsidRDefault="00000000" w:rsidP="00BE00C7">
            <w:pPr>
              <w:pStyle w:val="OutcomeDescription"/>
              <w:spacing w:before="120" w:after="120"/>
              <w:rPr>
                <w:rFonts w:cs="Arial"/>
                <w:lang w:eastAsia="en-NZ"/>
              </w:rPr>
            </w:pPr>
          </w:p>
        </w:tc>
        <w:tc>
          <w:tcPr>
            <w:tcW w:w="0" w:type="auto"/>
          </w:tcPr>
          <w:p w14:paraId="396185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3C08F0"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Paper-based medication prescriptions and administration records are currently being utilised. A medication round was observed and seen to be safe. Medications are administered by registered nurses and healthcare assistants. All staff administering medications are required to pass an annual competency test and have ongoing training in medicine management.</w:t>
            </w:r>
          </w:p>
          <w:p w14:paraId="332FDE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supplied by a local pharmacy in Robotic packs. Staff could describe their responsibilities for receiving medications from the pharmacy, including checking against prescriptions. Expired and unused medications are returned to the pharmacy. Medicines were seen to be stored in locked trolleys and locked medication rooms. The registered nurses complete expiry date checks of stored medications weekly and count the controlled medications weekly as required, and six-monthly with the pharmacist. The medication refrigerators and medication room temperatures are monitored daily and are within an acceptable range. Liquid medications and eye drops are labelled with the date of opening. </w:t>
            </w:r>
          </w:p>
          <w:p w14:paraId="4E85B1E8" w14:textId="77777777" w:rsidR="00000000" w:rsidRPr="00BE00C7" w:rsidRDefault="00000000" w:rsidP="00BE00C7">
            <w:pPr>
              <w:pStyle w:val="OutcomeDescription"/>
              <w:spacing w:before="120" w:after="120"/>
              <w:rPr>
                <w:rFonts w:cs="Arial"/>
                <w:lang w:eastAsia="en-NZ"/>
              </w:rPr>
            </w:pPr>
            <w:r w:rsidRPr="00BE00C7">
              <w:rPr>
                <w:rFonts w:cs="Arial"/>
                <w:lang w:eastAsia="en-NZ"/>
              </w:rPr>
              <w:t>Twelve medication charts were reviewed. These meet prescribing requirements and are reviewed at least three-monthly by the general practitioner. Any changes to medications are discussed with residents and family/whānau. All medication charts had photographic identification. Allergies and adverse reactions are clearly recorded. Specific instructions for individual residents are included in the prescription. Pro re nata medications have the indications documented in the prescription and the effectiveness is documented in the progress notes. Currently there are no residents self-administering their medications. The policy includes a process for ensuring residents who wish to self-administer medications are competent to do so. The policy also requires medications are stored securely. There are no standing orders.</w:t>
            </w:r>
          </w:p>
          <w:p w14:paraId="6CF53C1C" w14:textId="77777777" w:rsidR="00000000" w:rsidRPr="00BE00C7" w:rsidRDefault="00000000" w:rsidP="00365D32">
            <w:pPr>
              <w:pStyle w:val="OutcomeDescription"/>
              <w:spacing w:before="120" w:after="120"/>
              <w:rPr>
                <w:rFonts w:cs="Arial"/>
                <w:lang w:eastAsia="en-NZ"/>
              </w:rPr>
            </w:pPr>
          </w:p>
        </w:tc>
      </w:tr>
      <w:tr w:rsidR="00246265" w14:paraId="6B449F7A" w14:textId="77777777">
        <w:tc>
          <w:tcPr>
            <w:tcW w:w="0" w:type="auto"/>
          </w:tcPr>
          <w:p w14:paraId="58BE9B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36922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34E6976" w14:textId="77777777" w:rsidR="00000000" w:rsidRPr="00BE00C7" w:rsidRDefault="00000000" w:rsidP="00BE00C7">
            <w:pPr>
              <w:pStyle w:val="OutcomeDescription"/>
              <w:spacing w:before="120" w:after="120"/>
              <w:rPr>
                <w:rFonts w:cs="Arial"/>
                <w:lang w:eastAsia="en-NZ"/>
              </w:rPr>
            </w:pPr>
          </w:p>
        </w:tc>
        <w:tc>
          <w:tcPr>
            <w:tcW w:w="0" w:type="auto"/>
          </w:tcPr>
          <w:p w14:paraId="42308CD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96E333"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preferences, dislikes, intolerances, allergies and required food texture is identified on admission and communicated to the kitchen manager who keeps a whiteboard of this information up-to-date and has a folder with all dietary profiles. Alternatives are prepared if menu options don’t suit individuals. Cultural preferences and celebrations are catered for. Residents interviewed confirmed they are happy with the meals provided and can give feedback at any time. They stated if they don’t like what is provided an alternative is offered.</w:t>
            </w:r>
          </w:p>
          <w:p w14:paraId="4696FA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is current to 30 March 2027.</w:t>
            </w:r>
          </w:p>
          <w:p w14:paraId="29277F1F" w14:textId="77777777" w:rsidR="00000000" w:rsidRPr="00BE00C7" w:rsidRDefault="00000000" w:rsidP="00BE00C7">
            <w:pPr>
              <w:pStyle w:val="OutcomeDescription"/>
              <w:spacing w:before="120" w:after="120"/>
              <w:rPr>
                <w:rFonts w:cs="Arial"/>
                <w:lang w:eastAsia="en-NZ"/>
              </w:rPr>
            </w:pPr>
          </w:p>
        </w:tc>
      </w:tr>
      <w:tr w:rsidR="00246265" w14:paraId="7F1F8806" w14:textId="77777777">
        <w:tc>
          <w:tcPr>
            <w:tcW w:w="0" w:type="auto"/>
          </w:tcPr>
          <w:p w14:paraId="42A6F5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A2A8B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D2A9EE1" w14:textId="77777777" w:rsidR="00000000" w:rsidRPr="00BE00C7" w:rsidRDefault="00000000" w:rsidP="00BE00C7">
            <w:pPr>
              <w:pStyle w:val="OutcomeDescription"/>
              <w:spacing w:before="120" w:after="120"/>
              <w:rPr>
                <w:rFonts w:cs="Arial"/>
                <w:lang w:eastAsia="en-NZ"/>
              </w:rPr>
            </w:pPr>
          </w:p>
        </w:tc>
        <w:tc>
          <w:tcPr>
            <w:tcW w:w="0" w:type="auto"/>
          </w:tcPr>
          <w:p w14:paraId="171E13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EE49A0"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Transition, transfer to another facility or hospital and discharge is a planned process that includes communication with the resident and their family/whānau and communicating and documenting the care needs and potential risks to the other facility. If a resident becomes acutely unwell the registered nurse can call the general practitioner for advice. If a resident needs urgent transfer to hospital, the ambulance is called and family/whānau informed. Registered nurses described the required documentation required to accompany the resident to hospital and confirmed the family/whānau are notified.</w:t>
            </w:r>
          </w:p>
          <w:p w14:paraId="0B8B6E9F" w14:textId="77777777" w:rsidR="00000000" w:rsidRPr="00BE00C7" w:rsidRDefault="00000000" w:rsidP="00BE00C7">
            <w:pPr>
              <w:pStyle w:val="OutcomeDescription"/>
              <w:spacing w:before="120" w:after="120"/>
              <w:rPr>
                <w:rFonts w:cs="Arial"/>
                <w:lang w:eastAsia="en-NZ"/>
              </w:rPr>
            </w:pPr>
          </w:p>
        </w:tc>
      </w:tr>
      <w:tr w:rsidR="00246265" w14:paraId="32E9E885" w14:textId="77777777">
        <w:tc>
          <w:tcPr>
            <w:tcW w:w="0" w:type="auto"/>
          </w:tcPr>
          <w:p w14:paraId="77B24C3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E227B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w:t>
            </w:r>
            <w:r w:rsidRPr="00BE00C7">
              <w:rPr>
                <w:rFonts w:cs="Arial"/>
                <w:lang w:eastAsia="en-NZ"/>
              </w:rPr>
              <w:lastRenderedPageBreak/>
              <w:t>sense of belonging, independence, interaction, and function.</w:t>
            </w:r>
          </w:p>
          <w:p w14:paraId="5BDC32CE" w14:textId="77777777" w:rsidR="00000000" w:rsidRPr="00BE00C7" w:rsidRDefault="00000000" w:rsidP="00BE00C7">
            <w:pPr>
              <w:pStyle w:val="OutcomeDescription"/>
              <w:spacing w:before="120" w:after="120"/>
              <w:rPr>
                <w:rFonts w:cs="Arial"/>
                <w:lang w:eastAsia="en-NZ"/>
              </w:rPr>
            </w:pPr>
          </w:p>
        </w:tc>
        <w:tc>
          <w:tcPr>
            <w:tcW w:w="0" w:type="auto"/>
          </w:tcPr>
          <w:p w14:paraId="2995F1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565F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current building warrant of fitness expires on 13 September 2026. There is an annual maintenance plan implemented. This includes testing and tagging of electrical appliances. This was last completed on 15 May 2025. Servicing and calibration of clinical equipment, hoists and scales was last completed on 8 September 2025. Hot water temperatures are monitored monthly and maintained below 45 degrees Celsius. The maintenance plan includes checking all equipment, call bell checks and environmental safety. Essential contractors such as plumbers and electricians are available 24/7. There are ample spaces for residents to engage in cultural activities and to meet with family/whānau in private. </w:t>
            </w:r>
            <w:r w:rsidRPr="00BE00C7">
              <w:rPr>
                <w:rFonts w:cs="Arial"/>
                <w:lang w:eastAsia="en-NZ"/>
              </w:rPr>
              <w:lastRenderedPageBreak/>
              <w:t>Residents personalise their rooms with items of significance to them.</w:t>
            </w:r>
          </w:p>
          <w:p w14:paraId="2492E863" w14:textId="77777777" w:rsidR="00000000" w:rsidRPr="00BE00C7" w:rsidRDefault="00000000" w:rsidP="00BE00C7">
            <w:pPr>
              <w:pStyle w:val="OutcomeDescription"/>
              <w:spacing w:before="120" w:after="120"/>
              <w:rPr>
                <w:rFonts w:cs="Arial"/>
                <w:lang w:eastAsia="en-NZ"/>
              </w:rPr>
            </w:pPr>
          </w:p>
        </w:tc>
      </w:tr>
      <w:tr w:rsidR="00246265" w14:paraId="0ADC4E3A" w14:textId="77777777">
        <w:tc>
          <w:tcPr>
            <w:tcW w:w="0" w:type="auto"/>
          </w:tcPr>
          <w:p w14:paraId="528A05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410D1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4521942" w14:textId="77777777" w:rsidR="00000000" w:rsidRPr="00BE00C7" w:rsidRDefault="00000000" w:rsidP="00BE00C7">
            <w:pPr>
              <w:pStyle w:val="OutcomeDescription"/>
              <w:spacing w:before="120" w:after="120"/>
              <w:rPr>
                <w:rFonts w:cs="Arial"/>
                <w:lang w:eastAsia="en-NZ"/>
              </w:rPr>
            </w:pPr>
          </w:p>
        </w:tc>
        <w:tc>
          <w:tcPr>
            <w:tcW w:w="0" w:type="auto"/>
          </w:tcPr>
          <w:p w14:paraId="3C9FE09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7855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implemented IP programme is clearly documented and was developed with input from external infection prevention and control (IPC) services. The IP programme was approved by the governance body and is linked to the quality improvement programme. The IPC programme is reviewed and reported annually. The IP programme was current. The nominated infection control nurse (CNM) has completed relevant external infection prevention and control education through Health New Zealand and has appropriate skills to lead the team. The CNM reported that they follow a documented process for accessing appropriate multidisciplinary expertise and advice when required. They have access to residents’ clinical records and diagnostic results. </w:t>
            </w:r>
          </w:p>
          <w:p w14:paraId="0F807BD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education on infection prevention and control through orientation and ongoing annual education. This was verified in staff education records, residents’ progress notes, infection reports seen and in interviews with staff and residents. Residents are health educated on infection prevention and control as individual, groups, and during resident meetings.</w:t>
            </w:r>
          </w:p>
          <w:p w14:paraId="4F1C46FE" w14:textId="77777777" w:rsidR="00000000" w:rsidRPr="00BE00C7" w:rsidRDefault="00000000" w:rsidP="00BE00C7">
            <w:pPr>
              <w:pStyle w:val="OutcomeDescription"/>
              <w:spacing w:before="120" w:after="120"/>
              <w:rPr>
                <w:rFonts w:cs="Arial"/>
                <w:lang w:eastAsia="en-NZ"/>
              </w:rPr>
            </w:pPr>
          </w:p>
        </w:tc>
      </w:tr>
      <w:tr w:rsidR="00246265" w14:paraId="2D50FB74" w14:textId="77777777">
        <w:tc>
          <w:tcPr>
            <w:tcW w:w="0" w:type="auto"/>
          </w:tcPr>
          <w:p w14:paraId="40B1B34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C378B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9DF4166" w14:textId="77777777" w:rsidR="00000000" w:rsidRPr="00BE00C7" w:rsidRDefault="00000000" w:rsidP="00BE00C7">
            <w:pPr>
              <w:pStyle w:val="OutcomeDescription"/>
              <w:spacing w:before="120" w:after="120"/>
              <w:rPr>
                <w:rFonts w:cs="Arial"/>
                <w:lang w:eastAsia="en-NZ"/>
              </w:rPr>
            </w:pPr>
          </w:p>
        </w:tc>
        <w:tc>
          <w:tcPr>
            <w:tcW w:w="0" w:type="auto"/>
          </w:tcPr>
          <w:p w14:paraId="04DCDC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0A54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to the size and complexity of the service and is implemented in line with organisational policy. National surveillance programmes and guidance are applied when required. The data, which includes ethnicity data, is collated, and action plans are implemented. The surveillance methods, tools, documentation, and analysis are described and documented using standardised surveillance definitions. Infection data is collected, monitored, and reviewed monthly. All healthcare-associated infections (HAIs) are monitored by the infection control nurse (ICN). Infection registers are completed for all identified infections, and monthly infection data analysis is undertaken by the ICN to identify trends and implement corrective actions where required.</w:t>
            </w:r>
          </w:p>
          <w:p w14:paraId="2F4FFE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infection surveillance data is reported to the clinical nurse manager and facility manager and communicated to staff through meetings. Surveillance data includes ethnicity information. Infection surveillance data </w:t>
            </w:r>
            <w:r w:rsidRPr="00BE00C7">
              <w:rPr>
                <w:rFonts w:cs="Arial"/>
                <w:lang w:eastAsia="en-NZ"/>
              </w:rPr>
              <w:lastRenderedPageBreak/>
              <w:t>is discussed in senior management meetings monthly. Surveillance reports are sent to the governance body and senior management team on a monthly basis.</w:t>
            </w:r>
          </w:p>
          <w:p w14:paraId="2AE59AD4"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outbreaks of gastroenteritis in April 2025 and November 2025, and Covid-19 in March 2026 reported since the previous audit have been managed effectively and in accordance with organisational policy.</w:t>
            </w:r>
          </w:p>
          <w:p w14:paraId="4571798D" w14:textId="77777777" w:rsidR="00000000" w:rsidRPr="00BE00C7" w:rsidRDefault="00000000" w:rsidP="00BE00C7">
            <w:pPr>
              <w:pStyle w:val="OutcomeDescription"/>
              <w:spacing w:before="120" w:after="120"/>
              <w:rPr>
                <w:rFonts w:cs="Arial"/>
                <w:lang w:eastAsia="en-NZ"/>
              </w:rPr>
            </w:pPr>
          </w:p>
        </w:tc>
      </w:tr>
      <w:tr w:rsidR="00246265" w14:paraId="153A8FA1" w14:textId="77777777">
        <w:tc>
          <w:tcPr>
            <w:tcW w:w="0" w:type="auto"/>
          </w:tcPr>
          <w:p w14:paraId="16CB53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15BB8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6CE0ABD" w14:textId="77777777" w:rsidR="00000000" w:rsidRPr="00BE00C7" w:rsidRDefault="00000000" w:rsidP="00BE00C7">
            <w:pPr>
              <w:pStyle w:val="OutcomeDescription"/>
              <w:spacing w:before="120" w:after="120"/>
              <w:rPr>
                <w:rFonts w:cs="Arial"/>
                <w:lang w:eastAsia="en-NZ"/>
              </w:rPr>
            </w:pPr>
          </w:p>
        </w:tc>
        <w:tc>
          <w:tcPr>
            <w:tcW w:w="0" w:type="auto"/>
          </w:tcPr>
          <w:p w14:paraId="297E9B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2DAD98" w14:textId="77777777" w:rsidR="00000000" w:rsidRPr="00BE00C7" w:rsidRDefault="00000000" w:rsidP="00BE00C7">
            <w:pPr>
              <w:pStyle w:val="OutcomeDescription"/>
              <w:spacing w:before="120" w:after="120"/>
              <w:rPr>
                <w:rFonts w:cs="Arial"/>
                <w:lang w:eastAsia="en-NZ"/>
              </w:rPr>
            </w:pPr>
            <w:r w:rsidRPr="00BE00C7">
              <w:rPr>
                <w:rFonts w:cs="Arial"/>
                <w:lang w:eastAsia="en-NZ"/>
              </w:rPr>
              <w:t>Radius governance body takes a pro-active approach to reduce the use of restraints within all their facilities. Restraints are implemented as a last resort when all available alternatives have been utilised. The restraint approval process is described in the restraint policy and procedures that meet the requirements of Ngā Paerewa and provide guidance on the safe use of restraints. The clinical nurse manager is the restraint coordinator and provides support and oversight for restraint management in the facility. Radius Glaisdale has been restraint-free since December 2024.</w:t>
            </w:r>
          </w:p>
          <w:p w14:paraId="68699149"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for all staff occurs at orientation and annually and records were sighted in staff files. This includes a competency assessment.</w:t>
            </w:r>
          </w:p>
          <w:p w14:paraId="34F77B1B" w14:textId="77777777" w:rsidR="00000000" w:rsidRPr="00BE00C7" w:rsidRDefault="00000000" w:rsidP="00BE00C7">
            <w:pPr>
              <w:pStyle w:val="OutcomeDescription"/>
              <w:spacing w:before="120" w:after="120"/>
              <w:rPr>
                <w:rFonts w:cs="Arial"/>
                <w:lang w:eastAsia="en-NZ"/>
              </w:rPr>
            </w:pPr>
          </w:p>
        </w:tc>
      </w:tr>
    </w:tbl>
    <w:p w14:paraId="02A4DEA5"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9FE1A8A" w14:textId="77777777" w:rsidR="00000000" w:rsidRDefault="00000000">
      <w:pPr>
        <w:pStyle w:val="Heading1"/>
        <w:rPr>
          <w:rFonts w:cs="Arial"/>
        </w:rPr>
      </w:pPr>
      <w:r>
        <w:rPr>
          <w:rFonts w:cs="Arial"/>
        </w:rPr>
        <w:lastRenderedPageBreak/>
        <w:t>Specific results for criterion where corrective actions are required</w:t>
      </w:r>
    </w:p>
    <w:p w14:paraId="744CD542"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29E2D7E"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9441450"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246265" w14:paraId="5889FD94" w14:textId="77777777">
        <w:tc>
          <w:tcPr>
            <w:tcW w:w="0" w:type="auto"/>
          </w:tcPr>
          <w:p w14:paraId="53CC1D3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0D209DB"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4D0F066" w14:textId="77777777" w:rsidR="00000000" w:rsidRDefault="00000000">
      <w:pPr>
        <w:pStyle w:val="Heading1"/>
        <w:rPr>
          <w:rFonts w:cs="Arial"/>
        </w:rPr>
      </w:pPr>
      <w:r>
        <w:rPr>
          <w:rFonts w:cs="Arial"/>
        </w:rPr>
        <w:lastRenderedPageBreak/>
        <w:t>Specific results for criterion where a continuous improvement has been recorded</w:t>
      </w:r>
    </w:p>
    <w:p w14:paraId="6EA34AB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9769AF7"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6239DA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246265" w14:paraId="0CEFD554" w14:textId="77777777">
        <w:tc>
          <w:tcPr>
            <w:tcW w:w="0" w:type="auto"/>
          </w:tcPr>
          <w:p w14:paraId="3F647BD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7D7B26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8E43724"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C2F89" w14:textId="77777777" w:rsidR="00B31BC0" w:rsidRDefault="00B31BC0">
      <w:r>
        <w:separator/>
      </w:r>
    </w:p>
  </w:endnote>
  <w:endnote w:type="continuationSeparator" w:id="0">
    <w:p w14:paraId="6F4EA2F5" w14:textId="77777777" w:rsidR="00B31BC0" w:rsidRDefault="00B3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5EF9" w14:textId="77777777" w:rsidR="00000000" w:rsidRDefault="00000000">
    <w:pPr>
      <w:pStyle w:val="Footer"/>
    </w:pPr>
  </w:p>
  <w:p w14:paraId="24B24283" w14:textId="77777777" w:rsidR="00000000" w:rsidRDefault="00000000"/>
  <w:p w14:paraId="65AE5D1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87C7"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Radius Residential Care Limited - Radius Glaisdale</w:t>
    </w:r>
    <w:bookmarkEnd w:id="59"/>
    <w:r>
      <w:rPr>
        <w:rFonts w:cs="Arial"/>
        <w:sz w:val="16"/>
        <w:szCs w:val="20"/>
      </w:rPr>
      <w:tab/>
      <w:t xml:space="preserve">Date of Audit: </w:t>
    </w:r>
    <w:bookmarkStart w:id="60" w:name="AuditStartDate1"/>
    <w:r>
      <w:rPr>
        <w:rFonts w:cs="Arial"/>
        <w:sz w:val="16"/>
        <w:szCs w:val="20"/>
      </w:rPr>
      <w:t>12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01BA4D9"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396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179C8" w14:textId="77777777" w:rsidR="00B31BC0" w:rsidRDefault="00B31BC0">
      <w:r>
        <w:separator/>
      </w:r>
    </w:p>
  </w:footnote>
  <w:footnote w:type="continuationSeparator" w:id="0">
    <w:p w14:paraId="709CBF30" w14:textId="77777777" w:rsidR="00B31BC0" w:rsidRDefault="00B31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E394" w14:textId="77777777" w:rsidR="00000000" w:rsidRDefault="00000000">
    <w:pPr>
      <w:pStyle w:val="Header"/>
    </w:pPr>
  </w:p>
  <w:p w14:paraId="30CF758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56CE" w14:textId="77777777" w:rsidR="00000000" w:rsidRDefault="00000000">
    <w:pPr>
      <w:pStyle w:val="Header"/>
    </w:pPr>
  </w:p>
  <w:p w14:paraId="73D2E41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833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65BEC866">
      <w:start w:val="1"/>
      <w:numFmt w:val="decimal"/>
      <w:lvlText w:val="%1."/>
      <w:lvlJc w:val="left"/>
      <w:pPr>
        <w:ind w:left="360" w:hanging="360"/>
      </w:pPr>
    </w:lvl>
    <w:lvl w:ilvl="1" w:tplc="9390A972" w:tentative="1">
      <w:start w:val="1"/>
      <w:numFmt w:val="lowerLetter"/>
      <w:lvlText w:val="%2."/>
      <w:lvlJc w:val="left"/>
      <w:pPr>
        <w:ind w:left="1080" w:hanging="360"/>
      </w:pPr>
    </w:lvl>
    <w:lvl w:ilvl="2" w:tplc="F3C221F6" w:tentative="1">
      <w:start w:val="1"/>
      <w:numFmt w:val="lowerRoman"/>
      <w:lvlText w:val="%3."/>
      <w:lvlJc w:val="right"/>
      <w:pPr>
        <w:ind w:left="1800" w:hanging="180"/>
      </w:pPr>
    </w:lvl>
    <w:lvl w:ilvl="3" w:tplc="27BA8314" w:tentative="1">
      <w:start w:val="1"/>
      <w:numFmt w:val="decimal"/>
      <w:lvlText w:val="%4."/>
      <w:lvlJc w:val="left"/>
      <w:pPr>
        <w:ind w:left="2520" w:hanging="360"/>
      </w:pPr>
    </w:lvl>
    <w:lvl w:ilvl="4" w:tplc="1F4AC2C8" w:tentative="1">
      <w:start w:val="1"/>
      <w:numFmt w:val="lowerLetter"/>
      <w:lvlText w:val="%5."/>
      <w:lvlJc w:val="left"/>
      <w:pPr>
        <w:ind w:left="3240" w:hanging="360"/>
      </w:pPr>
    </w:lvl>
    <w:lvl w:ilvl="5" w:tplc="2F74E78E" w:tentative="1">
      <w:start w:val="1"/>
      <w:numFmt w:val="lowerRoman"/>
      <w:lvlText w:val="%6."/>
      <w:lvlJc w:val="right"/>
      <w:pPr>
        <w:ind w:left="3960" w:hanging="180"/>
      </w:pPr>
    </w:lvl>
    <w:lvl w:ilvl="6" w:tplc="BEAA1EF4" w:tentative="1">
      <w:start w:val="1"/>
      <w:numFmt w:val="decimal"/>
      <w:lvlText w:val="%7."/>
      <w:lvlJc w:val="left"/>
      <w:pPr>
        <w:ind w:left="4680" w:hanging="360"/>
      </w:pPr>
    </w:lvl>
    <w:lvl w:ilvl="7" w:tplc="B9D241B8" w:tentative="1">
      <w:start w:val="1"/>
      <w:numFmt w:val="lowerLetter"/>
      <w:lvlText w:val="%8."/>
      <w:lvlJc w:val="left"/>
      <w:pPr>
        <w:ind w:left="5400" w:hanging="360"/>
      </w:pPr>
    </w:lvl>
    <w:lvl w:ilvl="8" w:tplc="A34AE8E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F1A2878">
      <w:start w:val="1"/>
      <w:numFmt w:val="bullet"/>
      <w:lvlText w:val=""/>
      <w:lvlJc w:val="left"/>
      <w:pPr>
        <w:ind w:left="720" w:hanging="360"/>
      </w:pPr>
      <w:rPr>
        <w:rFonts w:ascii="Symbol" w:hAnsi="Symbol" w:hint="default"/>
      </w:rPr>
    </w:lvl>
    <w:lvl w:ilvl="1" w:tplc="DE5C1C12" w:tentative="1">
      <w:start w:val="1"/>
      <w:numFmt w:val="bullet"/>
      <w:lvlText w:val="o"/>
      <w:lvlJc w:val="left"/>
      <w:pPr>
        <w:ind w:left="1440" w:hanging="360"/>
      </w:pPr>
      <w:rPr>
        <w:rFonts w:ascii="Courier New" w:hAnsi="Courier New" w:cs="Courier New" w:hint="default"/>
      </w:rPr>
    </w:lvl>
    <w:lvl w:ilvl="2" w:tplc="6906A7D2" w:tentative="1">
      <w:start w:val="1"/>
      <w:numFmt w:val="bullet"/>
      <w:lvlText w:val=""/>
      <w:lvlJc w:val="left"/>
      <w:pPr>
        <w:ind w:left="2160" w:hanging="360"/>
      </w:pPr>
      <w:rPr>
        <w:rFonts w:ascii="Wingdings" w:hAnsi="Wingdings" w:hint="default"/>
      </w:rPr>
    </w:lvl>
    <w:lvl w:ilvl="3" w:tplc="991E9F96" w:tentative="1">
      <w:start w:val="1"/>
      <w:numFmt w:val="bullet"/>
      <w:lvlText w:val=""/>
      <w:lvlJc w:val="left"/>
      <w:pPr>
        <w:ind w:left="2880" w:hanging="360"/>
      </w:pPr>
      <w:rPr>
        <w:rFonts w:ascii="Symbol" w:hAnsi="Symbol" w:hint="default"/>
      </w:rPr>
    </w:lvl>
    <w:lvl w:ilvl="4" w:tplc="E62EFF9A" w:tentative="1">
      <w:start w:val="1"/>
      <w:numFmt w:val="bullet"/>
      <w:lvlText w:val="o"/>
      <w:lvlJc w:val="left"/>
      <w:pPr>
        <w:ind w:left="3600" w:hanging="360"/>
      </w:pPr>
      <w:rPr>
        <w:rFonts w:ascii="Courier New" w:hAnsi="Courier New" w:cs="Courier New" w:hint="default"/>
      </w:rPr>
    </w:lvl>
    <w:lvl w:ilvl="5" w:tplc="857C7A4C" w:tentative="1">
      <w:start w:val="1"/>
      <w:numFmt w:val="bullet"/>
      <w:lvlText w:val=""/>
      <w:lvlJc w:val="left"/>
      <w:pPr>
        <w:ind w:left="4320" w:hanging="360"/>
      </w:pPr>
      <w:rPr>
        <w:rFonts w:ascii="Wingdings" w:hAnsi="Wingdings" w:hint="default"/>
      </w:rPr>
    </w:lvl>
    <w:lvl w:ilvl="6" w:tplc="2ECEFB90" w:tentative="1">
      <w:start w:val="1"/>
      <w:numFmt w:val="bullet"/>
      <w:lvlText w:val=""/>
      <w:lvlJc w:val="left"/>
      <w:pPr>
        <w:ind w:left="5040" w:hanging="360"/>
      </w:pPr>
      <w:rPr>
        <w:rFonts w:ascii="Symbol" w:hAnsi="Symbol" w:hint="default"/>
      </w:rPr>
    </w:lvl>
    <w:lvl w:ilvl="7" w:tplc="8334F19E" w:tentative="1">
      <w:start w:val="1"/>
      <w:numFmt w:val="bullet"/>
      <w:lvlText w:val="o"/>
      <w:lvlJc w:val="left"/>
      <w:pPr>
        <w:ind w:left="5760" w:hanging="360"/>
      </w:pPr>
      <w:rPr>
        <w:rFonts w:ascii="Courier New" w:hAnsi="Courier New" w:cs="Courier New" w:hint="default"/>
      </w:rPr>
    </w:lvl>
    <w:lvl w:ilvl="8" w:tplc="C44AD61C" w:tentative="1">
      <w:start w:val="1"/>
      <w:numFmt w:val="bullet"/>
      <w:lvlText w:val=""/>
      <w:lvlJc w:val="left"/>
      <w:pPr>
        <w:ind w:left="6480" w:hanging="360"/>
      </w:pPr>
      <w:rPr>
        <w:rFonts w:ascii="Wingdings" w:hAnsi="Wingdings" w:hint="default"/>
      </w:rPr>
    </w:lvl>
  </w:abstractNum>
  <w:num w:numId="1" w16cid:durableId="268856626">
    <w:abstractNumId w:val="1"/>
  </w:num>
  <w:num w:numId="2" w16cid:durableId="189060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6265"/>
    <w:rsid w:val="00246265"/>
    <w:rsid w:val="00365D32"/>
    <w:rsid w:val="003C258B"/>
    <w:rsid w:val="00B31B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9A23"/>
  <w15:docId w15:val="{FB650BF0-98DE-467D-98D7-9C5DB79A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7685</Words>
  <Characters>43809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2026-05-11T04:51:00Z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