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C97D" w14:textId="77777777" w:rsidR="00000000" w:rsidRDefault="00000000">
      <w:pPr>
        <w:pStyle w:val="Heading1"/>
        <w:rPr>
          <w:rFonts w:cs="Arial"/>
        </w:rPr>
      </w:pPr>
      <w:bookmarkStart w:id="0" w:name="PRMS_RIName"/>
      <w:r>
        <w:rPr>
          <w:rFonts w:cs="Arial"/>
        </w:rPr>
        <w:t>Radius Residential Care Limited - Radius Windsor Court Rest Home</w:t>
      </w:r>
      <w:bookmarkEnd w:id="0"/>
    </w:p>
    <w:p w14:paraId="1C36AA70" w14:textId="77777777" w:rsidR="00000000" w:rsidRDefault="00000000">
      <w:pPr>
        <w:pStyle w:val="Heading2"/>
        <w:spacing w:after="0"/>
        <w:rPr>
          <w:rFonts w:cs="Arial"/>
        </w:rPr>
      </w:pPr>
      <w:r>
        <w:rPr>
          <w:rFonts w:cs="Arial"/>
        </w:rPr>
        <w:t>Introduction</w:t>
      </w:r>
    </w:p>
    <w:p w14:paraId="78353EF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DBE418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6E3EAB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0B0948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13E9FF0" w14:textId="77777777" w:rsidR="00000000" w:rsidRDefault="00000000">
      <w:pPr>
        <w:spacing w:before="240" w:after="240"/>
        <w:rPr>
          <w:rFonts w:cs="Arial"/>
          <w:lang w:eastAsia="en-NZ"/>
        </w:rPr>
      </w:pPr>
      <w:r>
        <w:rPr>
          <w:rFonts w:cs="Arial"/>
          <w:lang w:eastAsia="en-NZ"/>
        </w:rPr>
        <w:t>The specifics of this audit included:</w:t>
      </w:r>
    </w:p>
    <w:p w14:paraId="4A8A8A1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FDF536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758FEDE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Windsor Court Rest Home</w:t>
      </w:r>
      <w:bookmarkEnd w:id="5"/>
    </w:p>
    <w:p w14:paraId="2DA6ECC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7D615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March 2026</w:t>
      </w:r>
      <w:bookmarkEnd w:id="7"/>
      <w:r w:rsidRPr="009418D4">
        <w:rPr>
          <w:rFonts w:cs="Arial"/>
        </w:rPr>
        <w:tab/>
        <w:t xml:space="preserve">End date: </w:t>
      </w:r>
      <w:bookmarkStart w:id="8" w:name="AuditEndDate"/>
      <w:r>
        <w:rPr>
          <w:rFonts w:cs="Arial"/>
        </w:rPr>
        <w:t>2 March 2026</w:t>
      </w:r>
      <w:bookmarkEnd w:id="8"/>
    </w:p>
    <w:p w14:paraId="6B0040C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3C2C26E" w14:textId="77777777" w:rsidR="009868B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76</w:t>
      </w:r>
      <w:bookmarkEnd w:id="10"/>
    </w:p>
    <w:p w14:paraId="61A9B43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673ECBD" w14:textId="77777777" w:rsidR="00000000" w:rsidRDefault="00000000">
      <w:pPr>
        <w:pStyle w:val="Heading1"/>
        <w:rPr>
          <w:rFonts w:cs="Arial"/>
        </w:rPr>
      </w:pPr>
      <w:r>
        <w:rPr>
          <w:rFonts w:cs="Arial"/>
        </w:rPr>
        <w:lastRenderedPageBreak/>
        <w:t>Executive summary of the audit</w:t>
      </w:r>
    </w:p>
    <w:p w14:paraId="684DD611" w14:textId="77777777" w:rsidR="00000000" w:rsidRDefault="00000000">
      <w:pPr>
        <w:pStyle w:val="Heading2"/>
        <w:rPr>
          <w:rFonts w:cs="Arial"/>
        </w:rPr>
      </w:pPr>
      <w:r>
        <w:rPr>
          <w:rFonts w:cs="Arial"/>
        </w:rPr>
        <w:t>Introduction</w:t>
      </w:r>
    </w:p>
    <w:p w14:paraId="0D1A27F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F7CD84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381B43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1EBAA6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8F5E88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CE616C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20394D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E712AA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67E5E3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868B8" w14:paraId="513509A9" w14:textId="77777777">
        <w:trPr>
          <w:cantSplit/>
          <w:tblHeader/>
        </w:trPr>
        <w:tc>
          <w:tcPr>
            <w:tcW w:w="1260" w:type="dxa"/>
            <w:tcBorders>
              <w:bottom w:val="single" w:sz="4" w:space="0" w:color="000000"/>
            </w:tcBorders>
            <w:vAlign w:val="center"/>
          </w:tcPr>
          <w:p w14:paraId="78F19FD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88D49C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F5529E6" w14:textId="77777777" w:rsidR="00000000" w:rsidRDefault="00000000">
            <w:pPr>
              <w:spacing w:before="60" w:after="60"/>
              <w:rPr>
                <w:rFonts w:eastAsia="Calibri"/>
                <w:b/>
                <w:szCs w:val="24"/>
              </w:rPr>
            </w:pPr>
            <w:r>
              <w:rPr>
                <w:rFonts w:eastAsia="Calibri"/>
                <w:b/>
                <w:szCs w:val="24"/>
              </w:rPr>
              <w:t>Definition</w:t>
            </w:r>
          </w:p>
        </w:tc>
      </w:tr>
      <w:tr w:rsidR="009868B8" w14:paraId="57B21ADD" w14:textId="77777777">
        <w:trPr>
          <w:cantSplit/>
          <w:trHeight w:val="964"/>
        </w:trPr>
        <w:tc>
          <w:tcPr>
            <w:tcW w:w="1260" w:type="dxa"/>
            <w:tcBorders>
              <w:bottom w:val="single" w:sz="4" w:space="0" w:color="000000"/>
            </w:tcBorders>
            <w:shd w:val="clear" w:color="0066FF" w:fill="0000FF"/>
            <w:vAlign w:val="center"/>
          </w:tcPr>
          <w:p w14:paraId="7AC07F91"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45EAE27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5EFE2A8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868B8" w14:paraId="39E04CA4" w14:textId="77777777">
        <w:trPr>
          <w:cantSplit/>
          <w:trHeight w:val="964"/>
        </w:trPr>
        <w:tc>
          <w:tcPr>
            <w:tcW w:w="1260" w:type="dxa"/>
            <w:shd w:val="clear" w:color="33CC33" w:fill="00FF00"/>
            <w:vAlign w:val="center"/>
          </w:tcPr>
          <w:p w14:paraId="66BD755D" w14:textId="77777777" w:rsidR="00000000" w:rsidRDefault="00000000">
            <w:pPr>
              <w:spacing w:before="60" w:after="60"/>
              <w:rPr>
                <w:rFonts w:eastAsia="Calibri"/>
                <w:szCs w:val="24"/>
              </w:rPr>
            </w:pPr>
          </w:p>
        </w:tc>
        <w:tc>
          <w:tcPr>
            <w:tcW w:w="7095" w:type="dxa"/>
            <w:vAlign w:val="center"/>
          </w:tcPr>
          <w:p w14:paraId="0D4C4BE7"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43088B9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868B8" w14:paraId="6669147F" w14:textId="77777777">
        <w:trPr>
          <w:cantSplit/>
          <w:trHeight w:val="964"/>
        </w:trPr>
        <w:tc>
          <w:tcPr>
            <w:tcW w:w="1260" w:type="dxa"/>
            <w:tcBorders>
              <w:bottom w:val="single" w:sz="4" w:space="0" w:color="000000"/>
            </w:tcBorders>
            <w:shd w:val="clear" w:color="auto" w:fill="FFFF00"/>
            <w:vAlign w:val="center"/>
          </w:tcPr>
          <w:p w14:paraId="6CE9042B" w14:textId="77777777" w:rsidR="00000000" w:rsidRDefault="00000000">
            <w:pPr>
              <w:spacing w:before="60" w:after="60"/>
              <w:rPr>
                <w:rFonts w:eastAsia="Calibri"/>
                <w:szCs w:val="24"/>
              </w:rPr>
            </w:pPr>
          </w:p>
        </w:tc>
        <w:tc>
          <w:tcPr>
            <w:tcW w:w="7095" w:type="dxa"/>
            <w:vAlign w:val="center"/>
          </w:tcPr>
          <w:p w14:paraId="4251E89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5B54FC8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868B8" w14:paraId="052CAF92" w14:textId="77777777">
        <w:trPr>
          <w:cantSplit/>
          <w:trHeight w:val="964"/>
        </w:trPr>
        <w:tc>
          <w:tcPr>
            <w:tcW w:w="1260" w:type="dxa"/>
            <w:tcBorders>
              <w:bottom w:val="single" w:sz="4" w:space="0" w:color="000000"/>
            </w:tcBorders>
            <w:shd w:val="clear" w:color="auto" w:fill="FFC800"/>
            <w:vAlign w:val="center"/>
          </w:tcPr>
          <w:p w14:paraId="68442839"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9C7F59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272658E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868B8" w14:paraId="4215B49B" w14:textId="77777777">
        <w:trPr>
          <w:cantSplit/>
          <w:trHeight w:val="964"/>
        </w:trPr>
        <w:tc>
          <w:tcPr>
            <w:tcW w:w="1260" w:type="dxa"/>
            <w:shd w:val="clear" w:color="auto" w:fill="FF0000"/>
            <w:vAlign w:val="center"/>
          </w:tcPr>
          <w:p w14:paraId="1E5822DF" w14:textId="77777777" w:rsidR="00000000" w:rsidRDefault="00000000">
            <w:pPr>
              <w:spacing w:before="60" w:after="60"/>
              <w:rPr>
                <w:rFonts w:eastAsia="Calibri"/>
                <w:szCs w:val="24"/>
              </w:rPr>
            </w:pPr>
          </w:p>
        </w:tc>
        <w:tc>
          <w:tcPr>
            <w:tcW w:w="7095" w:type="dxa"/>
            <w:vAlign w:val="center"/>
          </w:tcPr>
          <w:p w14:paraId="363E8CA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8A6624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5BE8496" w14:textId="77777777" w:rsidR="00000000" w:rsidRDefault="00000000">
      <w:pPr>
        <w:pStyle w:val="Heading2"/>
        <w:spacing w:after="0"/>
        <w:rPr>
          <w:rFonts w:cs="Arial"/>
        </w:rPr>
      </w:pPr>
      <w:r>
        <w:rPr>
          <w:rFonts w:cs="Arial"/>
        </w:rPr>
        <w:t>General overview of the audit</w:t>
      </w:r>
    </w:p>
    <w:p w14:paraId="08F14603" w14:textId="77777777" w:rsidR="00000000" w:rsidRDefault="00000000">
      <w:pPr>
        <w:spacing w:before="240" w:line="276" w:lineRule="auto"/>
        <w:rPr>
          <w:rFonts w:eastAsia="Calibri"/>
        </w:rPr>
      </w:pPr>
      <w:bookmarkStart w:id="13" w:name="GeneralOverview"/>
      <w:r w:rsidRPr="00A4268A">
        <w:rPr>
          <w:rFonts w:eastAsia="Calibri"/>
        </w:rPr>
        <w:t xml:space="preserve">Radius Residential Care Limited - Radius Windsor Court Rest Home is owned and operated by Radius Residential Care Limited. The service provides hospital (medical and geriatric), rest home, and dementia levels of care for up to 76 residents. On the day of the audit, there were 76 residents. </w:t>
      </w:r>
    </w:p>
    <w:p w14:paraId="2B179A90" w14:textId="77777777" w:rsidR="009868B8" w:rsidRPr="00A4268A" w:rsidRDefault="00000000">
      <w:pPr>
        <w:spacing w:before="240" w:line="276" w:lineRule="auto"/>
        <w:rPr>
          <w:rFonts w:eastAsia="Calibri"/>
        </w:rPr>
      </w:pPr>
      <w:r w:rsidRPr="00A4268A">
        <w:rPr>
          <w:rFonts w:eastAsia="Calibri"/>
        </w:rPr>
        <w:t>The service is governed by a Board of Directors. The chief executive officer and the senior leadership team provide executive oversight. Operational management is delivered through the regional manager, facility manager, and clinical nurse manager. Registered nurses and care staff support the management team to deliver day-to-day service provision.</w:t>
      </w:r>
    </w:p>
    <w:p w14:paraId="43914600" w14:textId="77777777" w:rsidR="009868B8" w:rsidRPr="00A4268A" w:rsidRDefault="00000000">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staff, management, and the nurse practitioner.</w:t>
      </w:r>
    </w:p>
    <w:p w14:paraId="373756FA" w14:textId="77777777" w:rsidR="009868B8" w:rsidRPr="00A4268A" w:rsidRDefault="00000000">
      <w:pPr>
        <w:spacing w:before="240" w:line="276" w:lineRule="auto"/>
        <w:rPr>
          <w:rFonts w:eastAsia="Calibri"/>
        </w:rPr>
      </w:pPr>
      <w:r w:rsidRPr="00A4268A">
        <w:rPr>
          <w:rFonts w:eastAsia="Calibri"/>
        </w:rPr>
        <w:t xml:space="preserve">There were no shortfalls identified at the previous audit. </w:t>
      </w:r>
    </w:p>
    <w:p w14:paraId="61107AA7" w14:textId="77777777" w:rsidR="009868B8"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503E3D99" w14:textId="77777777" w:rsidR="009868B8" w:rsidRPr="00A4268A" w:rsidRDefault="009868B8">
      <w:pPr>
        <w:spacing w:before="240" w:line="276" w:lineRule="auto"/>
        <w:rPr>
          <w:rFonts w:eastAsia="Calibri"/>
        </w:rPr>
      </w:pPr>
    </w:p>
    <w:p w14:paraId="7ECDE3C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68B8" w14:paraId="0BC4FE02" w14:textId="77777777" w:rsidTr="00A4268A">
        <w:trPr>
          <w:cantSplit/>
        </w:trPr>
        <w:tc>
          <w:tcPr>
            <w:tcW w:w="10206" w:type="dxa"/>
            <w:vAlign w:val="center"/>
          </w:tcPr>
          <w:p w14:paraId="3BA766C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01E263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FAD3B5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3C9476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F514036" w14:textId="77777777" w:rsidR="00000000" w:rsidRDefault="00000000">
      <w:pPr>
        <w:spacing w:before="240" w:line="276" w:lineRule="auto"/>
        <w:rPr>
          <w:rFonts w:eastAsia="Calibri"/>
        </w:rPr>
      </w:pPr>
      <w:bookmarkStart w:id="16" w:name="ConsumerRights"/>
      <w:r w:rsidRPr="00A4268A">
        <w:rPr>
          <w:rFonts w:eastAsia="Calibri"/>
        </w:rPr>
        <w:t xml:space="preserve">Radius Residential Care Limited - Radius Windsor Court Rest Home provide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A Pacific health plan is in place. </w:t>
      </w:r>
    </w:p>
    <w:p w14:paraId="0B1914E9" w14:textId="77777777" w:rsidR="009868B8"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5C43F873" w14:textId="77777777" w:rsidR="009868B8"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369F2A65" w14:textId="77777777" w:rsidR="009868B8" w:rsidRPr="00A4268A" w:rsidRDefault="009868B8">
      <w:pPr>
        <w:spacing w:before="240" w:line="276" w:lineRule="auto"/>
        <w:rPr>
          <w:rFonts w:eastAsia="Calibri"/>
        </w:rPr>
      </w:pPr>
    </w:p>
    <w:p w14:paraId="132A3DA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68B8" w14:paraId="4A6FFB4D" w14:textId="77777777" w:rsidTr="00A4268A">
        <w:trPr>
          <w:cantSplit/>
        </w:trPr>
        <w:tc>
          <w:tcPr>
            <w:tcW w:w="10206" w:type="dxa"/>
            <w:vAlign w:val="center"/>
          </w:tcPr>
          <w:p w14:paraId="568B3AA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65516F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95EF1D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508961C"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organisation’s quality and risk management systems are focused on quality service provision and care. The business plan includes a mission statement and outlines current objectives. There are quality and risk management processes that take a risk-based approach. Policies and procedures are current. </w:t>
      </w:r>
    </w:p>
    <w:p w14:paraId="7573818B" w14:textId="77777777" w:rsidR="009868B8" w:rsidRPr="00A4268A" w:rsidRDefault="00000000">
      <w:pPr>
        <w:spacing w:before="240" w:line="276" w:lineRule="auto"/>
        <w:rPr>
          <w:rFonts w:eastAsia="Calibri"/>
        </w:rPr>
      </w:pPr>
      <w:r w:rsidRPr="00A4268A">
        <w:rPr>
          <w:rFonts w:eastAsia="Calibri"/>
        </w:rPr>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Health New Zealand.</w:t>
      </w:r>
    </w:p>
    <w:p w14:paraId="6B3D9560" w14:textId="77777777" w:rsidR="009868B8" w:rsidRPr="00A4268A" w:rsidRDefault="00000000">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349862A9" w14:textId="77777777" w:rsidR="009868B8" w:rsidRPr="00A4268A" w:rsidRDefault="009868B8">
      <w:pPr>
        <w:spacing w:before="240" w:line="276" w:lineRule="auto"/>
        <w:rPr>
          <w:rFonts w:eastAsia="Calibri"/>
        </w:rPr>
      </w:pPr>
    </w:p>
    <w:p w14:paraId="550DBEB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68B8" w14:paraId="4D9D329E" w14:textId="77777777" w:rsidTr="00A4268A">
        <w:trPr>
          <w:cantSplit/>
        </w:trPr>
        <w:tc>
          <w:tcPr>
            <w:tcW w:w="10206" w:type="dxa"/>
            <w:vAlign w:val="center"/>
          </w:tcPr>
          <w:p w14:paraId="0B59693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0261F7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19148A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2ABBA9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assess residents on admission. An interim care plan guides care and service provision during the first three weeks after the resident’s admission. InterRAI assessments are used to identify residents’ needs, and long-term care plans are developed and implemented. The general or nurse practitioner completes a medical assessment on admission and reviews occur thereafter on a regular basis. Residents’ files reviewed demonstrated evaluations are completed at least six-monthly. </w:t>
      </w:r>
    </w:p>
    <w:p w14:paraId="312292AB" w14:textId="77777777" w:rsidR="009868B8"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1661731B" w14:textId="77777777" w:rsidR="009868B8" w:rsidRPr="00A4268A" w:rsidRDefault="00000000" w:rsidP="00621629">
      <w:pPr>
        <w:spacing w:before="240" w:line="276" w:lineRule="auto"/>
        <w:rPr>
          <w:rFonts w:eastAsia="Calibri"/>
        </w:rPr>
      </w:pPr>
      <w:r w:rsidRPr="00A4268A">
        <w:rPr>
          <w:rFonts w:eastAsia="Calibri"/>
        </w:rPr>
        <w:t xml:space="preserve">The food service meets the nutritional needs of the residents. Dietary preferences, intolerances, allergies, and cultural needs are catered for. The service has a current food control plan. </w:t>
      </w:r>
    </w:p>
    <w:p w14:paraId="33898323" w14:textId="77777777" w:rsidR="009868B8" w:rsidRPr="00A4268A" w:rsidRDefault="00000000" w:rsidP="00621629">
      <w:pPr>
        <w:spacing w:before="240" w:line="276" w:lineRule="auto"/>
        <w:rPr>
          <w:rFonts w:eastAsia="Calibri"/>
        </w:rPr>
      </w:pPr>
      <w:r w:rsidRPr="00A4268A">
        <w:rPr>
          <w:rFonts w:eastAsia="Calibri"/>
        </w:rPr>
        <w:lastRenderedPageBreak/>
        <w:t>Transition, exit, discharge, or transfer is managed in a planned and coordinated manner.</w:t>
      </w:r>
    </w:p>
    <w:bookmarkEnd w:id="22"/>
    <w:p w14:paraId="3D78B5A0" w14:textId="77777777" w:rsidR="009868B8" w:rsidRPr="00A4268A" w:rsidRDefault="009868B8" w:rsidP="00621629">
      <w:pPr>
        <w:spacing w:before="240" w:line="276" w:lineRule="auto"/>
        <w:rPr>
          <w:rFonts w:eastAsia="Calibri"/>
        </w:rPr>
      </w:pPr>
    </w:p>
    <w:p w14:paraId="5ADC81C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68B8" w14:paraId="2FE1EEE3" w14:textId="77777777" w:rsidTr="00A4268A">
        <w:trPr>
          <w:cantSplit/>
        </w:trPr>
        <w:tc>
          <w:tcPr>
            <w:tcW w:w="10206" w:type="dxa"/>
            <w:vAlign w:val="center"/>
          </w:tcPr>
          <w:p w14:paraId="586BBA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7DEF9C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021E88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99659A1"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Clinical and electrical equipment are checked for safety. Residents personalise their rooms according to their preferences. There are spaces for residents to carry out cultural practices.</w:t>
      </w:r>
    </w:p>
    <w:bookmarkEnd w:id="25"/>
    <w:p w14:paraId="67F92B36" w14:textId="77777777" w:rsidR="009868B8" w:rsidRPr="00A4268A" w:rsidRDefault="009868B8">
      <w:pPr>
        <w:spacing w:before="240" w:line="276" w:lineRule="auto"/>
        <w:rPr>
          <w:rFonts w:eastAsia="Calibri"/>
        </w:rPr>
      </w:pPr>
    </w:p>
    <w:p w14:paraId="5CFB998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68B8" w14:paraId="23FA1CDE" w14:textId="77777777" w:rsidTr="00A4268A">
        <w:trPr>
          <w:cantSplit/>
        </w:trPr>
        <w:tc>
          <w:tcPr>
            <w:tcW w:w="10206" w:type="dxa"/>
            <w:vAlign w:val="center"/>
          </w:tcPr>
          <w:p w14:paraId="3B3D7A8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092668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B735E6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D323D00"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control programme is appropriate to the size and complexity of the service and has been developed by personnel with infection prevention expertise. The programme is aligned with the quality improvement programme and has been approved by the governance body. It is led by a suitably qualified infection control nurse and is reviewed annually to ensure it remains current and effective.</w:t>
      </w:r>
    </w:p>
    <w:p w14:paraId="1B5B065D" w14:textId="77777777" w:rsidR="009868B8" w:rsidRPr="00A4268A" w:rsidRDefault="00000000">
      <w:pPr>
        <w:spacing w:before="240" w:line="276" w:lineRule="auto"/>
        <w:rPr>
          <w:rFonts w:eastAsia="Calibri"/>
        </w:rPr>
      </w:pPr>
      <w:r w:rsidRPr="00A4268A">
        <w:rPr>
          <w:rFonts w:eastAsia="Calibri"/>
        </w:rPr>
        <w:lastRenderedPageBreak/>
        <w:t>Staff demonstrated an understanding of infection prevention and control principles and practices, which are guided by current policies and reinforced through ongoing education and training. Infection prevention education is included in staff orientation and provided annually thereafter.</w:t>
      </w:r>
    </w:p>
    <w:p w14:paraId="0E0FDDB4" w14:textId="77777777" w:rsidR="009868B8" w:rsidRPr="00A4268A" w:rsidRDefault="00000000">
      <w:pPr>
        <w:spacing w:before="240" w:line="276" w:lineRule="auto"/>
        <w:rPr>
          <w:rFonts w:eastAsia="Calibri"/>
        </w:rPr>
      </w:pPr>
      <w:r w:rsidRPr="00A4268A">
        <w:rPr>
          <w:rFonts w:eastAsia="Calibri"/>
        </w:rPr>
        <w:t>Surveillance of healthcare-associated infections is undertaken, with results communicated to staff. Follow-up actions are implemented when indicated. An Infection outbreak since the previous audit has been managed effectively and in accordance with organisational policy.</w:t>
      </w:r>
    </w:p>
    <w:bookmarkEnd w:id="28"/>
    <w:p w14:paraId="11B8F38C" w14:textId="77777777" w:rsidR="009868B8" w:rsidRPr="00A4268A" w:rsidRDefault="009868B8">
      <w:pPr>
        <w:spacing w:before="240" w:line="276" w:lineRule="auto"/>
        <w:rPr>
          <w:rFonts w:eastAsia="Calibri"/>
        </w:rPr>
      </w:pPr>
    </w:p>
    <w:p w14:paraId="7F63FB5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68B8" w14:paraId="2D355536" w14:textId="77777777" w:rsidTr="00A4268A">
        <w:trPr>
          <w:cantSplit/>
        </w:trPr>
        <w:tc>
          <w:tcPr>
            <w:tcW w:w="10206" w:type="dxa"/>
            <w:vAlign w:val="center"/>
          </w:tcPr>
          <w:p w14:paraId="39ADAB9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9BC2C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08D063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212C68A" w14:textId="77777777" w:rsidR="00000000" w:rsidRDefault="00000000">
      <w:pPr>
        <w:spacing w:before="240" w:line="276" w:lineRule="auto"/>
        <w:rPr>
          <w:rFonts w:eastAsia="Calibri"/>
        </w:rPr>
      </w:pPr>
      <w:bookmarkStart w:id="31" w:name="InfectionPreventionAndControl"/>
      <w:r w:rsidRPr="00A4268A">
        <w:rPr>
          <w:rFonts w:eastAsia="Calibri"/>
        </w:rPr>
        <w:t>Radius is committed to reducing the use of restraint. Restraint minimisation and safe practice policies and procedures are in place. Restraint minimisation is overseen by the restraint coordinator (a registered nurse). At the time of the audit, there were three residents using a restraint. Staff receive training during orientation and annually on restraint minimisation and are required to complete annual competencies.</w:t>
      </w:r>
    </w:p>
    <w:bookmarkEnd w:id="31"/>
    <w:p w14:paraId="555798BD" w14:textId="77777777" w:rsidR="009868B8" w:rsidRPr="00A4268A" w:rsidRDefault="009868B8">
      <w:pPr>
        <w:spacing w:before="240" w:line="276" w:lineRule="auto"/>
        <w:rPr>
          <w:rFonts w:eastAsia="Calibri"/>
        </w:rPr>
      </w:pPr>
    </w:p>
    <w:p w14:paraId="1C8B6733" w14:textId="77777777" w:rsidR="00000000" w:rsidRDefault="00000000" w:rsidP="000E6E02">
      <w:pPr>
        <w:pStyle w:val="Heading2"/>
        <w:spacing w:before="0"/>
        <w:rPr>
          <w:rFonts w:cs="Arial"/>
        </w:rPr>
      </w:pPr>
      <w:r>
        <w:rPr>
          <w:rFonts w:cs="Arial"/>
        </w:rPr>
        <w:lastRenderedPageBreak/>
        <w:t>Summary of attainment</w:t>
      </w:r>
    </w:p>
    <w:p w14:paraId="2B02CF8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868B8" w14:paraId="0A125440" w14:textId="77777777">
        <w:tc>
          <w:tcPr>
            <w:tcW w:w="1384" w:type="dxa"/>
            <w:vAlign w:val="center"/>
          </w:tcPr>
          <w:p w14:paraId="25DFD97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7A57967" w14:textId="77777777" w:rsidR="00000000" w:rsidRDefault="00000000">
            <w:pPr>
              <w:keepNext/>
              <w:spacing w:before="60" w:after="60"/>
              <w:jc w:val="center"/>
              <w:rPr>
                <w:rFonts w:cs="Arial"/>
                <w:b/>
                <w:sz w:val="20"/>
                <w:szCs w:val="20"/>
              </w:rPr>
            </w:pPr>
            <w:r>
              <w:rPr>
                <w:rFonts w:cs="Arial"/>
                <w:b/>
                <w:sz w:val="20"/>
                <w:szCs w:val="20"/>
              </w:rPr>
              <w:t>Continuous Improvement</w:t>
            </w:r>
          </w:p>
          <w:p w14:paraId="422F247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5976823" w14:textId="77777777" w:rsidR="00000000" w:rsidRDefault="00000000">
            <w:pPr>
              <w:keepNext/>
              <w:spacing w:before="60" w:after="60"/>
              <w:jc w:val="center"/>
              <w:rPr>
                <w:rFonts w:cs="Arial"/>
                <w:b/>
                <w:sz w:val="20"/>
                <w:szCs w:val="20"/>
              </w:rPr>
            </w:pPr>
            <w:r>
              <w:rPr>
                <w:rFonts w:cs="Arial"/>
                <w:b/>
                <w:sz w:val="20"/>
                <w:szCs w:val="20"/>
              </w:rPr>
              <w:t>Fully Attained</w:t>
            </w:r>
          </w:p>
          <w:p w14:paraId="3C82DE4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3973D2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C1149A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E43284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16D879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1F6494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065D17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D22275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24CDFC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A3253D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7C6A0C4" w14:textId="77777777" w:rsidR="00000000" w:rsidRDefault="00000000">
            <w:pPr>
              <w:keepNext/>
              <w:spacing w:before="60" w:after="60"/>
              <w:jc w:val="center"/>
              <w:rPr>
                <w:rFonts w:cs="Arial"/>
                <w:b/>
                <w:sz w:val="20"/>
                <w:szCs w:val="20"/>
              </w:rPr>
            </w:pPr>
            <w:r>
              <w:rPr>
                <w:rFonts w:cs="Arial"/>
                <w:b/>
                <w:sz w:val="20"/>
                <w:szCs w:val="20"/>
              </w:rPr>
              <w:t>(PA Critical)</w:t>
            </w:r>
          </w:p>
        </w:tc>
      </w:tr>
      <w:tr w:rsidR="009868B8" w14:paraId="10CCF8C7" w14:textId="77777777">
        <w:tc>
          <w:tcPr>
            <w:tcW w:w="1384" w:type="dxa"/>
            <w:vAlign w:val="center"/>
          </w:tcPr>
          <w:p w14:paraId="7C36D4F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E941C8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31683E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1CF75E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EEC281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4C9F0A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2217C9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9B5DC3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868B8" w14:paraId="467E4ADB" w14:textId="77777777">
        <w:tc>
          <w:tcPr>
            <w:tcW w:w="1384" w:type="dxa"/>
            <w:vAlign w:val="center"/>
          </w:tcPr>
          <w:p w14:paraId="2270ADE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7CB646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0D8CC0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818940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1F43FD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242E14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AC8E1B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787240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60A886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868B8" w14:paraId="73E78EA3" w14:textId="77777777">
        <w:tc>
          <w:tcPr>
            <w:tcW w:w="1384" w:type="dxa"/>
            <w:vAlign w:val="center"/>
          </w:tcPr>
          <w:p w14:paraId="0D1EBC6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2E295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8F590E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FC3D54A" w14:textId="77777777" w:rsidR="00000000" w:rsidRDefault="00000000">
            <w:pPr>
              <w:keepNext/>
              <w:spacing w:before="60" w:after="60"/>
              <w:jc w:val="center"/>
              <w:rPr>
                <w:rFonts w:cs="Arial"/>
                <w:b/>
                <w:sz w:val="20"/>
                <w:szCs w:val="20"/>
              </w:rPr>
            </w:pPr>
            <w:r>
              <w:rPr>
                <w:rFonts w:cs="Arial"/>
                <w:b/>
                <w:sz w:val="20"/>
                <w:szCs w:val="20"/>
              </w:rPr>
              <w:t>Unattained Low Risk</w:t>
            </w:r>
          </w:p>
          <w:p w14:paraId="76DA51A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07B1802" w14:textId="77777777" w:rsidR="00000000" w:rsidRDefault="00000000">
            <w:pPr>
              <w:keepNext/>
              <w:spacing w:before="60" w:after="60"/>
              <w:jc w:val="center"/>
              <w:rPr>
                <w:rFonts w:cs="Arial"/>
                <w:b/>
                <w:sz w:val="20"/>
                <w:szCs w:val="20"/>
              </w:rPr>
            </w:pPr>
            <w:r>
              <w:rPr>
                <w:rFonts w:cs="Arial"/>
                <w:b/>
                <w:sz w:val="20"/>
                <w:szCs w:val="20"/>
              </w:rPr>
              <w:t>Unattained Moderate Risk</w:t>
            </w:r>
          </w:p>
          <w:p w14:paraId="7D54E24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C7AEBE2" w14:textId="77777777" w:rsidR="00000000" w:rsidRDefault="00000000">
            <w:pPr>
              <w:keepNext/>
              <w:spacing w:before="60" w:after="60"/>
              <w:jc w:val="center"/>
              <w:rPr>
                <w:rFonts w:cs="Arial"/>
                <w:b/>
                <w:sz w:val="20"/>
                <w:szCs w:val="20"/>
              </w:rPr>
            </w:pPr>
            <w:r>
              <w:rPr>
                <w:rFonts w:cs="Arial"/>
                <w:b/>
                <w:sz w:val="20"/>
                <w:szCs w:val="20"/>
              </w:rPr>
              <w:t>Unattained High Risk</w:t>
            </w:r>
          </w:p>
          <w:p w14:paraId="52B8084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9218691" w14:textId="77777777" w:rsidR="00000000" w:rsidRDefault="00000000">
            <w:pPr>
              <w:keepNext/>
              <w:spacing w:before="60" w:after="60"/>
              <w:jc w:val="center"/>
              <w:rPr>
                <w:rFonts w:cs="Arial"/>
                <w:b/>
                <w:sz w:val="20"/>
                <w:szCs w:val="20"/>
              </w:rPr>
            </w:pPr>
            <w:r>
              <w:rPr>
                <w:rFonts w:cs="Arial"/>
                <w:b/>
                <w:sz w:val="20"/>
                <w:szCs w:val="20"/>
              </w:rPr>
              <w:t>Unattained Critical Risk</w:t>
            </w:r>
          </w:p>
          <w:p w14:paraId="16346A88" w14:textId="77777777" w:rsidR="00000000" w:rsidRDefault="00000000">
            <w:pPr>
              <w:keepNext/>
              <w:spacing w:before="60" w:after="60"/>
              <w:jc w:val="center"/>
              <w:rPr>
                <w:rFonts w:cs="Arial"/>
                <w:b/>
                <w:sz w:val="20"/>
                <w:szCs w:val="20"/>
              </w:rPr>
            </w:pPr>
            <w:r>
              <w:rPr>
                <w:rFonts w:cs="Arial"/>
                <w:b/>
                <w:sz w:val="20"/>
                <w:szCs w:val="20"/>
              </w:rPr>
              <w:t>(UA Critical)</w:t>
            </w:r>
          </w:p>
        </w:tc>
      </w:tr>
      <w:tr w:rsidR="009868B8" w14:paraId="3C5B9ECF" w14:textId="77777777">
        <w:tc>
          <w:tcPr>
            <w:tcW w:w="1384" w:type="dxa"/>
            <w:vAlign w:val="center"/>
          </w:tcPr>
          <w:p w14:paraId="1557FC0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B6B5E5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10F47B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23EE0C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1419C4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D14A71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868B8" w14:paraId="62A8EF7D" w14:textId="77777777">
        <w:tc>
          <w:tcPr>
            <w:tcW w:w="1384" w:type="dxa"/>
            <w:vAlign w:val="center"/>
          </w:tcPr>
          <w:p w14:paraId="21E8498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759DA8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D21F52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AC730F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6AE2C0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2DAE5A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5F8749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79E7B9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5F7E71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268F64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7"/>
        <w:gridCol w:w="1373"/>
        <w:gridCol w:w="6778"/>
      </w:tblGrid>
      <w:tr w:rsidR="009868B8" w14:paraId="4096EEF8" w14:textId="77777777">
        <w:tc>
          <w:tcPr>
            <w:tcW w:w="0" w:type="auto"/>
          </w:tcPr>
          <w:p w14:paraId="5FBDFAD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64C97D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690FF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868B8" w14:paraId="7543A122" w14:textId="77777777">
        <w:tc>
          <w:tcPr>
            <w:tcW w:w="0" w:type="auto"/>
          </w:tcPr>
          <w:p w14:paraId="795A71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DBA065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4932B2E" w14:textId="77777777" w:rsidR="00000000" w:rsidRPr="00BE00C7" w:rsidRDefault="00000000" w:rsidP="00BE00C7">
            <w:pPr>
              <w:pStyle w:val="OutcomeDescription"/>
              <w:spacing w:before="120" w:after="120"/>
              <w:rPr>
                <w:rFonts w:cs="Arial"/>
                <w:lang w:eastAsia="en-NZ"/>
              </w:rPr>
            </w:pPr>
          </w:p>
        </w:tc>
        <w:tc>
          <w:tcPr>
            <w:tcW w:w="0" w:type="auto"/>
          </w:tcPr>
          <w:p w14:paraId="1CEC2D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A6AE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service has residents who identify as Māori. Radius Windsor Court Rest Home is committed to integrating equality and diversity and upholding a culture that actively values difference. A National Cultural Committee is in place and meets three monthly with a standing agenda in place. Collecting ethnicity data for residents and staff is a priority. </w:t>
            </w:r>
          </w:p>
          <w:p w14:paraId="34789D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developed policies, procedures, and processes to embed and enact Te Tiriti o Waitangi in all aspects of its work. The managers reported that there were residents and staff who identified as Māori. </w:t>
            </w:r>
          </w:p>
          <w:p w14:paraId="1234A632"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and interviews with the management that include the facility manager (FM), regional manager (RM), office manager (OM); and staff that included three registered nurses, five health care assistants (HCAs), one housekeeper and a chef, confirmed that the service delivers a service that is focused on the health, well-being, and cultural needs of its residents.</w:t>
            </w:r>
          </w:p>
          <w:p w14:paraId="08D883C4" w14:textId="77777777" w:rsidR="00000000" w:rsidRPr="00BE00C7" w:rsidRDefault="00000000" w:rsidP="00BE00C7">
            <w:pPr>
              <w:pStyle w:val="OutcomeDescription"/>
              <w:spacing w:before="120" w:after="120"/>
              <w:rPr>
                <w:rFonts w:cs="Arial"/>
                <w:lang w:eastAsia="en-NZ"/>
              </w:rPr>
            </w:pPr>
          </w:p>
        </w:tc>
      </w:tr>
      <w:tr w:rsidR="009868B8" w14:paraId="7AE2F5E6" w14:textId="77777777">
        <w:tc>
          <w:tcPr>
            <w:tcW w:w="0" w:type="auto"/>
          </w:tcPr>
          <w:p w14:paraId="3E8998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FB114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77DC4E3" w14:textId="77777777" w:rsidR="00000000" w:rsidRPr="00BE00C7" w:rsidRDefault="00000000" w:rsidP="00BE00C7">
            <w:pPr>
              <w:pStyle w:val="OutcomeDescription"/>
              <w:spacing w:before="120" w:after="120"/>
              <w:rPr>
                <w:rFonts w:cs="Arial"/>
                <w:lang w:eastAsia="en-NZ"/>
              </w:rPr>
            </w:pPr>
          </w:p>
        </w:tc>
        <w:tc>
          <w:tcPr>
            <w:tcW w:w="0" w:type="auto"/>
          </w:tcPr>
          <w:p w14:paraId="7EF6EF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5607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is the basis of the Radius Pacific Health Plan. The aim is to uphold the principles of Pacific people by acknowledging respectful relationships, valuing families, and providing high-quality healthcare.</w:t>
            </w:r>
          </w:p>
          <w:p w14:paraId="197468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had no residents and some staff who identified as Pasifika. The staff interviewed highlighted the importance of understanding and supporting each other’s culture.</w:t>
            </w:r>
          </w:p>
          <w:p w14:paraId="21DEC973" w14:textId="77777777" w:rsidR="00000000" w:rsidRPr="00BE00C7" w:rsidRDefault="00000000" w:rsidP="00BE00C7">
            <w:pPr>
              <w:pStyle w:val="OutcomeDescription"/>
              <w:spacing w:before="120" w:after="120"/>
              <w:rPr>
                <w:rFonts w:cs="Arial"/>
                <w:lang w:eastAsia="en-NZ"/>
              </w:rPr>
            </w:pPr>
          </w:p>
        </w:tc>
      </w:tr>
      <w:tr w:rsidR="009868B8" w14:paraId="7B67F969" w14:textId="77777777">
        <w:tc>
          <w:tcPr>
            <w:tcW w:w="0" w:type="auto"/>
          </w:tcPr>
          <w:p w14:paraId="7000707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BE66A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190AD68" w14:textId="77777777" w:rsidR="00000000" w:rsidRPr="00BE00C7" w:rsidRDefault="00000000" w:rsidP="00BE00C7">
            <w:pPr>
              <w:pStyle w:val="OutcomeDescription"/>
              <w:spacing w:before="120" w:after="120"/>
              <w:rPr>
                <w:rFonts w:cs="Arial"/>
                <w:lang w:eastAsia="en-NZ"/>
              </w:rPr>
            </w:pPr>
          </w:p>
        </w:tc>
        <w:tc>
          <w:tcPr>
            <w:tcW w:w="0" w:type="auto"/>
          </w:tcPr>
          <w:p w14:paraId="165940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15FB0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at the service understood the requirements of the Health and Disability Commissioner’s (HDC) Code of Health and Disability Services Consumers Rights (the Code) and were observed supporting residents to follow their wishes. Eight family/whānau (five hospital, one rest home, and two dementia), and four residents including (two rest home and two hospital) reported being made aware of the Code and the Nationwide Health and Disability Advocacy Service (Advocacy Service) and confirmed they were provided with opportunities to discuss and clarify their rights.</w:t>
            </w:r>
          </w:p>
          <w:p w14:paraId="5B4B8631" w14:textId="77777777" w:rsidR="00000000" w:rsidRPr="00BE00C7" w:rsidRDefault="00000000" w:rsidP="00BE00C7">
            <w:pPr>
              <w:pStyle w:val="OutcomeDescription"/>
              <w:spacing w:before="120" w:after="120"/>
              <w:rPr>
                <w:rFonts w:cs="Arial"/>
                <w:lang w:eastAsia="en-NZ"/>
              </w:rPr>
            </w:pPr>
          </w:p>
        </w:tc>
      </w:tr>
      <w:tr w:rsidR="009868B8" w14:paraId="7E131579" w14:textId="77777777">
        <w:tc>
          <w:tcPr>
            <w:tcW w:w="0" w:type="auto"/>
          </w:tcPr>
          <w:p w14:paraId="5ED83B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87983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8AA3F4C" w14:textId="77777777" w:rsidR="00000000" w:rsidRPr="00BE00C7" w:rsidRDefault="00000000" w:rsidP="00BE00C7">
            <w:pPr>
              <w:pStyle w:val="OutcomeDescription"/>
              <w:spacing w:before="120" w:after="120"/>
              <w:rPr>
                <w:rFonts w:cs="Arial"/>
                <w:lang w:eastAsia="en-NZ"/>
              </w:rPr>
            </w:pPr>
          </w:p>
        </w:tc>
        <w:tc>
          <w:tcPr>
            <w:tcW w:w="0" w:type="auto"/>
          </w:tcPr>
          <w:p w14:paraId="164B1A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3CF80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maintained.</w:t>
            </w:r>
          </w:p>
          <w:p w14:paraId="700503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and RM reported that staff are guided by the code of conduct to ensure the environment is safe and free from any form of institutional and/or systemic racism. Family/whānau stated that residents were free from any type of discrimination, harassment, physical or sexual abuse, or neglect and were safe. Policies and procedures, such as the harassment, </w:t>
            </w:r>
            <w:r w:rsidRPr="00BE00C7">
              <w:rPr>
                <w:rFonts w:cs="Arial"/>
                <w:lang w:eastAsia="en-NZ"/>
              </w:rPr>
              <w:lastRenderedPageBreak/>
              <w:t>discrimination, and bullying policy, are in place. The policy applies to all staff, contractors, visitors, and residents.</w:t>
            </w:r>
          </w:p>
          <w:p w14:paraId="0B560539" w14:textId="77777777" w:rsidR="00000000" w:rsidRPr="00BE00C7" w:rsidRDefault="00000000" w:rsidP="00BE00C7">
            <w:pPr>
              <w:pStyle w:val="OutcomeDescription"/>
              <w:spacing w:before="120" w:after="120"/>
              <w:rPr>
                <w:rFonts w:cs="Arial"/>
                <w:lang w:eastAsia="en-NZ"/>
              </w:rPr>
            </w:pPr>
          </w:p>
        </w:tc>
      </w:tr>
      <w:tr w:rsidR="009868B8" w14:paraId="51E79A81" w14:textId="77777777">
        <w:tc>
          <w:tcPr>
            <w:tcW w:w="0" w:type="auto"/>
          </w:tcPr>
          <w:p w14:paraId="3D2BC4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32CEA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D36504A" w14:textId="77777777" w:rsidR="00000000" w:rsidRPr="00BE00C7" w:rsidRDefault="00000000" w:rsidP="00BE00C7">
            <w:pPr>
              <w:pStyle w:val="OutcomeDescription"/>
              <w:spacing w:before="120" w:after="120"/>
              <w:rPr>
                <w:rFonts w:cs="Arial"/>
                <w:lang w:eastAsia="en-NZ"/>
              </w:rPr>
            </w:pPr>
          </w:p>
        </w:tc>
        <w:tc>
          <w:tcPr>
            <w:tcW w:w="0" w:type="auto"/>
          </w:tcPr>
          <w:p w14:paraId="27B31B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401C24" w14:textId="77777777" w:rsidR="00000000" w:rsidRPr="00BE00C7" w:rsidRDefault="00000000" w:rsidP="00BE00C7">
            <w:pPr>
              <w:pStyle w:val="OutcomeDescription"/>
              <w:spacing w:before="120" w:after="120"/>
              <w:rPr>
                <w:rFonts w:cs="Arial"/>
                <w:lang w:eastAsia="en-NZ"/>
              </w:rPr>
            </w:pPr>
            <w:r w:rsidRPr="00BE00C7">
              <w:rPr>
                <w:rFonts w:cs="Arial"/>
                <w:lang w:eastAsia="en-NZ"/>
              </w:rPr>
              <w:t>Signed admission agreements were evidenced in the sampled residents’ records. Informed consent for specific procedures had been gained appropriately. Resuscitation forms, and care plans were signed by residents who are competent and able to consent, and a medical decision is made by the general practitioner (GP) for residents who are unable to provide consent. Residents in the dementia unit had activated enduring powers of attorney (EPOAs), and copies of the relevant documentation were held on file.</w:t>
            </w:r>
          </w:p>
          <w:p w14:paraId="3F844F6B" w14:textId="77777777" w:rsidR="00000000" w:rsidRPr="00BE00C7" w:rsidRDefault="00000000" w:rsidP="00BE00C7">
            <w:pPr>
              <w:pStyle w:val="OutcomeDescription"/>
              <w:spacing w:before="120" w:after="120"/>
              <w:rPr>
                <w:rFonts w:cs="Arial"/>
                <w:lang w:eastAsia="en-NZ"/>
              </w:rPr>
            </w:pPr>
          </w:p>
        </w:tc>
      </w:tr>
      <w:tr w:rsidR="009868B8" w14:paraId="67F43D5F" w14:textId="77777777">
        <w:tc>
          <w:tcPr>
            <w:tcW w:w="0" w:type="auto"/>
          </w:tcPr>
          <w:p w14:paraId="3D1F30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094EF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CBF6522" w14:textId="77777777" w:rsidR="00000000" w:rsidRPr="00BE00C7" w:rsidRDefault="00000000" w:rsidP="00BE00C7">
            <w:pPr>
              <w:pStyle w:val="OutcomeDescription"/>
              <w:spacing w:before="120" w:after="120"/>
              <w:rPr>
                <w:rFonts w:cs="Arial"/>
                <w:lang w:eastAsia="en-NZ"/>
              </w:rPr>
            </w:pPr>
          </w:p>
        </w:tc>
        <w:tc>
          <w:tcPr>
            <w:tcW w:w="0" w:type="auto"/>
          </w:tcPr>
          <w:p w14:paraId="759799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F7F0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policy and procedures were clearly documented to guide staff. The process complies with Right 10 of the Code, which is the right to complain, to be taken seriously, respected and to receive a timely response. The service maintains a complaints register. There was one complaint in 2024, one in 2025, and one in 2026 (year to date) since the previous audit. </w:t>
            </w:r>
          </w:p>
          <w:p w14:paraId="69D291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reported that the complaint process timeframes are adhered to, and service improvement measures are implemented as required. Documentation, including follow-up letters and resolution, was completed, and managed in accordance with guidelines set by the HDC. Discussions with residents and family/whānau confirmed that they are provided with information on the complaints process and remarked that any concerns or issues they had, were addressed promptly. The FM confirmed that any issues are discussed promptly with the residents before they escalate into complaints. Satisfaction and dissatisfaction expressed by the complainant re outcomes of the investigation are documented.</w:t>
            </w:r>
          </w:p>
          <w:p w14:paraId="4E139A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Family/whānau and residents making a complaint can involve an independent support person in the process if they choose. The complaints process is linked to advocacy services. The Code is visible and available in te reo Māori and English. The residents and family/whānau spoken with expressed satisfaction with the complaint process. In the event of a complaint from a Māori resident or family/whānau, the service would seek the assistance of an interpreter or cultural advisor if needed. There have been no external complaints.</w:t>
            </w:r>
          </w:p>
          <w:p w14:paraId="610DC2BA" w14:textId="77777777" w:rsidR="00000000" w:rsidRPr="00BE00C7" w:rsidRDefault="00000000" w:rsidP="00BE00C7">
            <w:pPr>
              <w:pStyle w:val="OutcomeDescription"/>
              <w:spacing w:before="120" w:after="120"/>
              <w:rPr>
                <w:rFonts w:cs="Arial"/>
                <w:lang w:eastAsia="en-NZ"/>
              </w:rPr>
            </w:pPr>
          </w:p>
        </w:tc>
      </w:tr>
      <w:tr w:rsidR="009868B8" w14:paraId="7049ABCD" w14:textId="77777777">
        <w:tc>
          <w:tcPr>
            <w:tcW w:w="0" w:type="auto"/>
          </w:tcPr>
          <w:p w14:paraId="1FE363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17172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84CEF9F" w14:textId="77777777" w:rsidR="00000000" w:rsidRPr="00BE00C7" w:rsidRDefault="00000000" w:rsidP="00BE00C7">
            <w:pPr>
              <w:pStyle w:val="OutcomeDescription"/>
              <w:spacing w:before="120" w:after="120"/>
              <w:rPr>
                <w:rFonts w:cs="Arial"/>
                <w:lang w:eastAsia="en-NZ"/>
              </w:rPr>
            </w:pPr>
          </w:p>
        </w:tc>
        <w:tc>
          <w:tcPr>
            <w:tcW w:w="0" w:type="auto"/>
          </w:tcPr>
          <w:p w14:paraId="2A916A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B24BA4"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Residential Care Limited – Radius Windsor Court Rest Home has a total of 76 beds and is certified for hospital services (medical and geriatric); rest home care; and dementia care. There are 56 dual-purpose beds, and 20 dementia level beds.</w:t>
            </w:r>
          </w:p>
          <w:p w14:paraId="7E0C9B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76 beds occupied. This included 20 rest home level care residents, including four residents on a long-term services chronic health contract (LTS-CHC); and 36 residents at hospital level of care, including one resident on a younger person with a disability (YPD) contract, four LTS-CHC, and three funded by the Accident Compensation Corporation (ACC). There were 20 residents in the dementia units, including two ACC. </w:t>
            </w:r>
          </w:p>
          <w:p w14:paraId="44C6F2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of Radius Care is the Board of Directors, comprising the Managing Director/Executive Chairman and four professional directors. The Board holds overall accountability for organisational governance and strategic decision-making. Operational responsibility is delegated to the Chief Executive Officer (CEO), who provides overall leadership and oversight of the management team. Day-to-day operational management is the responsibility of the senior management team. A structured weekly and monthly reporting framework is in place to provide assurance to the CEO and the Board regarding organisational performance and operations.</w:t>
            </w:r>
          </w:p>
          <w:p w14:paraId="1F64EC18" w14:textId="77777777" w:rsidR="00000000" w:rsidRPr="00BE00C7" w:rsidRDefault="00000000" w:rsidP="00BE00C7">
            <w:pPr>
              <w:pStyle w:val="OutcomeDescription"/>
              <w:spacing w:before="120" w:after="120"/>
              <w:rPr>
                <w:rFonts w:cs="Arial"/>
                <w:lang w:eastAsia="en-NZ"/>
              </w:rPr>
            </w:pPr>
            <w:r w:rsidRPr="00BE00C7">
              <w:rPr>
                <w:rFonts w:cs="Arial"/>
                <w:lang w:eastAsia="en-NZ"/>
              </w:rPr>
              <w:t>Directors on the board have an appropriate mix of skills, knowledge, experience, and diversity to meet governance responsibilities. The regional manager and facility manager have experience in the aged care sector and demonstrated an understanding of relevant legislative and contractual requirements.</w:t>
            </w:r>
          </w:p>
          <w:p w14:paraId="7DC204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current business plan, aligned with the 2023–2028 strategic plan, is in place and outlines clearly defined goals that reflect the service’s vision, mission, and values. The plan includes annual and long-term objectives supported by operational plans. Objectives sighted were time-framed with defined actions, and regular reporting occurred through management meetings. The regional manager reported that key performance indicators are reviewed monthly, and meeting minutes evidenced discussion of objectives and progress toward planned actions. A quality and risk management plan is in place, reviewed at least annually, and updated as required. The clinical governance team completes an annual review of all components of the quality programme.</w:t>
            </w:r>
          </w:p>
          <w:p w14:paraId="173FDD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is accountable for ensuring the delivery of safe, equitable, and high-quality services and demonstrates a commitment to Te Tiriti o Waitangi and improving outcomes for Māori and Pacific peoples. The Radius Board of Directors has adopted the Radius Māori Health Strategy as a key framework for addressing health inequities for Māori and Pacific peoples. A national cultural committee meets three-monthly to guide culturally responsive decision-making and strengthen Māori influence. This commitment is reflected in policy and planning documents, which include actions to support equity, resident choice, and access to information. Information on the Code, complaints processes, and infection prevention and control is available in alternative languages to reduce barriers to access.</w:t>
            </w:r>
          </w:p>
          <w:p w14:paraId="08274921"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is overseen by the national quality manager and the risk and compliance manager. Regular quality, compliance, and risk reports are provided and include analysis of operational and financial key performance indicators. Outcomes and required corrective actions are discussed at the compliance and risk meeting, chaired by a board member. High-risk areas are reviewed with corresponding corrective measures identified, implemented, and monitored until the desired outcome or goal is achieved.</w:t>
            </w:r>
          </w:p>
          <w:p w14:paraId="662D3B52" w14:textId="77777777" w:rsidR="00000000" w:rsidRPr="00BE00C7" w:rsidRDefault="00000000" w:rsidP="00BE00C7">
            <w:pPr>
              <w:pStyle w:val="OutcomeDescription"/>
              <w:spacing w:before="120" w:after="120"/>
              <w:rPr>
                <w:rFonts w:cs="Arial"/>
                <w:lang w:eastAsia="en-NZ"/>
              </w:rPr>
            </w:pPr>
          </w:p>
        </w:tc>
      </w:tr>
      <w:tr w:rsidR="009868B8" w14:paraId="0F37586B" w14:textId="77777777">
        <w:tc>
          <w:tcPr>
            <w:tcW w:w="0" w:type="auto"/>
          </w:tcPr>
          <w:p w14:paraId="5550D0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86385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w:t>
            </w:r>
            <w:r w:rsidRPr="00BE00C7">
              <w:rPr>
                <w:rFonts w:cs="Arial"/>
                <w:lang w:eastAsia="en-NZ"/>
              </w:rPr>
              <w:lastRenderedPageBreak/>
              <w:t>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D0CE49E" w14:textId="77777777" w:rsidR="00000000" w:rsidRPr="00BE00C7" w:rsidRDefault="00000000" w:rsidP="00BE00C7">
            <w:pPr>
              <w:pStyle w:val="OutcomeDescription"/>
              <w:spacing w:before="120" w:after="120"/>
              <w:rPr>
                <w:rFonts w:cs="Arial"/>
                <w:lang w:eastAsia="en-NZ"/>
              </w:rPr>
            </w:pPr>
          </w:p>
        </w:tc>
        <w:tc>
          <w:tcPr>
            <w:tcW w:w="0" w:type="auto"/>
          </w:tcPr>
          <w:p w14:paraId="32AB4A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6561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Windsor Court Rest Home implements the organisation’s quality and risk management programme, which is directed by the organisational framework. The quality management systems include performance evaluation through monitoring, measurement, analysis, and evaluation; a </w:t>
            </w:r>
            <w:r w:rsidRPr="00BE00C7">
              <w:rPr>
                <w:rFonts w:cs="Arial"/>
                <w:lang w:eastAsia="en-NZ"/>
              </w:rPr>
              <w:lastRenderedPageBreak/>
              <w:t>programme of internal audits; and a process for identifying and addressing corrective actions.</w:t>
            </w:r>
          </w:p>
          <w:p w14:paraId="7C480C9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meetings (including monthly staff meetings, management meetings, and quality meetings), and data collation were all documented as scheduled, with corrective actions as indicated. Corrective actions are being documented to address service improvements, with evidence of progress and sign-off when achieved. This corrective action document is posted in the staffroom and discussed in staff meetings. Meetings provide an avenue for discussions in relation to key performance indicators (including clinical, such as infections, bruising, pressure injuries, skin tears, urinary tract infections, restraint, etc), quality data, health and safety, infection control/pandemic strategies, complaints received (if any), staffing, and education. Meeting minutes and quality data tables are available for staff review.</w:t>
            </w:r>
          </w:p>
          <w:p w14:paraId="73185F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 Radius Windsor Court Rest Home resident and family/whānau satisfaction survey reported overall satisfaction, with net promoter scores of +29. The 2026 survey shows an increase in NPS to +33.</w:t>
            </w:r>
          </w:p>
          <w:p w14:paraId="091AD0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plan, supported by relevant policies and procedures, identifies internal and external risks and outlines mitigation strategies consistent with the National Adverse Event Reporting Policy. Management demonstrated understanding of Severity Assessment Codes (SAC), including the reporting requirements for SAC 1 and SAC 2 events. A total of 12 SAC 2 notifications were completed, relating to falls with injury and stage 3 or above pressure injuries. Management interviews evidenced awareness of essential notification requirements. Section 31 notifications were submitted for relevant events including notification of a change in management.</w:t>
            </w:r>
          </w:p>
          <w:p w14:paraId="64AA88B5"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is completed, and an up-to-date hazard register was sighted. Health and safety policies are overseen by the health and safety committee. Manual handling education is provided regularly to staff. Staff interviewed reported they are kept informed of health and safety matters.</w:t>
            </w:r>
          </w:p>
          <w:p w14:paraId="7D4B797E"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reports are completed for each incident or accident, with immediate actions recorded and any required follow-up documented. Incident and accident data is collated monthly and analysed for trends, with results discussed at management and staff meetings. Ten resident-</w:t>
            </w:r>
            <w:r w:rsidRPr="00BE00C7">
              <w:rPr>
                <w:rFonts w:cs="Arial"/>
                <w:lang w:eastAsia="en-NZ"/>
              </w:rPr>
              <w:lastRenderedPageBreak/>
              <w:t xml:space="preserve">related incident and accident forms were reviewed, and each demonstrated that a clinical assessment and appropriate follow-up were completed by registered nurses. </w:t>
            </w:r>
          </w:p>
          <w:p w14:paraId="5380CCA3" w14:textId="77777777" w:rsidR="00000000" w:rsidRPr="00BE00C7" w:rsidRDefault="00000000" w:rsidP="00BE00C7">
            <w:pPr>
              <w:pStyle w:val="OutcomeDescription"/>
              <w:spacing w:before="120" w:after="120"/>
              <w:rPr>
                <w:rFonts w:cs="Arial"/>
                <w:lang w:eastAsia="en-NZ"/>
              </w:rPr>
            </w:pPr>
          </w:p>
        </w:tc>
      </w:tr>
      <w:tr w:rsidR="009868B8" w14:paraId="7BDA2A48" w14:textId="77777777">
        <w:tc>
          <w:tcPr>
            <w:tcW w:w="0" w:type="auto"/>
          </w:tcPr>
          <w:p w14:paraId="5947B4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ED5EC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FDA9E14" w14:textId="77777777" w:rsidR="00000000" w:rsidRPr="00BE00C7" w:rsidRDefault="00000000" w:rsidP="00BE00C7">
            <w:pPr>
              <w:pStyle w:val="OutcomeDescription"/>
              <w:spacing w:before="120" w:after="120"/>
              <w:rPr>
                <w:rFonts w:cs="Arial"/>
                <w:lang w:eastAsia="en-NZ"/>
              </w:rPr>
            </w:pPr>
          </w:p>
        </w:tc>
        <w:tc>
          <w:tcPr>
            <w:tcW w:w="0" w:type="auto"/>
          </w:tcPr>
          <w:p w14:paraId="60EF58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2BD4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adjusts staffing levels to meet the changing needs of residents. Care staff reported that there are adequate staff at the service. Residents and family/whānau interviewed supported this.</w:t>
            </w:r>
          </w:p>
          <w:p w14:paraId="017A7E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Rosters from the past four weeks showed that all shifts were covered by experienced registered nurses and care staff, with support from the management team. The service employs 10 registered nurses, plus the CNM. All shifts are covered by the registered nurses. </w:t>
            </w:r>
          </w:p>
          <w:p w14:paraId="535AB479"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Most of the training is completed online or face-to-face, every month. Evidence of regular education provided to staff was sighted in attendance records. Training topics included (but not limited to): Covid-19 (donning and doffing of personal protective equipment and standard infection control precautions); promoting equality; falls management and balancing risk; chemical training; health and safety; enabling good lives; introduction to Te Tiriti o Waitangi; death and dying; E-case training; resuscitation; pressure injuries; challenging behaviour; restraint minimisation; emergency procedures; suctioning; sexuality and intimacy; cultural safety; first aid; fire evacuation; and restraint management.</w:t>
            </w:r>
          </w:p>
          <w:p w14:paraId="59CA68F0" w14:textId="77777777" w:rsidR="00000000" w:rsidRPr="00BE00C7" w:rsidRDefault="00000000" w:rsidP="00BE00C7">
            <w:pPr>
              <w:pStyle w:val="OutcomeDescription"/>
              <w:spacing w:before="120" w:after="120"/>
              <w:rPr>
                <w:rFonts w:cs="Arial"/>
                <w:lang w:eastAsia="en-NZ"/>
              </w:rPr>
            </w:pPr>
            <w:r w:rsidRPr="00BE00C7">
              <w:rPr>
                <w:rFonts w:cs="Arial"/>
                <w:lang w:eastAsia="en-NZ"/>
              </w:rPr>
              <w:t>Related competencies are assessed as per policy requirements. Care staff have either completed or commenced a New Zealand Qualification Authority education programme to meet the provider’s funding and service agreement requirements. Staff records were reviewed to demonstrate completion of the required training and competency assessments. There are 38 care staff employed (twenty-seven are platinum level (NZQA qualification level four), three gold level (level three), and eight are bronze level (level two)). The management team reported that the model of care ensured that all residents are treated equitably.</w:t>
            </w:r>
          </w:p>
          <w:p w14:paraId="4528A2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a total of 20 care staff who work in the dementia unit, five of whom have completed the required dementia standards, with 15 staff enrolled and in progress. All staff in the unit have attended dementia training and other relevant training as per the contract including training around challenging behaviour, ageing process, cognitive and sensory stimulation, mental illness, and principles of enabling good lives.</w:t>
            </w:r>
          </w:p>
          <w:p w14:paraId="42EDA2EB"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registered nurses are accredited and maintain competencies to conduct interRAI assessments. These staff records sampled demonstrated completion of the required training and competency assessments.</w:t>
            </w:r>
          </w:p>
          <w:p w14:paraId="318FFC98" w14:textId="77777777" w:rsidR="00000000" w:rsidRPr="00BE00C7" w:rsidRDefault="00000000" w:rsidP="00BE00C7">
            <w:pPr>
              <w:pStyle w:val="OutcomeDescription"/>
              <w:spacing w:before="120" w:after="120"/>
              <w:rPr>
                <w:rFonts w:cs="Arial"/>
                <w:lang w:eastAsia="en-NZ"/>
              </w:rPr>
            </w:pPr>
          </w:p>
        </w:tc>
      </w:tr>
      <w:tr w:rsidR="009868B8" w14:paraId="74CDB87B" w14:textId="77777777">
        <w:tc>
          <w:tcPr>
            <w:tcW w:w="0" w:type="auto"/>
          </w:tcPr>
          <w:p w14:paraId="7B950E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069B2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1FC1D57" w14:textId="77777777" w:rsidR="00000000" w:rsidRPr="00BE00C7" w:rsidRDefault="00000000" w:rsidP="00BE00C7">
            <w:pPr>
              <w:pStyle w:val="OutcomeDescription"/>
              <w:spacing w:before="120" w:after="120"/>
              <w:rPr>
                <w:rFonts w:cs="Arial"/>
                <w:lang w:eastAsia="en-NZ"/>
              </w:rPr>
            </w:pPr>
          </w:p>
        </w:tc>
        <w:tc>
          <w:tcPr>
            <w:tcW w:w="0" w:type="auto"/>
          </w:tcPr>
          <w:p w14:paraId="0FFE4A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6BBE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257600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registered nurses and associated health contractors. </w:t>
            </w:r>
          </w:p>
          <w:p w14:paraId="3B009CC2"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staff records reviewed confirmed the organisation’s policies are being consistently implemented. All staff records reviewed evidenced completed induction and orientation. A total of six staff files (two registered nurses, three healthcare assistants, and one housekeeper) were reviewed. Staff files included reference checks; police checks; appraisals; competencies; individual training plans; professional qualifications; orientation; employment agreements; and position descriptions.</w:t>
            </w:r>
          </w:p>
          <w:p w14:paraId="218A8F6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5BAC1C7C" w14:textId="77777777" w:rsidR="00000000" w:rsidRPr="00BE00C7" w:rsidRDefault="00000000" w:rsidP="00BE00C7">
            <w:pPr>
              <w:pStyle w:val="OutcomeDescription"/>
              <w:spacing w:before="120" w:after="120"/>
              <w:rPr>
                <w:rFonts w:cs="Arial"/>
                <w:lang w:eastAsia="en-NZ"/>
              </w:rPr>
            </w:pPr>
          </w:p>
        </w:tc>
      </w:tr>
      <w:tr w:rsidR="009868B8" w14:paraId="72AFC057" w14:textId="77777777">
        <w:tc>
          <w:tcPr>
            <w:tcW w:w="0" w:type="auto"/>
          </w:tcPr>
          <w:p w14:paraId="132B35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B9F22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lastRenderedPageBreak/>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30E3A00" w14:textId="77777777" w:rsidR="00000000" w:rsidRPr="00BE00C7" w:rsidRDefault="00000000" w:rsidP="00BE00C7">
            <w:pPr>
              <w:pStyle w:val="OutcomeDescription"/>
              <w:spacing w:before="120" w:after="120"/>
              <w:rPr>
                <w:rFonts w:cs="Arial"/>
                <w:lang w:eastAsia="en-NZ"/>
              </w:rPr>
            </w:pPr>
          </w:p>
        </w:tc>
        <w:tc>
          <w:tcPr>
            <w:tcW w:w="0" w:type="auto"/>
          </w:tcPr>
          <w:p w14:paraId="73D3CF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D299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including two rest home level (one on long-term support chronic health conditions [LTS-CHC]), two hospital level (one on Accident Compensation Corporation [ACC] funding and one </w:t>
            </w:r>
            <w:r w:rsidRPr="00BE00C7">
              <w:rPr>
                <w:rFonts w:cs="Arial"/>
                <w:lang w:eastAsia="en-NZ"/>
              </w:rPr>
              <w:lastRenderedPageBreak/>
              <w:t>young disabled resident [YPD]), and two dementia level of care. Registered nurses are responsible for assessing residents on admission and on an ongoing basis. All resident files reviewed have evidence of resident, and family/whānau involvement in the assessment and care planning process. Residents interviewed confirmed they are involved in decision making and they have choices about their care. Assessments, interim care plans, interRAI assessments and long-term care plans are developed within the timeframes required by the age related residential care contact. InterRAI assessments are not completed for residents on ACC funding, however they undergo a comprehensive assessment process and a detailed care plan in place. InterRAI assessments are completed for those on LTS-CHC and YPD funding.</w:t>
            </w:r>
          </w:p>
          <w:p w14:paraId="6D53ECF1"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assessments are completed by the contracted general or nurse practitioner within the required timeframes. Residents then have a monthly or three-monthly review by the general or nurse practitioner as a routine, or if their needs change, they are seen when needed. The medical practice provides 24/7 on call services. A physiotherapist is contracted to attend residents who have a need for physiotherapy care. Residents have access to a visiting podiatrist six-weekly. Staff refer residents to a dietitian where required. Allied health practitioner and general practitioner assessments and interventions are documented and integrated into care plans.</w:t>
            </w:r>
          </w:p>
          <w:p w14:paraId="47B5C24D"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and other validated tools. Where interRAI shows a trigger for a specific need, this is included in care plans. Examples sighted include, but are not limited to, physical activity, mood changes, pressure injury risk, communication, social relationships and maintaining continence. Care plans are comprehensive and holistic and include the aspirations and goals of residents and interventions that are implemented.</w:t>
            </w:r>
          </w:p>
          <w:p w14:paraId="22EBDB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and healthcare assistants described how they involve residents and families/whānau in implementing care plans. Residents and families/whānau interviewed confirmed they feel staff involve them and communicate well with them and in a timely manner. They stated staff are respectful and kind and answer call bells promptly. The nurse practitioner stated staff communicate with them in a timely manner and senior staff are knowledgeable and competent. The nurse practitioner commented </w:t>
            </w:r>
            <w:r w:rsidRPr="00BE00C7">
              <w:rPr>
                <w:rFonts w:cs="Arial"/>
                <w:lang w:eastAsia="en-NZ"/>
              </w:rPr>
              <w:lastRenderedPageBreak/>
              <w:t>staff work well as a team and there is a strong leadership amongst senior staff.</w:t>
            </w:r>
          </w:p>
          <w:p w14:paraId="4D4D4A5F"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interviewed could describe a verbal handover at the beginning of each duty that maintains a continuity of service delivery; this was observed during the audit. Progress notes and monitoring charts for personal cares document care provided according to the care plan each shift. Registered nurses document at least daily for hospital level residents. Healthcare assistants document the cares provided each shift. There is regular documented input from the general and nurse practitioner and allied health professionals. There was evidence the registered nurse has added to the progress notes when there was an incident or changes in health status or to complete regular registered nurse reviews of the care provided. Short-term care plans are developed when there are short-term needs such as wounds or infections.</w:t>
            </w:r>
          </w:p>
          <w:p w14:paraId="292B08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Family/whānau are invited to either attend for care plan reviews or to email any suggestions if they are unable to attend. Care plan reviews include a review of the residents’ goals and aspirations and if the supports given are helping to achieve these. </w:t>
            </w:r>
          </w:p>
          <w:p w14:paraId="72F90A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monitors residents’ weight and vital signs according to their needs which is monthly as a routine but more frequent when indicated. Neurological observations are completed at recommended intervals for residents with unwitnessed falls or where a head injury is suspected. Monitoring charts are completed according to identified needs and include but are not limited to bowels, food and fluids, behaviour, blood glucose levels, positioning, personal cares and falls risk. At the time of the audit there was a total of 27 wounds including bruises, skin tears, chronic ulcers ulcer and four pressure injuries (one unstageable and three stage two). Staff stated they can access the wound nurse specialist when needed and have had training in wound management. Assessments and wound management plans including wound measurements and photographs were reviewed. An electronic wound register has been fully maintained. Wound assessment, wound management, evaluation forms, and wound monitoring occurred as planned in the sample of wounds </w:t>
            </w:r>
            <w:r w:rsidRPr="00BE00C7">
              <w:rPr>
                <w:rFonts w:cs="Arial"/>
                <w:lang w:eastAsia="en-NZ"/>
              </w:rPr>
              <w:lastRenderedPageBreak/>
              <w:t>reviewed. Healthcare assistants and registered nurses interviewed stated there are adequate clinical supplies and equipment provided, including continence, wound care supplies, and pressure injury prevention resources.</w:t>
            </w:r>
          </w:p>
          <w:p w14:paraId="26D5C9E9" w14:textId="77777777" w:rsidR="00000000" w:rsidRPr="00BE00C7" w:rsidRDefault="00000000" w:rsidP="0057220C">
            <w:pPr>
              <w:pStyle w:val="OutcomeDescription"/>
              <w:spacing w:before="120" w:after="120"/>
              <w:rPr>
                <w:rFonts w:cs="Arial"/>
                <w:lang w:eastAsia="en-NZ"/>
              </w:rPr>
            </w:pPr>
          </w:p>
        </w:tc>
      </w:tr>
      <w:tr w:rsidR="009868B8" w14:paraId="120DFFAC" w14:textId="77777777">
        <w:tc>
          <w:tcPr>
            <w:tcW w:w="0" w:type="auto"/>
          </w:tcPr>
          <w:p w14:paraId="5B72BB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B8FD4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7DAD249" w14:textId="77777777" w:rsidR="00000000" w:rsidRPr="00BE00C7" w:rsidRDefault="00000000" w:rsidP="00BE00C7">
            <w:pPr>
              <w:pStyle w:val="OutcomeDescription"/>
              <w:spacing w:before="120" w:after="120"/>
              <w:rPr>
                <w:rFonts w:cs="Arial"/>
                <w:lang w:eastAsia="en-NZ"/>
              </w:rPr>
            </w:pPr>
          </w:p>
        </w:tc>
        <w:tc>
          <w:tcPr>
            <w:tcW w:w="0" w:type="auto"/>
          </w:tcPr>
          <w:p w14:paraId="60C20D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9CAA3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Paper-based medication prescriptions and administration records are currently being utilised. A medication round was observed and seen to be safe. Medications are administered by registered nurses and healthcare assistants. All staff administering medications are required to pass an annual competency test and have ongoing training in medicine management.</w:t>
            </w:r>
          </w:p>
          <w:p w14:paraId="083AE2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supplied by a local pharmacy in Robotic packs. Staff could describe their responsibilities for receiving medications from the pharmacy including checking against prescriptions. Expired and unused medications are returned to the pharmacy. Medicines were seen to be stored in locked trolleys and locked medication rooms. The registered nurse’s complete expiry date checks of stored medications weekly and count the controlled medications weekly as required and six-monthly with the pharmacist. The medication refrigerators and medication room temperatures are monitored daily and are within an acceptable range. Liquid medications and eye drops are labelled with the date of opening. </w:t>
            </w:r>
          </w:p>
          <w:p w14:paraId="56108FF5"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medication charts were reviewed. These meet prescribing requirements and are reviewed at least three-monthly by the general or nurse practitioner. Any changes to medications are discussed with residents and family/whānau. All medication charts had photographic identification. Allergies and adverse reactions are clearly recorded. Specific instructions for individual residents are included in the prescription. Pro re nata medications have the indications documented in the prescription and the effectiveness is documented in the progress notes. There is one resident who currently self-administers their medications. They are assessed as competent to do so by the general or nurse practitioner three-monthly. The medications for this resident were seen to be stored in a locked drawer in their room. There are no standing orders.</w:t>
            </w:r>
          </w:p>
          <w:p w14:paraId="60E02590" w14:textId="77777777" w:rsidR="00000000" w:rsidRPr="00BE00C7" w:rsidRDefault="00000000" w:rsidP="00BE00C7">
            <w:pPr>
              <w:pStyle w:val="OutcomeDescription"/>
              <w:spacing w:before="120" w:after="120"/>
              <w:rPr>
                <w:rFonts w:cs="Arial"/>
                <w:lang w:eastAsia="en-NZ"/>
              </w:rPr>
            </w:pPr>
          </w:p>
        </w:tc>
      </w:tr>
      <w:tr w:rsidR="009868B8" w14:paraId="255B46F3" w14:textId="77777777">
        <w:tc>
          <w:tcPr>
            <w:tcW w:w="0" w:type="auto"/>
          </w:tcPr>
          <w:p w14:paraId="3E1634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4F112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F4E075C" w14:textId="77777777" w:rsidR="00000000" w:rsidRPr="00BE00C7" w:rsidRDefault="00000000" w:rsidP="00BE00C7">
            <w:pPr>
              <w:pStyle w:val="OutcomeDescription"/>
              <w:spacing w:before="120" w:after="120"/>
              <w:rPr>
                <w:rFonts w:cs="Arial"/>
                <w:lang w:eastAsia="en-NZ"/>
              </w:rPr>
            </w:pPr>
          </w:p>
        </w:tc>
        <w:tc>
          <w:tcPr>
            <w:tcW w:w="0" w:type="auto"/>
          </w:tcPr>
          <w:p w14:paraId="4F7D4C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F95D40"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dislikes, intolerances, allergies and required food texture is identified on admission and communicated to the kitchen manager who keeps a whiteboard of this information up-to-date and has a folder with all dietary profiles. Alternatives are prepared if menu options do not suit individuals. Cultural preferences and celebrations are catered for. Residents interviewed confirmed they are happy with the meals provided and can give feedback at any time. They stated if they do not like what is provided an alternative is offered.</w:t>
            </w:r>
          </w:p>
          <w:p w14:paraId="3D7B19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31 March 2026. Staff confirmed they have completed their audit and are awaiting an updated food control plan.</w:t>
            </w:r>
          </w:p>
          <w:p w14:paraId="369C4DA3" w14:textId="77777777" w:rsidR="00000000" w:rsidRPr="00BE00C7" w:rsidRDefault="00000000" w:rsidP="00BE00C7">
            <w:pPr>
              <w:pStyle w:val="OutcomeDescription"/>
              <w:spacing w:before="120" w:after="120"/>
              <w:rPr>
                <w:rFonts w:cs="Arial"/>
                <w:lang w:eastAsia="en-NZ"/>
              </w:rPr>
            </w:pPr>
          </w:p>
        </w:tc>
      </w:tr>
      <w:tr w:rsidR="009868B8" w14:paraId="40194F5F" w14:textId="77777777">
        <w:tc>
          <w:tcPr>
            <w:tcW w:w="0" w:type="auto"/>
          </w:tcPr>
          <w:p w14:paraId="39BD9E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A843B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DF73E86" w14:textId="77777777" w:rsidR="00000000" w:rsidRPr="00BE00C7" w:rsidRDefault="00000000" w:rsidP="00BE00C7">
            <w:pPr>
              <w:pStyle w:val="OutcomeDescription"/>
              <w:spacing w:before="120" w:after="120"/>
              <w:rPr>
                <w:rFonts w:cs="Arial"/>
                <w:lang w:eastAsia="en-NZ"/>
              </w:rPr>
            </w:pPr>
          </w:p>
        </w:tc>
        <w:tc>
          <w:tcPr>
            <w:tcW w:w="0" w:type="auto"/>
          </w:tcPr>
          <w:p w14:paraId="1126A2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249570"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transfer to another facility or hospital and discharge is a planned process that includes communication with the resident and their family/whānau and communicating and documenting the care needs and potential risks to the other facility. If a resident becomes acutely unwell, the registered nurse can call the general or nurse practitioner for advice. If a resident needs urgent transfer to hospital, the ambulance is called and family/whānau informed. Registered nurses described the required documentation required to accompany the resident to hospital and confirmed the family/whānau are notified.</w:t>
            </w:r>
          </w:p>
          <w:p w14:paraId="208597B2" w14:textId="77777777" w:rsidR="00000000" w:rsidRPr="00BE00C7" w:rsidRDefault="00000000" w:rsidP="00BE00C7">
            <w:pPr>
              <w:pStyle w:val="OutcomeDescription"/>
              <w:spacing w:before="120" w:after="120"/>
              <w:rPr>
                <w:rFonts w:cs="Arial"/>
                <w:lang w:eastAsia="en-NZ"/>
              </w:rPr>
            </w:pPr>
          </w:p>
        </w:tc>
      </w:tr>
      <w:tr w:rsidR="009868B8" w14:paraId="0F1F15DF" w14:textId="77777777">
        <w:tc>
          <w:tcPr>
            <w:tcW w:w="0" w:type="auto"/>
          </w:tcPr>
          <w:p w14:paraId="2606C2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C6D3E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w:t>
            </w:r>
            <w:r w:rsidRPr="00BE00C7">
              <w:rPr>
                <w:rFonts w:cs="Arial"/>
                <w:lang w:eastAsia="en-NZ"/>
              </w:rPr>
              <w:lastRenderedPageBreak/>
              <w:t>people we deliver services to can move independently and freely throughout. The physical environment optimises people’s sense of belonging, independence, interaction, and function.</w:t>
            </w:r>
          </w:p>
          <w:p w14:paraId="36081A0D" w14:textId="77777777" w:rsidR="00000000" w:rsidRPr="00BE00C7" w:rsidRDefault="00000000" w:rsidP="00BE00C7">
            <w:pPr>
              <w:pStyle w:val="OutcomeDescription"/>
              <w:spacing w:before="120" w:after="120"/>
              <w:rPr>
                <w:rFonts w:cs="Arial"/>
                <w:lang w:eastAsia="en-NZ"/>
              </w:rPr>
            </w:pPr>
          </w:p>
        </w:tc>
        <w:tc>
          <w:tcPr>
            <w:tcW w:w="0" w:type="auto"/>
          </w:tcPr>
          <w:p w14:paraId="6FDC38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7E75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17 June 2026. There is an annual maintenance plan that includes electrical testing and tagging, resident equipment checks, call bell checks, calibration of medical equipment, and monthly testing of hot water temperatures. This plan comes from Radius head office. Essential contractors such as plumbers and electricians are available 24 hours a day as required. Checking and calibration of medical equipment, hoists and scales was completed in April 2025. Electrical appliances are tested and tagged by </w:t>
            </w:r>
            <w:r w:rsidRPr="00BE00C7">
              <w:rPr>
                <w:rFonts w:cs="Arial"/>
                <w:lang w:eastAsia="en-NZ"/>
              </w:rPr>
              <w:lastRenderedPageBreak/>
              <w:t>the maintenance person who is qualified to do this (certificate sighted). This was last completed in May 2025. There are ample spaces for residents to engage in cultural activities. Residents personalise their rooms with their own belongings and items of significance.</w:t>
            </w:r>
          </w:p>
          <w:p w14:paraId="047A8C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unit is accessible by electronic fob. The unit is secure and residents have access to a secure outdoor courtyard that has a curving path, seating, and shade.</w:t>
            </w:r>
          </w:p>
          <w:p w14:paraId="6C68E4D1" w14:textId="77777777" w:rsidR="00000000" w:rsidRPr="00BE00C7" w:rsidRDefault="00000000" w:rsidP="00BE00C7">
            <w:pPr>
              <w:pStyle w:val="OutcomeDescription"/>
              <w:spacing w:before="120" w:after="120"/>
              <w:rPr>
                <w:rFonts w:cs="Arial"/>
                <w:lang w:eastAsia="en-NZ"/>
              </w:rPr>
            </w:pPr>
          </w:p>
        </w:tc>
      </w:tr>
      <w:tr w:rsidR="009868B8" w14:paraId="6827F23E" w14:textId="77777777">
        <w:tc>
          <w:tcPr>
            <w:tcW w:w="0" w:type="auto"/>
          </w:tcPr>
          <w:p w14:paraId="3696CD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264D7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1A29A08" w14:textId="77777777" w:rsidR="00000000" w:rsidRPr="00BE00C7" w:rsidRDefault="00000000" w:rsidP="00BE00C7">
            <w:pPr>
              <w:pStyle w:val="OutcomeDescription"/>
              <w:spacing w:before="120" w:after="120"/>
              <w:rPr>
                <w:rFonts w:cs="Arial"/>
                <w:lang w:eastAsia="en-NZ"/>
              </w:rPr>
            </w:pPr>
          </w:p>
        </w:tc>
        <w:tc>
          <w:tcPr>
            <w:tcW w:w="0" w:type="auto"/>
          </w:tcPr>
          <w:p w14:paraId="55FBC7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3375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implemented IP programme is clearly documented and was developed with input from external infection prevention and control (IPC) services. The IP programme was approved by the governance body and is linked to the quality improvement programme. The IP programme is reviewed annually. The nominated infection control nurse (ICN) has completed relevant external infection prevention and control education through Health NZ and has appropriate skills to lead the team. Staff have received education on infection prevention and control through orientation and ongoing annual education. </w:t>
            </w:r>
          </w:p>
          <w:p w14:paraId="4C33413A"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IPC training/education is provided to staff and residents as verified in staff education records, residents’ progress notes, infection reports seen and in interviews with staff and residents.</w:t>
            </w:r>
          </w:p>
          <w:p w14:paraId="655A35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ICN follows a documented process for accessing appropriate multidisciplinary expertise and advice when required. They have access to residents’ clinical records and diagnostic results. </w:t>
            </w:r>
          </w:p>
          <w:p w14:paraId="50BC702B" w14:textId="77777777" w:rsidR="00000000" w:rsidRPr="00BE00C7" w:rsidRDefault="00000000" w:rsidP="00BE00C7">
            <w:pPr>
              <w:pStyle w:val="OutcomeDescription"/>
              <w:spacing w:before="120" w:after="120"/>
              <w:rPr>
                <w:rFonts w:cs="Arial"/>
                <w:lang w:eastAsia="en-NZ"/>
              </w:rPr>
            </w:pPr>
          </w:p>
        </w:tc>
      </w:tr>
      <w:tr w:rsidR="009868B8" w14:paraId="38E8EED1" w14:textId="77777777">
        <w:tc>
          <w:tcPr>
            <w:tcW w:w="0" w:type="auto"/>
          </w:tcPr>
          <w:p w14:paraId="5F851F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11439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w:t>
            </w:r>
            <w:r w:rsidRPr="00BE00C7">
              <w:rPr>
                <w:rFonts w:cs="Arial"/>
                <w:lang w:eastAsia="en-NZ"/>
              </w:rPr>
              <w:lastRenderedPageBreak/>
              <w:t>priorities, and methods specified in the infection prevention programme, and with an equity focus.</w:t>
            </w:r>
          </w:p>
          <w:p w14:paraId="5000CBF7" w14:textId="77777777" w:rsidR="00000000" w:rsidRPr="00BE00C7" w:rsidRDefault="00000000" w:rsidP="00BE00C7">
            <w:pPr>
              <w:pStyle w:val="OutcomeDescription"/>
              <w:spacing w:before="120" w:after="120"/>
              <w:rPr>
                <w:rFonts w:cs="Arial"/>
                <w:lang w:eastAsia="en-NZ"/>
              </w:rPr>
            </w:pPr>
          </w:p>
        </w:tc>
        <w:tc>
          <w:tcPr>
            <w:tcW w:w="0" w:type="auto"/>
          </w:tcPr>
          <w:p w14:paraId="499D99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1C43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to the size and complexity of the service and is implemented in line with organisational policy. National surveillance programmes and guidance are applied when required. Surveillance methods, tools, documentation, and analysis are described and documented using standardised surveillance definitions. Infection data is collected, monitored, and reviewed monthly. All healthcare-associated infections (HAIs) are monitored by the infection control nurse (ICN). Infection registers are completed for all identified </w:t>
            </w:r>
            <w:r w:rsidRPr="00BE00C7">
              <w:rPr>
                <w:rFonts w:cs="Arial"/>
                <w:lang w:eastAsia="en-NZ"/>
              </w:rPr>
              <w:lastRenderedPageBreak/>
              <w:t>infections, and monthly infection data analysis is undertaken by the ICN to identify trends and implement corrective actions where required.</w:t>
            </w:r>
          </w:p>
          <w:p w14:paraId="5D6023C5"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surveillance data is reported to the clinical nurse manager and facility manager and communicated to staff through meetings. Surveillance data includes ethnicity information. Infection surveillance data is discussed in senior management meetings monthly. Surveillance reports are sent to the governance body and senior management team on a monthly basis.</w:t>
            </w:r>
          </w:p>
          <w:p w14:paraId="4C49228B"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infection outbreak (Covid-19 July 2025) reported since the previous audit was managed effectively and in accordance with organisational policy.</w:t>
            </w:r>
          </w:p>
          <w:p w14:paraId="2CBF1081" w14:textId="77777777" w:rsidR="00000000" w:rsidRPr="00BE00C7" w:rsidRDefault="00000000" w:rsidP="00BE00C7">
            <w:pPr>
              <w:pStyle w:val="OutcomeDescription"/>
              <w:spacing w:before="120" w:after="120"/>
              <w:rPr>
                <w:rFonts w:cs="Arial"/>
                <w:lang w:eastAsia="en-NZ"/>
              </w:rPr>
            </w:pPr>
          </w:p>
        </w:tc>
      </w:tr>
      <w:tr w:rsidR="009868B8" w14:paraId="7B20867C" w14:textId="77777777">
        <w:tc>
          <w:tcPr>
            <w:tcW w:w="0" w:type="auto"/>
          </w:tcPr>
          <w:p w14:paraId="5B1EAC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2CBBB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CE06A22" w14:textId="77777777" w:rsidR="00000000" w:rsidRPr="00BE00C7" w:rsidRDefault="00000000" w:rsidP="00BE00C7">
            <w:pPr>
              <w:pStyle w:val="OutcomeDescription"/>
              <w:spacing w:before="120" w:after="120"/>
              <w:rPr>
                <w:rFonts w:cs="Arial"/>
                <w:lang w:eastAsia="en-NZ"/>
              </w:rPr>
            </w:pPr>
          </w:p>
        </w:tc>
        <w:tc>
          <w:tcPr>
            <w:tcW w:w="0" w:type="auto"/>
          </w:tcPr>
          <w:p w14:paraId="685451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C489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Radius governance body takes a pro-active approach to reduce the use of restraints within all their facilities. Restraints are implemented as a last resort when all available alternatives have been utilised. The restraint approval process is described in the restraint policy and procedures meet the requirements of Ngā Paerewa and provide guidance on the safe use of restraints. The clinical nurse manager (registered nurse) is the restraint coordinator and provides support and oversight for restraint management in the facility. During the audit there were three residents using bed rails restraints.</w:t>
            </w:r>
          </w:p>
          <w:p w14:paraId="5FDB0714"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all staff occurs at orientation and annually and records were sighted in staff files. This includes a competency assessment</w:t>
            </w:r>
          </w:p>
          <w:p w14:paraId="70AB6A79" w14:textId="77777777" w:rsidR="00000000" w:rsidRPr="00BE00C7" w:rsidRDefault="00000000" w:rsidP="00BE00C7">
            <w:pPr>
              <w:pStyle w:val="OutcomeDescription"/>
              <w:spacing w:before="120" w:after="120"/>
              <w:rPr>
                <w:rFonts w:cs="Arial"/>
                <w:lang w:eastAsia="en-NZ"/>
              </w:rPr>
            </w:pPr>
          </w:p>
        </w:tc>
      </w:tr>
    </w:tbl>
    <w:p w14:paraId="29D43DD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E55C94F" w14:textId="77777777" w:rsidR="00000000" w:rsidRDefault="00000000">
      <w:pPr>
        <w:pStyle w:val="Heading1"/>
        <w:rPr>
          <w:rFonts w:cs="Arial"/>
        </w:rPr>
      </w:pPr>
      <w:r>
        <w:rPr>
          <w:rFonts w:cs="Arial"/>
        </w:rPr>
        <w:lastRenderedPageBreak/>
        <w:t>Specific results for criterion where corrective actions are required</w:t>
      </w:r>
    </w:p>
    <w:p w14:paraId="4C18B1D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A6C672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BBDB39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868B8" w14:paraId="5301D148" w14:textId="77777777">
        <w:tc>
          <w:tcPr>
            <w:tcW w:w="0" w:type="auto"/>
          </w:tcPr>
          <w:p w14:paraId="179F3D5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7C68F5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7761B27" w14:textId="77777777" w:rsidR="00000000" w:rsidRDefault="00000000">
      <w:pPr>
        <w:pStyle w:val="Heading1"/>
        <w:rPr>
          <w:rFonts w:cs="Arial"/>
        </w:rPr>
      </w:pPr>
      <w:r>
        <w:rPr>
          <w:rFonts w:cs="Arial"/>
        </w:rPr>
        <w:lastRenderedPageBreak/>
        <w:t>Specific results for criterion where a continuous improvement has been recorded</w:t>
      </w:r>
    </w:p>
    <w:p w14:paraId="38FC8E7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BF3641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354C5C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868B8" w14:paraId="38B8DDC0" w14:textId="77777777">
        <w:tc>
          <w:tcPr>
            <w:tcW w:w="0" w:type="auto"/>
          </w:tcPr>
          <w:p w14:paraId="7633B52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71FE71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DF13D1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AEFC" w14:textId="77777777" w:rsidR="00A8793F" w:rsidRDefault="00A8793F">
      <w:r>
        <w:separator/>
      </w:r>
    </w:p>
  </w:endnote>
  <w:endnote w:type="continuationSeparator" w:id="0">
    <w:p w14:paraId="76CA53B2" w14:textId="77777777" w:rsidR="00A8793F" w:rsidRDefault="00A8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13B2" w14:textId="77777777" w:rsidR="00000000" w:rsidRDefault="00000000">
    <w:pPr>
      <w:pStyle w:val="Footer"/>
    </w:pPr>
  </w:p>
  <w:p w14:paraId="29133BFA" w14:textId="77777777" w:rsidR="00000000" w:rsidRDefault="00000000"/>
  <w:p w14:paraId="61F0B50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F84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Windsor Court Rest Home</w:t>
    </w:r>
    <w:bookmarkEnd w:id="59"/>
    <w:r>
      <w:rPr>
        <w:rFonts w:cs="Arial"/>
        <w:sz w:val="16"/>
        <w:szCs w:val="20"/>
      </w:rPr>
      <w:tab/>
      <w:t xml:space="preserve">Date of Audit: </w:t>
    </w:r>
    <w:bookmarkStart w:id="60" w:name="AuditStartDate1"/>
    <w:r>
      <w:rPr>
        <w:rFonts w:cs="Arial"/>
        <w:sz w:val="16"/>
        <w:szCs w:val="20"/>
      </w:rPr>
      <w:t>1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A62F01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3FD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A934" w14:textId="77777777" w:rsidR="00A8793F" w:rsidRDefault="00A8793F">
      <w:r>
        <w:separator/>
      </w:r>
    </w:p>
  </w:footnote>
  <w:footnote w:type="continuationSeparator" w:id="0">
    <w:p w14:paraId="25618131" w14:textId="77777777" w:rsidR="00A8793F" w:rsidRDefault="00A87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DBE8" w14:textId="77777777" w:rsidR="00000000" w:rsidRDefault="00000000">
    <w:pPr>
      <w:pStyle w:val="Header"/>
    </w:pPr>
  </w:p>
  <w:p w14:paraId="4C241B8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A8E8" w14:textId="77777777" w:rsidR="00000000" w:rsidRDefault="00000000">
    <w:pPr>
      <w:pStyle w:val="Header"/>
    </w:pPr>
  </w:p>
  <w:p w14:paraId="33A1B58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EA9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8A2680A">
      <w:start w:val="1"/>
      <w:numFmt w:val="decimal"/>
      <w:lvlText w:val="%1."/>
      <w:lvlJc w:val="left"/>
      <w:pPr>
        <w:ind w:left="360" w:hanging="360"/>
      </w:pPr>
    </w:lvl>
    <w:lvl w:ilvl="1" w:tplc="D8689554" w:tentative="1">
      <w:start w:val="1"/>
      <w:numFmt w:val="lowerLetter"/>
      <w:lvlText w:val="%2."/>
      <w:lvlJc w:val="left"/>
      <w:pPr>
        <w:ind w:left="1080" w:hanging="360"/>
      </w:pPr>
    </w:lvl>
    <w:lvl w:ilvl="2" w:tplc="310E2D14" w:tentative="1">
      <w:start w:val="1"/>
      <w:numFmt w:val="lowerRoman"/>
      <w:lvlText w:val="%3."/>
      <w:lvlJc w:val="right"/>
      <w:pPr>
        <w:ind w:left="1800" w:hanging="180"/>
      </w:pPr>
    </w:lvl>
    <w:lvl w:ilvl="3" w:tplc="D692491C" w:tentative="1">
      <w:start w:val="1"/>
      <w:numFmt w:val="decimal"/>
      <w:lvlText w:val="%4."/>
      <w:lvlJc w:val="left"/>
      <w:pPr>
        <w:ind w:left="2520" w:hanging="360"/>
      </w:pPr>
    </w:lvl>
    <w:lvl w:ilvl="4" w:tplc="1BB68630" w:tentative="1">
      <w:start w:val="1"/>
      <w:numFmt w:val="lowerLetter"/>
      <w:lvlText w:val="%5."/>
      <w:lvlJc w:val="left"/>
      <w:pPr>
        <w:ind w:left="3240" w:hanging="360"/>
      </w:pPr>
    </w:lvl>
    <w:lvl w:ilvl="5" w:tplc="5FF6D014" w:tentative="1">
      <w:start w:val="1"/>
      <w:numFmt w:val="lowerRoman"/>
      <w:lvlText w:val="%6."/>
      <w:lvlJc w:val="right"/>
      <w:pPr>
        <w:ind w:left="3960" w:hanging="180"/>
      </w:pPr>
    </w:lvl>
    <w:lvl w:ilvl="6" w:tplc="24261800" w:tentative="1">
      <w:start w:val="1"/>
      <w:numFmt w:val="decimal"/>
      <w:lvlText w:val="%7."/>
      <w:lvlJc w:val="left"/>
      <w:pPr>
        <w:ind w:left="4680" w:hanging="360"/>
      </w:pPr>
    </w:lvl>
    <w:lvl w:ilvl="7" w:tplc="243C8868" w:tentative="1">
      <w:start w:val="1"/>
      <w:numFmt w:val="lowerLetter"/>
      <w:lvlText w:val="%8."/>
      <w:lvlJc w:val="left"/>
      <w:pPr>
        <w:ind w:left="5400" w:hanging="360"/>
      </w:pPr>
    </w:lvl>
    <w:lvl w:ilvl="8" w:tplc="7FD6C9A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73E46A6">
      <w:start w:val="1"/>
      <w:numFmt w:val="bullet"/>
      <w:lvlText w:val=""/>
      <w:lvlJc w:val="left"/>
      <w:pPr>
        <w:ind w:left="720" w:hanging="360"/>
      </w:pPr>
      <w:rPr>
        <w:rFonts w:ascii="Symbol" w:hAnsi="Symbol" w:hint="default"/>
      </w:rPr>
    </w:lvl>
    <w:lvl w:ilvl="1" w:tplc="A4780896" w:tentative="1">
      <w:start w:val="1"/>
      <w:numFmt w:val="bullet"/>
      <w:lvlText w:val="o"/>
      <w:lvlJc w:val="left"/>
      <w:pPr>
        <w:ind w:left="1440" w:hanging="360"/>
      </w:pPr>
      <w:rPr>
        <w:rFonts w:ascii="Courier New" w:hAnsi="Courier New" w:cs="Courier New" w:hint="default"/>
      </w:rPr>
    </w:lvl>
    <w:lvl w:ilvl="2" w:tplc="C868CF32" w:tentative="1">
      <w:start w:val="1"/>
      <w:numFmt w:val="bullet"/>
      <w:lvlText w:val=""/>
      <w:lvlJc w:val="left"/>
      <w:pPr>
        <w:ind w:left="2160" w:hanging="360"/>
      </w:pPr>
      <w:rPr>
        <w:rFonts w:ascii="Wingdings" w:hAnsi="Wingdings" w:hint="default"/>
      </w:rPr>
    </w:lvl>
    <w:lvl w:ilvl="3" w:tplc="44A839F0" w:tentative="1">
      <w:start w:val="1"/>
      <w:numFmt w:val="bullet"/>
      <w:lvlText w:val=""/>
      <w:lvlJc w:val="left"/>
      <w:pPr>
        <w:ind w:left="2880" w:hanging="360"/>
      </w:pPr>
      <w:rPr>
        <w:rFonts w:ascii="Symbol" w:hAnsi="Symbol" w:hint="default"/>
      </w:rPr>
    </w:lvl>
    <w:lvl w:ilvl="4" w:tplc="1E449F9C" w:tentative="1">
      <w:start w:val="1"/>
      <w:numFmt w:val="bullet"/>
      <w:lvlText w:val="o"/>
      <w:lvlJc w:val="left"/>
      <w:pPr>
        <w:ind w:left="3600" w:hanging="360"/>
      </w:pPr>
      <w:rPr>
        <w:rFonts w:ascii="Courier New" w:hAnsi="Courier New" w:cs="Courier New" w:hint="default"/>
      </w:rPr>
    </w:lvl>
    <w:lvl w:ilvl="5" w:tplc="CF741934" w:tentative="1">
      <w:start w:val="1"/>
      <w:numFmt w:val="bullet"/>
      <w:lvlText w:val=""/>
      <w:lvlJc w:val="left"/>
      <w:pPr>
        <w:ind w:left="4320" w:hanging="360"/>
      </w:pPr>
      <w:rPr>
        <w:rFonts w:ascii="Wingdings" w:hAnsi="Wingdings" w:hint="default"/>
      </w:rPr>
    </w:lvl>
    <w:lvl w:ilvl="6" w:tplc="24B20618" w:tentative="1">
      <w:start w:val="1"/>
      <w:numFmt w:val="bullet"/>
      <w:lvlText w:val=""/>
      <w:lvlJc w:val="left"/>
      <w:pPr>
        <w:ind w:left="5040" w:hanging="360"/>
      </w:pPr>
      <w:rPr>
        <w:rFonts w:ascii="Symbol" w:hAnsi="Symbol" w:hint="default"/>
      </w:rPr>
    </w:lvl>
    <w:lvl w:ilvl="7" w:tplc="32204954" w:tentative="1">
      <w:start w:val="1"/>
      <w:numFmt w:val="bullet"/>
      <w:lvlText w:val="o"/>
      <w:lvlJc w:val="left"/>
      <w:pPr>
        <w:ind w:left="5760" w:hanging="360"/>
      </w:pPr>
      <w:rPr>
        <w:rFonts w:ascii="Courier New" w:hAnsi="Courier New" w:cs="Courier New" w:hint="default"/>
      </w:rPr>
    </w:lvl>
    <w:lvl w:ilvl="8" w:tplc="9CDC40BA" w:tentative="1">
      <w:start w:val="1"/>
      <w:numFmt w:val="bullet"/>
      <w:lvlText w:val=""/>
      <w:lvlJc w:val="left"/>
      <w:pPr>
        <w:ind w:left="6480" w:hanging="360"/>
      </w:pPr>
      <w:rPr>
        <w:rFonts w:ascii="Wingdings" w:hAnsi="Wingdings" w:hint="default"/>
      </w:rPr>
    </w:lvl>
  </w:abstractNum>
  <w:num w:numId="1" w16cid:durableId="388959356">
    <w:abstractNumId w:val="1"/>
  </w:num>
  <w:num w:numId="2" w16cid:durableId="153939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B8"/>
    <w:rsid w:val="0057220C"/>
    <w:rsid w:val="00617618"/>
    <w:rsid w:val="008012D2"/>
    <w:rsid w:val="009868B8"/>
    <w:rsid w:val="00A8793F"/>
    <w:rsid w:val="00D16B5E"/>
    <w:rsid w:val="00ED32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A7FA"/>
  <w15:docId w15:val="{672E40AE-8353-4BBB-84F7-5A8D7218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7848</Words>
  <Characters>44264</Characters>
  <Application>Microsoft Office Word</Application>
  <DocSecurity>0</DocSecurity>
  <Lines>962</Lines>
  <Paragraphs>814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2026-05-07T03:52:00Z</dcterms:created>
  <dcterms:modified xsi:type="dcterms:W3CDTF">2026-05-07T03:55:00Z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