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F5E7" w14:textId="77777777" w:rsidR="00DC122C" w:rsidRDefault="00DC122C">
      <w:pPr>
        <w:pStyle w:val="Heading1"/>
        <w:rPr>
          <w:rFonts w:cs="Arial"/>
        </w:rPr>
      </w:pPr>
      <w:bookmarkStart w:id="0" w:name="PRMS_RIName"/>
      <w:r>
        <w:rPr>
          <w:rFonts w:cs="Arial"/>
        </w:rPr>
        <w:t>Te Ata Resthome Limited - Te Ata Rest Home</w:t>
      </w:r>
      <w:bookmarkEnd w:id="0"/>
    </w:p>
    <w:p w14:paraId="455A88DE" w14:textId="77777777" w:rsidR="00DC122C" w:rsidRDefault="00DC122C">
      <w:pPr>
        <w:pStyle w:val="Heading2"/>
        <w:spacing w:after="0"/>
        <w:rPr>
          <w:rFonts w:cs="Arial"/>
        </w:rPr>
      </w:pPr>
      <w:r>
        <w:rPr>
          <w:rFonts w:cs="Arial"/>
        </w:rPr>
        <w:t>Introduction</w:t>
      </w:r>
    </w:p>
    <w:p w14:paraId="3D418058" w14:textId="77777777" w:rsidR="00DC122C" w:rsidRDefault="00DC122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4E585B1" w14:textId="77777777" w:rsidR="00DC122C" w:rsidRDefault="00DC122C">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4682FC" w14:textId="77777777" w:rsidR="00DC122C" w:rsidRDefault="00DC122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01BD36A" w14:textId="77777777" w:rsidR="00DC122C" w:rsidRDefault="00DC122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68A697E" w14:textId="77777777" w:rsidR="00DC122C" w:rsidRDefault="00DC122C">
      <w:pPr>
        <w:spacing w:before="240" w:after="240"/>
        <w:rPr>
          <w:rFonts w:cs="Arial"/>
          <w:lang w:eastAsia="en-NZ"/>
        </w:rPr>
      </w:pPr>
      <w:r>
        <w:rPr>
          <w:rFonts w:cs="Arial"/>
          <w:lang w:eastAsia="en-NZ"/>
        </w:rPr>
        <w:t>The specifics of this audit included:</w:t>
      </w:r>
    </w:p>
    <w:p w14:paraId="26FDD467" w14:textId="77777777" w:rsidR="00DC122C" w:rsidRPr="009D18F5" w:rsidRDefault="00DC122C" w:rsidP="009D18F5">
      <w:pPr>
        <w:pBdr>
          <w:top w:val="single" w:sz="4" w:space="1" w:color="auto"/>
          <w:left w:val="single" w:sz="4" w:space="4" w:color="auto"/>
          <w:bottom w:val="single" w:sz="4" w:space="1" w:color="auto"/>
          <w:right w:val="single" w:sz="4" w:space="4" w:color="auto"/>
        </w:pBdr>
        <w:rPr>
          <w:rFonts w:cs="Arial"/>
        </w:rPr>
      </w:pPr>
    </w:p>
    <w:p w14:paraId="72CA2DC9" w14:textId="77777777" w:rsidR="00DC122C" w:rsidRPr="009418D4" w:rsidRDefault="00DC122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Ata Resthome Limited</w:t>
      </w:r>
      <w:bookmarkEnd w:id="4"/>
    </w:p>
    <w:p w14:paraId="514B64F7" w14:textId="77777777" w:rsidR="00DC122C" w:rsidRPr="009418D4" w:rsidRDefault="00DC12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Ata Rest Home</w:t>
      </w:r>
      <w:bookmarkEnd w:id="5"/>
    </w:p>
    <w:p w14:paraId="546D35C4" w14:textId="77777777" w:rsidR="00DC122C" w:rsidRPr="009418D4" w:rsidRDefault="00DC12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CB47877" w14:textId="77777777" w:rsidR="00DC122C" w:rsidRPr="009418D4" w:rsidRDefault="00DC12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March 2026</w:t>
      </w:r>
      <w:bookmarkEnd w:id="7"/>
      <w:r w:rsidRPr="009418D4">
        <w:rPr>
          <w:rFonts w:cs="Arial"/>
        </w:rPr>
        <w:tab/>
        <w:t xml:space="preserve">End date: </w:t>
      </w:r>
      <w:bookmarkStart w:id="8" w:name="AuditEndDate"/>
      <w:r>
        <w:rPr>
          <w:rFonts w:cs="Arial"/>
        </w:rPr>
        <w:t>27 March 2026</w:t>
      </w:r>
      <w:bookmarkEnd w:id="8"/>
    </w:p>
    <w:p w14:paraId="327E6C63" w14:textId="77777777" w:rsidR="00DC122C" w:rsidRPr="009418D4" w:rsidRDefault="00DC122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710CEE2" w14:textId="77777777" w:rsidR="009E3AD5" w:rsidRPr="009418D4" w:rsidRDefault="00DC122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1ADD816E" w14:textId="77777777" w:rsidR="00DC122C" w:rsidRDefault="00DC122C" w:rsidP="009D18F5">
      <w:pPr>
        <w:pBdr>
          <w:top w:val="single" w:sz="4" w:space="1" w:color="auto"/>
          <w:left w:val="single" w:sz="4" w:space="4" w:color="auto"/>
          <w:bottom w:val="single" w:sz="4" w:space="1" w:color="auto"/>
          <w:right w:val="single" w:sz="4" w:space="4" w:color="auto"/>
        </w:pBdr>
        <w:rPr>
          <w:rFonts w:cs="Arial"/>
          <w:lang w:eastAsia="en-NZ"/>
        </w:rPr>
      </w:pPr>
    </w:p>
    <w:p w14:paraId="3EBB1DD2" w14:textId="77777777" w:rsidR="00DC122C" w:rsidRDefault="00DC122C">
      <w:pPr>
        <w:pStyle w:val="Heading1"/>
        <w:rPr>
          <w:rFonts w:cs="Arial"/>
        </w:rPr>
      </w:pPr>
      <w:r>
        <w:rPr>
          <w:rFonts w:cs="Arial"/>
        </w:rPr>
        <w:lastRenderedPageBreak/>
        <w:t>Executive summary of the audit</w:t>
      </w:r>
    </w:p>
    <w:p w14:paraId="2B73D85B" w14:textId="77777777" w:rsidR="00DC122C" w:rsidRDefault="00DC122C">
      <w:pPr>
        <w:pStyle w:val="Heading2"/>
        <w:rPr>
          <w:rFonts w:cs="Arial"/>
        </w:rPr>
      </w:pPr>
      <w:r>
        <w:rPr>
          <w:rFonts w:cs="Arial"/>
        </w:rPr>
        <w:t>Introduction</w:t>
      </w:r>
    </w:p>
    <w:p w14:paraId="163FF773" w14:textId="77777777" w:rsidR="00DC122C" w:rsidRDefault="00DC122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04A8D5" w14:textId="77777777" w:rsidR="00DC122C" w:rsidRDefault="00DC122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CDB3BE" w14:textId="77777777" w:rsidR="00DC122C" w:rsidRDefault="00DC122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755AFC" w14:textId="77777777" w:rsidR="00DC122C" w:rsidRDefault="00DC122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7306305" w14:textId="77777777" w:rsidR="00DC122C" w:rsidRDefault="00DC122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665378C0" w14:textId="77777777" w:rsidR="00DC122C" w:rsidRDefault="00DC122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B4C57F6" w14:textId="77777777" w:rsidR="00DC122C" w:rsidRDefault="00DC122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D735A9" w14:textId="77777777" w:rsidR="00DC122C" w:rsidRDefault="00DC122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D325E34" w14:textId="77777777" w:rsidR="00DC122C" w:rsidRDefault="00DC122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E3AD5" w14:paraId="3BE668B8" w14:textId="77777777">
        <w:trPr>
          <w:cantSplit/>
          <w:tblHeader/>
        </w:trPr>
        <w:tc>
          <w:tcPr>
            <w:tcW w:w="1260" w:type="dxa"/>
            <w:tcBorders>
              <w:bottom w:val="single" w:sz="4" w:space="0" w:color="000000"/>
            </w:tcBorders>
            <w:vAlign w:val="center"/>
          </w:tcPr>
          <w:p w14:paraId="3054A125" w14:textId="77777777" w:rsidR="00DC122C" w:rsidRDefault="00DC122C">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9B6E162" w14:textId="77777777" w:rsidR="00DC122C" w:rsidRDefault="00DC122C">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7F13761" w14:textId="77777777" w:rsidR="00DC122C" w:rsidRDefault="00DC122C">
            <w:pPr>
              <w:spacing w:before="60" w:after="60"/>
              <w:rPr>
                <w:rFonts w:eastAsia="Calibri"/>
                <w:b/>
                <w:szCs w:val="24"/>
              </w:rPr>
            </w:pPr>
            <w:r>
              <w:rPr>
                <w:rFonts w:eastAsia="Calibri"/>
                <w:b/>
                <w:szCs w:val="24"/>
              </w:rPr>
              <w:t>Definition</w:t>
            </w:r>
          </w:p>
        </w:tc>
      </w:tr>
      <w:tr w:rsidR="009E3AD5" w14:paraId="10F89F6D" w14:textId="77777777">
        <w:trPr>
          <w:cantSplit/>
          <w:trHeight w:val="964"/>
        </w:trPr>
        <w:tc>
          <w:tcPr>
            <w:tcW w:w="1260" w:type="dxa"/>
            <w:tcBorders>
              <w:bottom w:val="single" w:sz="4" w:space="0" w:color="000000"/>
            </w:tcBorders>
            <w:shd w:val="clear" w:color="0066FF" w:fill="0000FF"/>
            <w:vAlign w:val="center"/>
          </w:tcPr>
          <w:p w14:paraId="114C2494" w14:textId="77777777" w:rsidR="00DC122C" w:rsidRDefault="00DC122C">
            <w:pPr>
              <w:spacing w:before="60" w:after="60"/>
              <w:rPr>
                <w:rFonts w:eastAsia="Calibri"/>
                <w:szCs w:val="24"/>
              </w:rPr>
            </w:pPr>
          </w:p>
        </w:tc>
        <w:tc>
          <w:tcPr>
            <w:tcW w:w="7095" w:type="dxa"/>
            <w:tcBorders>
              <w:bottom w:val="single" w:sz="4" w:space="0" w:color="000000"/>
            </w:tcBorders>
            <w:vAlign w:val="center"/>
          </w:tcPr>
          <w:p w14:paraId="3123EB0D" w14:textId="77777777" w:rsidR="00DC122C" w:rsidRDefault="00DC122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9FD2EC9" w14:textId="44D2AD72" w:rsidR="00DC122C" w:rsidRDefault="00DC122C">
            <w:pPr>
              <w:spacing w:before="60" w:after="60"/>
              <w:ind w:left="50"/>
              <w:rPr>
                <w:rFonts w:eastAsia="Calibri"/>
                <w:szCs w:val="24"/>
              </w:rPr>
            </w:pPr>
            <w:r w:rsidRPr="00FB778F">
              <w:rPr>
                <w:rFonts w:eastAsia="Calibri"/>
                <w:szCs w:val="24"/>
              </w:rPr>
              <w:t xml:space="preserve">All subsections applicable to this service </w:t>
            </w:r>
            <w:r w:rsidR="00D67FA3">
              <w:rPr>
                <w:rFonts w:eastAsia="Calibri"/>
                <w:szCs w:val="24"/>
              </w:rPr>
              <w:t xml:space="preserve">are </w:t>
            </w:r>
            <w:r w:rsidRPr="00FB778F">
              <w:rPr>
                <w:rFonts w:eastAsia="Calibri"/>
                <w:szCs w:val="24"/>
              </w:rPr>
              <w:t>fully attained with some subsections exceeded</w:t>
            </w:r>
          </w:p>
        </w:tc>
      </w:tr>
      <w:tr w:rsidR="009E3AD5" w14:paraId="1DC8464C" w14:textId="77777777">
        <w:trPr>
          <w:cantSplit/>
          <w:trHeight w:val="964"/>
        </w:trPr>
        <w:tc>
          <w:tcPr>
            <w:tcW w:w="1260" w:type="dxa"/>
            <w:shd w:val="clear" w:color="33CC33" w:fill="00FF00"/>
            <w:vAlign w:val="center"/>
          </w:tcPr>
          <w:p w14:paraId="2D08DA3C" w14:textId="77777777" w:rsidR="00DC122C" w:rsidRDefault="00DC122C">
            <w:pPr>
              <w:spacing w:before="60" w:after="60"/>
              <w:rPr>
                <w:rFonts w:eastAsia="Calibri"/>
                <w:szCs w:val="24"/>
              </w:rPr>
            </w:pPr>
          </w:p>
        </w:tc>
        <w:tc>
          <w:tcPr>
            <w:tcW w:w="7095" w:type="dxa"/>
            <w:vAlign w:val="center"/>
          </w:tcPr>
          <w:p w14:paraId="47A90E22" w14:textId="77777777" w:rsidR="00DC122C" w:rsidRDefault="00DC122C">
            <w:pPr>
              <w:spacing w:before="60" w:after="60"/>
              <w:ind w:left="50"/>
              <w:rPr>
                <w:rFonts w:eastAsia="Calibri"/>
                <w:szCs w:val="24"/>
              </w:rPr>
            </w:pPr>
            <w:r>
              <w:rPr>
                <w:rFonts w:eastAsia="Calibri"/>
                <w:szCs w:val="24"/>
              </w:rPr>
              <w:t>No short falls</w:t>
            </w:r>
          </w:p>
        </w:tc>
        <w:tc>
          <w:tcPr>
            <w:tcW w:w="7096" w:type="dxa"/>
            <w:vAlign w:val="center"/>
          </w:tcPr>
          <w:p w14:paraId="3B8FFC21" w14:textId="0D0DBD0A" w:rsidR="00DC122C" w:rsidRDefault="00DC122C">
            <w:pPr>
              <w:spacing w:before="60" w:after="60"/>
              <w:ind w:left="50"/>
              <w:rPr>
                <w:rFonts w:eastAsia="Calibri"/>
                <w:szCs w:val="24"/>
              </w:rPr>
            </w:pPr>
            <w:r w:rsidRPr="00FB778F">
              <w:rPr>
                <w:rFonts w:eastAsia="Calibri"/>
                <w:szCs w:val="24"/>
              </w:rPr>
              <w:t xml:space="preserve">Subsections applicable to this service </w:t>
            </w:r>
            <w:r w:rsidR="00D67FA3">
              <w:rPr>
                <w:rFonts w:eastAsia="Calibri"/>
                <w:szCs w:val="24"/>
              </w:rPr>
              <w:t xml:space="preserve">are </w:t>
            </w:r>
            <w:r w:rsidRPr="00FB778F">
              <w:rPr>
                <w:rFonts w:eastAsia="Calibri"/>
                <w:szCs w:val="24"/>
              </w:rPr>
              <w:t>fully attained</w:t>
            </w:r>
          </w:p>
        </w:tc>
      </w:tr>
      <w:tr w:rsidR="009E3AD5" w14:paraId="41B57295" w14:textId="77777777">
        <w:trPr>
          <w:cantSplit/>
          <w:trHeight w:val="964"/>
        </w:trPr>
        <w:tc>
          <w:tcPr>
            <w:tcW w:w="1260" w:type="dxa"/>
            <w:tcBorders>
              <w:bottom w:val="single" w:sz="4" w:space="0" w:color="000000"/>
            </w:tcBorders>
            <w:shd w:val="clear" w:color="auto" w:fill="FFFF00"/>
            <w:vAlign w:val="center"/>
          </w:tcPr>
          <w:p w14:paraId="273D8FF4" w14:textId="77777777" w:rsidR="00DC122C" w:rsidRDefault="00DC122C">
            <w:pPr>
              <w:spacing w:before="60" w:after="60"/>
              <w:rPr>
                <w:rFonts w:eastAsia="Calibri"/>
                <w:szCs w:val="24"/>
              </w:rPr>
            </w:pPr>
          </w:p>
        </w:tc>
        <w:tc>
          <w:tcPr>
            <w:tcW w:w="7095" w:type="dxa"/>
            <w:vAlign w:val="center"/>
          </w:tcPr>
          <w:p w14:paraId="7FC83BE9" w14:textId="77777777" w:rsidR="00DC122C" w:rsidRDefault="00DC122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FAF434B" w14:textId="00939CD1" w:rsidR="00DC122C" w:rsidRDefault="00DC122C">
            <w:pPr>
              <w:spacing w:before="60" w:after="60"/>
              <w:ind w:left="50"/>
              <w:rPr>
                <w:rFonts w:eastAsia="Calibri"/>
                <w:szCs w:val="24"/>
              </w:rPr>
            </w:pPr>
            <w:r w:rsidRPr="00FB778F">
              <w:rPr>
                <w:rFonts w:eastAsia="Calibri"/>
                <w:szCs w:val="24"/>
              </w:rPr>
              <w:t xml:space="preserve">Some subsections applicable to this service </w:t>
            </w:r>
            <w:r w:rsidR="00D67FA3">
              <w:rPr>
                <w:rFonts w:eastAsia="Calibri"/>
                <w:szCs w:val="24"/>
              </w:rPr>
              <w:t xml:space="preserve">are </w:t>
            </w:r>
            <w:r w:rsidRPr="00FB778F">
              <w:rPr>
                <w:rFonts w:eastAsia="Calibri"/>
                <w:szCs w:val="24"/>
              </w:rPr>
              <w:t>partially attained and of low risk</w:t>
            </w:r>
          </w:p>
        </w:tc>
      </w:tr>
      <w:tr w:rsidR="009E3AD5" w14:paraId="303082CD" w14:textId="77777777">
        <w:trPr>
          <w:cantSplit/>
          <w:trHeight w:val="964"/>
        </w:trPr>
        <w:tc>
          <w:tcPr>
            <w:tcW w:w="1260" w:type="dxa"/>
            <w:tcBorders>
              <w:bottom w:val="single" w:sz="4" w:space="0" w:color="000000"/>
            </w:tcBorders>
            <w:shd w:val="clear" w:color="auto" w:fill="FFC800"/>
            <w:vAlign w:val="center"/>
          </w:tcPr>
          <w:p w14:paraId="68F98BE7" w14:textId="77777777" w:rsidR="00DC122C" w:rsidRDefault="00DC122C">
            <w:pPr>
              <w:spacing w:before="60" w:after="60"/>
              <w:rPr>
                <w:rFonts w:eastAsia="Calibri"/>
                <w:szCs w:val="24"/>
              </w:rPr>
            </w:pPr>
          </w:p>
        </w:tc>
        <w:tc>
          <w:tcPr>
            <w:tcW w:w="7095" w:type="dxa"/>
            <w:tcBorders>
              <w:bottom w:val="single" w:sz="4" w:space="0" w:color="000000"/>
            </w:tcBorders>
            <w:vAlign w:val="center"/>
          </w:tcPr>
          <w:p w14:paraId="48790B96" w14:textId="77777777" w:rsidR="00DC122C" w:rsidRDefault="00DC122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6BE5E32" w14:textId="401C3526" w:rsidR="00DC122C" w:rsidRDefault="00DC122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D67FA3">
              <w:rPr>
                <w:rFonts w:eastAsia="Calibri"/>
                <w:szCs w:val="24"/>
              </w:rPr>
              <w:t xml:space="preserve">are </w:t>
            </w:r>
            <w:r>
              <w:rPr>
                <w:rFonts w:eastAsia="Calibri"/>
                <w:szCs w:val="24"/>
              </w:rPr>
              <w:t>partially attained and of medium or high risk and/or unattained and of low risk</w:t>
            </w:r>
          </w:p>
        </w:tc>
      </w:tr>
      <w:tr w:rsidR="009E3AD5" w14:paraId="7B736C20" w14:textId="77777777">
        <w:trPr>
          <w:cantSplit/>
          <w:trHeight w:val="964"/>
        </w:trPr>
        <w:tc>
          <w:tcPr>
            <w:tcW w:w="1260" w:type="dxa"/>
            <w:shd w:val="clear" w:color="auto" w:fill="FF0000"/>
            <w:vAlign w:val="center"/>
          </w:tcPr>
          <w:p w14:paraId="5016B5C2" w14:textId="77777777" w:rsidR="00DC122C" w:rsidRDefault="00DC122C">
            <w:pPr>
              <w:spacing w:before="60" w:after="60"/>
              <w:rPr>
                <w:rFonts w:eastAsia="Calibri"/>
                <w:szCs w:val="24"/>
              </w:rPr>
            </w:pPr>
          </w:p>
        </w:tc>
        <w:tc>
          <w:tcPr>
            <w:tcW w:w="7095" w:type="dxa"/>
            <w:vAlign w:val="center"/>
          </w:tcPr>
          <w:p w14:paraId="1247B1AA" w14:textId="77777777" w:rsidR="00DC122C" w:rsidRDefault="00DC122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3778698" w14:textId="704A0261" w:rsidR="00DC122C" w:rsidRDefault="00DC122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D67FA3">
              <w:rPr>
                <w:rFonts w:eastAsia="Calibri"/>
                <w:szCs w:val="24"/>
              </w:rPr>
              <w:t xml:space="preserve">are </w:t>
            </w:r>
            <w:r>
              <w:rPr>
                <w:rFonts w:eastAsia="Calibri"/>
                <w:szCs w:val="24"/>
              </w:rPr>
              <w:t>unattained and of moderate or high risk</w:t>
            </w:r>
          </w:p>
        </w:tc>
      </w:tr>
    </w:tbl>
    <w:p w14:paraId="160811F2" w14:textId="77777777" w:rsidR="00DC122C" w:rsidRDefault="00DC122C">
      <w:pPr>
        <w:pStyle w:val="Heading2"/>
        <w:spacing w:after="0"/>
        <w:rPr>
          <w:rFonts w:cs="Arial"/>
        </w:rPr>
      </w:pPr>
      <w:r>
        <w:rPr>
          <w:rFonts w:cs="Arial"/>
        </w:rPr>
        <w:t>General overview of the audit</w:t>
      </w:r>
    </w:p>
    <w:p w14:paraId="4EA53061" w14:textId="77777777" w:rsidR="00DC122C" w:rsidRDefault="00DC122C">
      <w:pPr>
        <w:spacing w:before="240" w:line="276" w:lineRule="auto"/>
        <w:rPr>
          <w:rFonts w:eastAsia="Calibri"/>
        </w:rPr>
      </w:pPr>
      <w:bookmarkStart w:id="13" w:name="GeneralOverview"/>
      <w:r w:rsidRPr="00A4268A">
        <w:rPr>
          <w:rFonts w:eastAsia="Calibri"/>
        </w:rPr>
        <w:t>Te Ata Rest Home provides rest home-level care for up to 29 residents. On the audit day, there were 29 residents receiving care across the four wings of the facility.</w:t>
      </w:r>
    </w:p>
    <w:p w14:paraId="323DCD4F" w14:textId="77777777" w:rsidR="009E3AD5" w:rsidRPr="00A4268A" w:rsidRDefault="00DC122C">
      <w:pPr>
        <w:spacing w:before="240" w:line="276" w:lineRule="auto"/>
        <w:rPr>
          <w:rFonts w:eastAsia="Calibri"/>
        </w:rPr>
      </w:pPr>
      <w:r w:rsidRPr="00A4268A">
        <w:rPr>
          <w:rFonts w:eastAsia="Calibri"/>
        </w:rPr>
        <w:t>There have been no significant changes to the facility or management since the previous audit.</w:t>
      </w:r>
    </w:p>
    <w:p w14:paraId="07FA21E6" w14:textId="77777777" w:rsidR="009E3AD5" w:rsidRPr="00A4268A" w:rsidRDefault="00DC122C">
      <w:pPr>
        <w:spacing w:before="240" w:line="276" w:lineRule="auto"/>
        <w:rPr>
          <w:rFonts w:eastAsia="Calibri"/>
        </w:rPr>
      </w:pPr>
      <w:r w:rsidRPr="00A4268A">
        <w:rPr>
          <w:rFonts w:eastAsia="Calibri"/>
        </w:rPr>
        <w:t>This certification audit was conducted against the relevant Ngā Paerewa Health and Disability Services Standard NZS 8134:2021 and the contract held with Health New Zealand – Te Whatu Ora. The audit process included a review of policies and procedures, a review of residents’ and staff files, observations, and interviews with residents, whānau, staff, and management. Residents and whānau were complimentary about the care provided.</w:t>
      </w:r>
    </w:p>
    <w:p w14:paraId="21F33200" w14:textId="77777777" w:rsidR="009E3AD5" w:rsidRPr="00A4268A" w:rsidRDefault="00DC122C">
      <w:pPr>
        <w:spacing w:before="240" w:line="276" w:lineRule="auto"/>
        <w:rPr>
          <w:rFonts w:eastAsia="Calibri"/>
        </w:rPr>
      </w:pPr>
      <w:r w:rsidRPr="00A4268A">
        <w:rPr>
          <w:rFonts w:eastAsia="Calibri"/>
        </w:rPr>
        <w:t>The owner/manager is supported by a clinical nurse manager, a registered nurse, and an office manager.</w:t>
      </w:r>
    </w:p>
    <w:p w14:paraId="09D1DB62" w14:textId="77777777" w:rsidR="009E3AD5" w:rsidRPr="00A4268A" w:rsidRDefault="00DC122C">
      <w:pPr>
        <w:spacing w:before="240" w:line="276" w:lineRule="auto"/>
        <w:rPr>
          <w:rFonts w:eastAsia="Calibri"/>
        </w:rPr>
      </w:pPr>
      <w:r w:rsidRPr="00A4268A">
        <w:rPr>
          <w:rFonts w:eastAsia="Calibri"/>
        </w:rPr>
        <w:t xml:space="preserve">Strengths of the service, resulting in continuous improvement ratings, included: the resident information management system, falls prevention and management, bowel management, and infection prevention and control. </w:t>
      </w:r>
    </w:p>
    <w:p w14:paraId="52D9E69D" w14:textId="77777777" w:rsidR="009E3AD5" w:rsidRPr="00A4268A" w:rsidRDefault="00DC122C">
      <w:pPr>
        <w:spacing w:before="240" w:line="276" w:lineRule="auto"/>
        <w:rPr>
          <w:rFonts w:eastAsia="Calibri"/>
        </w:rPr>
      </w:pPr>
      <w:r w:rsidRPr="00A4268A">
        <w:rPr>
          <w:rFonts w:eastAsia="Calibri"/>
        </w:rPr>
        <w:t>The certification audit identified that the service not only meets the Standards but has exceeded them, as evidenced by continuous improvement initiatives.</w:t>
      </w:r>
    </w:p>
    <w:bookmarkEnd w:id="13"/>
    <w:p w14:paraId="0C70EEBA" w14:textId="77777777" w:rsidR="009E3AD5" w:rsidRPr="00A4268A" w:rsidRDefault="009E3AD5">
      <w:pPr>
        <w:spacing w:before="240" w:line="276" w:lineRule="auto"/>
        <w:rPr>
          <w:rFonts w:eastAsia="Calibri"/>
        </w:rPr>
      </w:pPr>
    </w:p>
    <w:p w14:paraId="6383194E" w14:textId="77777777" w:rsidR="00DC122C" w:rsidRDefault="00DC122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AD5" w14:paraId="4926DBD0" w14:textId="77777777" w:rsidTr="00A4268A">
        <w:trPr>
          <w:cantSplit/>
        </w:trPr>
        <w:tc>
          <w:tcPr>
            <w:tcW w:w="10206" w:type="dxa"/>
            <w:vAlign w:val="center"/>
          </w:tcPr>
          <w:p w14:paraId="376EA6F8" w14:textId="77777777" w:rsidR="00DC122C" w:rsidRPr="00FB778F" w:rsidRDefault="00DC122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B084592" w14:textId="77777777" w:rsidR="00DC122C" w:rsidRPr="00621629" w:rsidRDefault="00DC122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761C4D5" w14:textId="77777777" w:rsidR="00DC122C" w:rsidRPr="00621629" w:rsidRDefault="00DC122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CC91490" w14:textId="1AFD3823" w:rsidR="00DC122C" w:rsidRPr="00621629" w:rsidRDefault="00DC122C" w:rsidP="008F3634">
            <w:pPr>
              <w:spacing w:before="60" w:after="60" w:line="276" w:lineRule="auto"/>
              <w:rPr>
                <w:rFonts w:eastAsia="Calibri"/>
              </w:rPr>
            </w:pPr>
            <w:bookmarkStart w:id="15" w:name="IndicatorDescription1_1"/>
            <w:bookmarkEnd w:id="15"/>
            <w:r>
              <w:t xml:space="preserve">Subsections applicable to this service </w:t>
            </w:r>
            <w:r w:rsidR="00D67FA3">
              <w:t xml:space="preserve">are </w:t>
            </w:r>
            <w:r>
              <w:t>fully attained.</w:t>
            </w:r>
          </w:p>
        </w:tc>
      </w:tr>
    </w:tbl>
    <w:p w14:paraId="72CB8C02" w14:textId="77777777" w:rsidR="00DC122C" w:rsidRDefault="00DC122C">
      <w:pPr>
        <w:spacing w:before="240" w:line="276" w:lineRule="auto"/>
        <w:rPr>
          <w:rFonts w:eastAsia="Calibri"/>
        </w:rPr>
      </w:pPr>
      <w:bookmarkStart w:id="16" w:name="ConsumerRights"/>
      <w:r w:rsidRPr="00A4268A">
        <w:rPr>
          <w:rFonts w:eastAsia="Calibri"/>
        </w:rPr>
        <w:t xml:space="preserve">Te Ata Rest Home Limited works collaboratively to support and encourage a Māori worldview of health in service delivery. Māori are provided with equitable and effective services based on Te Tiriti o Waitangi and the principles of mana motuhake. </w:t>
      </w:r>
    </w:p>
    <w:p w14:paraId="05C71394" w14:textId="77777777" w:rsidR="009E3AD5" w:rsidRPr="00A4268A" w:rsidRDefault="00DC122C">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4146C924" w14:textId="77777777" w:rsidR="009E3AD5" w:rsidRPr="00A4268A" w:rsidRDefault="00DC122C">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39F42A4" w14:textId="77777777" w:rsidR="009E3AD5" w:rsidRPr="00A4268A" w:rsidRDefault="00DC122C">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1FCC823E" w14:textId="77777777" w:rsidR="009E3AD5" w:rsidRPr="00A4268A" w:rsidRDefault="00DC122C">
      <w:pPr>
        <w:spacing w:before="240" w:line="276" w:lineRule="auto"/>
        <w:rPr>
          <w:rFonts w:eastAsia="Calibri"/>
        </w:rPr>
      </w:pPr>
      <w:r w:rsidRPr="00A4268A">
        <w:rPr>
          <w:rFonts w:eastAsia="Calibri"/>
        </w:rPr>
        <w:t>Complaints are resolved promptly and effectively in collaboration with all parties involved.</w:t>
      </w:r>
    </w:p>
    <w:bookmarkEnd w:id="16"/>
    <w:p w14:paraId="03AD5740" w14:textId="77777777" w:rsidR="009E3AD5" w:rsidRPr="00A4268A" w:rsidRDefault="009E3AD5">
      <w:pPr>
        <w:spacing w:before="240" w:line="276" w:lineRule="auto"/>
        <w:rPr>
          <w:rFonts w:eastAsia="Calibri"/>
        </w:rPr>
      </w:pPr>
    </w:p>
    <w:p w14:paraId="2BF8D3BF" w14:textId="77777777" w:rsidR="00DC122C" w:rsidRDefault="00DC122C" w:rsidP="000E6E02">
      <w:pPr>
        <w:pStyle w:val="Heading2"/>
        <w:spacing w:before="0"/>
        <w:rPr>
          <w:rFonts w:cs="Arial"/>
        </w:rPr>
      </w:pPr>
      <w:r w:rsidRPr="00FB778F">
        <w:rPr>
          <w:rFonts w:cs="Arial"/>
        </w:rPr>
        <w:lastRenderedPageBreak/>
        <w:t>Hunga</w:t>
      </w:r>
      <w:r w:rsidRPr="00FB778F">
        <w:rPr>
          <w:rFonts w:cs="Arial"/>
        </w:rPr>
        <w:t xml:space="preserve">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AD5" w14:paraId="786BC8FD" w14:textId="77777777" w:rsidTr="00A4268A">
        <w:trPr>
          <w:cantSplit/>
        </w:trPr>
        <w:tc>
          <w:tcPr>
            <w:tcW w:w="10206" w:type="dxa"/>
            <w:vAlign w:val="center"/>
          </w:tcPr>
          <w:p w14:paraId="03E00149" w14:textId="77777777" w:rsidR="00DC122C" w:rsidRPr="00621629" w:rsidRDefault="00DC122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39DF827" w14:textId="77777777" w:rsidR="00DC122C" w:rsidRPr="00621629" w:rsidRDefault="00DC122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45D792" w14:textId="1B6993CC" w:rsidR="00DC122C" w:rsidRPr="00621629" w:rsidRDefault="00DC122C" w:rsidP="00621629">
            <w:pPr>
              <w:spacing w:before="60" w:after="60" w:line="276" w:lineRule="auto"/>
              <w:rPr>
                <w:rFonts w:eastAsia="Calibri"/>
              </w:rPr>
            </w:pPr>
            <w:bookmarkStart w:id="18" w:name="IndicatorDescription1_2"/>
            <w:bookmarkEnd w:id="18"/>
            <w:r>
              <w:t xml:space="preserve">Subsections applicable to this service </w:t>
            </w:r>
            <w:r w:rsidR="00D67FA3">
              <w:t xml:space="preserve">are </w:t>
            </w:r>
            <w:r>
              <w:t>fully attained.</w:t>
            </w:r>
          </w:p>
        </w:tc>
      </w:tr>
    </w:tbl>
    <w:p w14:paraId="5A0A80A7" w14:textId="77777777" w:rsidR="00DC122C" w:rsidRDefault="00DC122C">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5FF6727D" w14:textId="77777777" w:rsidR="009E3AD5" w:rsidRPr="00A4268A" w:rsidRDefault="00DC122C">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C930DDD" w14:textId="77777777" w:rsidR="009E3AD5" w:rsidRPr="00A4268A" w:rsidRDefault="00DC122C">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008792B5" w14:textId="77777777" w:rsidR="009E3AD5" w:rsidRPr="00A4268A" w:rsidRDefault="00DC122C">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C13DECD" w14:textId="77777777" w:rsidR="009E3AD5" w:rsidRPr="00A4268A" w:rsidRDefault="00DC122C">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51574F64" w14:textId="77777777" w:rsidR="009E3AD5" w:rsidRPr="00A4268A" w:rsidRDefault="00DC122C">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1D8D8A85" w14:textId="77777777" w:rsidR="009E3AD5" w:rsidRPr="00A4268A" w:rsidRDefault="009E3AD5">
      <w:pPr>
        <w:spacing w:before="240" w:line="276" w:lineRule="auto"/>
        <w:rPr>
          <w:rFonts w:eastAsia="Calibri"/>
        </w:rPr>
      </w:pPr>
    </w:p>
    <w:p w14:paraId="5A07C5F7" w14:textId="77777777" w:rsidR="00DC122C" w:rsidRDefault="00DC122C"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AD5" w14:paraId="678FF9DE" w14:textId="77777777" w:rsidTr="00A4268A">
        <w:trPr>
          <w:cantSplit/>
        </w:trPr>
        <w:tc>
          <w:tcPr>
            <w:tcW w:w="10206" w:type="dxa"/>
            <w:vAlign w:val="center"/>
          </w:tcPr>
          <w:p w14:paraId="774270AA" w14:textId="77777777" w:rsidR="00DC122C" w:rsidRPr="00621629" w:rsidRDefault="00DC122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E92517" w14:textId="77777777" w:rsidR="00DC122C" w:rsidRPr="00621629" w:rsidRDefault="00DC122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D40BC98" w14:textId="32A46134" w:rsidR="00DC122C" w:rsidRPr="00621629" w:rsidRDefault="00DC122C" w:rsidP="00621629">
            <w:pPr>
              <w:spacing w:before="60" w:after="60" w:line="276" w:lineRule="auto"/>
              <w:rPr>
                <w:rFonts w:eastAsia="Calibri"/>
              </w:rPr>
            </w:pPr>
            <w:bookmarkStart w:id="21" w:name="IndicatorDescription1_3"/>
            <w:bookmarkEnd w:id="21"/>
            <w:r>
              <w:t xml:space="preserve">Subsections applicable to this service </w:t>
            </w:r>
            <w:r w:rsidR="00D67FA3">
              <w:t xml:space="preserve">are </w:t>
            </w:r>
            <w:r>
              <w:t>fully attained.</w:t>
            </w:r>
          </w:p>
        </w:tc>
      </w:tr>
    </w:tbl>
    <w:p w14:paraId="1971B429" w14:textId="77777777" w:rsidR="00DC122C" w:rsidRPr="005E14A4" w:rsidRDefault="00DC122C"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3A193BB2" w14:textId="77777777" w:rsidR="009E3AD5" w:rsidRPr="00A4268A" w:rsidRDefault="00DC122C"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513FB58" w14:textId="77777777" w:rsidR="009E3AD5" w:rsidRPr="00A4268A" w:rsidRDefault="00DC122C"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1A9E5D73" w14:textId="77777777" w:rsidR="009E3AD5" w:rsidRPr="00A4268A" w:rsidRDefault="00DC122C"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4873CFA1" w14:textId="77777777" w:rsidR="009E3AD5" w:rsidRPr="00A4268A" w:rsidRDefault="00DC122C"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DF13EF0" w14:textId="77777777" w:rsidR="009E3AD5" w:rsidRPr="00A4268A" w:rsidRDefault="00DC122C" w:rsidP="00621629">
      <w:pPr>
        <w:spacing w:before="240" w:line="276" w:lineRule="auto"/>
        <w:rPr>
          <w:rFonts w:eastAsia="Calibri"/>
        </w:rPr>
      </w:pPr>
      <w:r w:rsidRPr="00A4268A">
        <w:rPr>
          <w:rFonts w:eastAsia="Calibri"/>
        </w:rPr>
        <w:t>Residents are referred or transferred to other health services as required.</w:t>
      </w:r>
    </w:p>
    <w:bookmarkEnd w:id="22"/>
    <w:p w14:paraId="4B0842CC" w14:textId="77777777" w:rsidR="009E3AD5" w:rsidRPr="00A4268A" w:rsidRDefault="009E3AD5" w:rsidP="00621629">
      <w:pPr>
        <w:spacing w:before="240" w:line="276" w:lineRule="auto"/>
        <w:rPr>
          <w:rFonts w:eastAsia="Calibri"/>
        </w:rPr>
      </w:pPr>
    </w:p>
    <w:p w14:paraId="16F75C23" w14:textId="77777777" w:rsidR="00DC122C" w:rsidRDefault="00DC122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AD5" w14:paraId="05E519C0" w14:textId="77777777" w:rsidTr="00A4268A">
        <w:trPr>
          <w:cantSplit/>
        </w:trPr>
        <w:tc>
          <w:tcPr>
            <w:tcW w:w="10206" w:type="dxa"/>
            <w:vAlign w:val="center"/>
          </w:tcPr>
          <w:p w14:paraId="2A965DE4" w14:textId="77777777" w:rsidR="00DC122C" w:rsidRPr="00621629" w:rsidRDefault="00DC122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59CCFFD" w14:textId="77777777" w:rsidR="00DC122C" w:rsidRPr="00621629" w:rsidRDefault="00DC122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BE406C9" w14:textId="2F928D53" w:rsidR="00DC122C" w:rsidRPr="00621629" w:rsidRDefault="00DC122C" w:rsidP="00621629">
            <w:pPr>
              <w:spacing w:before="60" w:after="60" w:line="276" w:lineRule="auto"/>
              <w:rPr>
                <w:rFonts w:eastAsia="Calibri"/>
              </w:rPr>
            </w:pPr>
            <w:bookmarkStart w:id="24" w:name="IndicatorDescription1_4"/>
            <w:bookmarkEnd w:id="24"/>
            <w:r>
              <w:t>Subsections applicable to this service</w:t>
            </w:r>
            <w:r w:rsidR="00D67FA3">
              <w:t xml:space="preserve"> are</w:t>
            </w:r>
            <w:r>
              <w:t xml:space="preserve"> fully attained.</w:t>
            </w:r>
          </w:p>
        </w:tc>
      </w:tr>
    </w:tbl>
    <w:p w14:paraId="41198E3A" w14:textId="77777777" w:rsidR="00DC122C" w:rsidRDefault="00DC122C">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0C7218BF" w14:textId="77777777" w:rsidR="009E3AD5" w:rsidRPr="00A4268A" w:rsidRDefault="00DC122C">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102C0A6B" w14:textId="77777777" w:rsidR="009E3AD5" w:rsidRPr="00A4268A" w:rsidRDefault="009E3AD5">
      <w:pPr>
        <w:spacing w:before="240" w:line="276" w:lineRule="auto"/>
        <w:rPr>
          <w:rFonts w:eastAsia="Calibri"/>
        </w:rPr>
      </w:pPr>
    </w:p>
    <w:p w14:paraId="049852BD" w14:textId="77777777" w:rsidR="00DC122C" w:rsidRDefault="00DC122C"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AD5" w14:paraId="7AECBE29" w14:textId="77777777" w:rsidTr="00A4268A">
        <w:trPr>
          <w:cantSplit/>
        </w:trPr>
        <w:tc>
          <w:tcPr>
            <w:tcW w:w="10206" w:type="dxa"/>
            <w:vAlign w:val="center"/>
          </w:tcPr>
          <w:p w14:paraId="62AAC20C" w14:textId="77777777" w:rsidR="00DC122C" w:rsidRPr="00621629" w:rsidRDefault="00DC122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E338B3" w14:textId="77777777" w:rsidR="00DC122C" w:rsidRPr="00621629" w:rsidRDefault="00DC122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030BE8" w14:textId="5A4941CE" w:rsidR="00DC122C" w:rsidRPr="00621629" w:rsidRDefault="00DC122C" w:rsidP="00621629">
            <w:pPr>
              <w:spacing w:before="60" w:after="60" w:line="276" w:lineRule="auto"/>
              <w:rPr>
                <w:rFonts w:eastAsia="Calibri"/>
              </w:rPr>
            </w:pPr>
            <w:bookmarkStart w:id="27" w:name="IndicatorDescription2"/>
            <w:bookmarkEnd w:id="27"/>
            <w:r>
              <w:t xml:space="preserve">Subsections applicable to this service </w:t>
            </w:r>
            <w:r w:rsidR="00D67FA3">
              <w:t xml:space="preserve">are </w:t>
            </w:r>
            <w:r>
              <w:t>fully attained.</w:t>
            </w:r>
          </w:p>
        </w:tc>
      </w:tr>
    </w:tbl>
    <w:p w14:paraId="674826E6" w14:textId="77777777" w:rsidR="00DC122C" w:rsidRDefault="00DC122C">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56093712" w14:textId="77777777" w:rsidR="009E3AD5" w:rsidRPr="00A4268A" w:rsidRDefault="00DC122C">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3A928E7F" w14:textId="77777777" w:rsidR="009E3AD5" w:rsidRPr="00A4268A" w:rsidRDefault="00DC122C">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37179A0" w14:textId="77777777" w:rsidR="009E3AD5" w:rsidRPr="00A4268A" w:rsidRDefault="00DC122C">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5353C0A5" w14:textId="77777777" w:rsidR="009E3AD5" w:rsidRPr="00A4268A" w:rsidRDefault="00DC122C">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F126BC2" w14:textId="77777777" w:rsidR="009E3AD5" w:rsidRPr="00A4268A" w:rsidRDefault="009E3AD5">
      <w:pPr>
        <w:spacing w:before="240" w:line="276" w:lineRule="auto"/>
        <w:rPr>
          <w:rFonts w:eastAsia="Calibri"/>
        </w:rPr>
      </w:pPr>
    </w:p>
    <w:p w14:paraId="10BCC7F2" w14:textId="77777777" w:rsidR="00DC122C" w:rsidRDefault="00DC122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AD5" w14:paraId="409E0739" w14:textId="77777777" w:rsidTr="00A4268A">
        <w:trPr>
          <w:cantSplit/>
        </w:trPr>
        <w:tc>
          <w:tcPr>
            <w:tcW w:w="10206" w:type="dxa"/>
            <w:vAlign w:val="center"/>
          </w:tcPr>
          <w:p w14:paraId="354F59EB" w14:textId="77777777" w:rsidR="00DC122C" w:rsidRPr="00621629" w:rsidRDefault="00DC122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0395F64" w14:textId="77777777" w:rsidR="00DC122C" w:rsidRPr="00621629" w:rsidRDefault="00DC122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0D630E" w14:textId="1DC1D20C" w:rsidR="00DC122C" w:rsidRPr="00621629" w:rsidRDefault="00DC122C" w:rsidP="00621629">
            <w:pPr>
              <w:spacing w:before="60" w:after="60" w:line="276" w:lineRule="auto"/>
              <w:rPr>
                <w:rFonts w:eastAsia="Calibri"/>
              </w:rPr>
            </w:pPr>
            <w:bookmarkStart w:id="30" w:name="IndicatorDescription3"/>
            <w:bookmarkEnd w:id="30"/>
            <w:r>
              <w:t>Subsections applicable to this service</w:t>
            </w:r>
            <w:r w:rsidR="00D67FA3">
              <w:t xml:space="preserve"> are</w:t>
            </w:r>
            <w:r>
              <w:t xml:space="preserve"> fully attained.</w:t>
            </w:r>
          </w:p>
        </w:tc>
      </w:tr>
    </w:tbl>
    <w:p w14:paraId="0987E85B" w14:textId="77777777" w:rsidR="00DC122C" w:rsidRDefault="00DC122C">
      <w:pPr>
        <w:spacing w:before="240" w:line="276" w:lineRule="auto"/>
        <w:rPr>
          <w:rFonts w:eastAsia="Calibri"/>
        </w:rPr>
      </w:pPr>
      <w:bookmarkStart w:id="31" w:name="InfectionPreventionAndControl"/>
      <w:r w:rsidRPr="00A4268A">
        <w:rPr>
          <w:rFonts w:eastAsia="Calibri"/>
        </w:rPr>
        <w:t>The service aims to be a restraint-free environment. This is supported by the governing body and policies and procedures.  There were no residents using restraints at the time of the audit.</w:t>
      </w:r>
    </w:p>
    <w:p w14:paraId="3DE9ABF2" w14:textId="77777777" w:rsidR="009E3AD5" w:rsidRPr="00A4268A" w:rsidRDefault="00DC122C">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4876484B" w14:textId="77777777" w:rsidR="009E3AD5" w:rsidRPr="00A4268A" w:rsidRDefault="009E3AD5">
      <w:pPr>
        <w:spacing w:before="240" w:line="276" w:lineRule="auto"/>
        <w:rPr>
          <w:rFonts w:eastAsia="Calibri"/>
        </w:rPr>
      </w:pPr>
    </w:p>
    <w:p w14:paraId="7CC035DE" w14:textId="77777777" w:rsidR="00DC122C" w:rsidRDefault="00DC122C" w:rsidP="000E6E02">
      <w:pPr>
        <w:pStyle w:val="Heading2"/>
        <w:spacing w:before="0"/>
        <w:rPr>
          <w:rFonts w:cs="Arial"/>
        </w:rPr>
      </w:pPr>
      <w:r>
        <w:rPr>
          <w:rFonts w:cs="Arial"/>
        </w:rPr>
        <w:lastRenderedPageBreak/>
        <w:t>Summary of attainment</w:t>
      </w:r>
    </w:p>
    <w:p w14:paraId="74DF7091" w14:textId="77777777" w:rsidR="00DC122C" w:rsidRDefault="00DC122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E3AD5" w14:paraId="58571CD3" w14:textId="77777777">
        <w:tc>
          <w:tcPr>
            <w:tcW w:w="1384" w:type="dxa"/>
            <w:vAlign w:val="center"/>
          </w:tcPr>
          <w:p w14:paraId="3AEE72AC" w14:textId="77777777" w:rsidR="00DC122C" w:rsidRDefault="00DC122C">
            <w:pPr>
              <w:keepNext/>
              <w:spacing w:before="60" w:after="60"/>
              <w:rPr>
                <w:rFonts w:cs="Arial"/>
                <w:b/>
                <w:sz w:val="20"/>
                <w:szCs w:val="20"/>
              </w:rPr>
            </w:pPr>
            <w:r>
              <w:rPr>
                <w:rFonts w:cs="Arial"/>
                <w:b/>
                <w:sz w:val="20"/>
                <w:szCs w:val="20"/>
              </w:rPr>
              <w:t>Attainment Rating</w:t>
            </w:r>
          </w:p>
        </w:tc>
        <w:tc>
          <w:tcPr>
            <w:tcW w:w="1701" w:type="dxa"/>
            <w:vAlign w:val="center"/>
          </w:tcPr>
          <w:p w14:paraId="68B1FE08" w14:textId="77777777" w:rsidR="00DC122C" w:rsidRDefault="00DC122C">
            <w:pPr>
              <w:keepNext/>
              <w:spacing w:before="60" w:after="60"/>
              <w:jc w:val="center"/>
              <w:rPr>
                <w:rFonts w:cs="Arial"/>
                <w:b/>
                <w:sz w:val="20"/>
                <w:szCs w:val="20"/>
              </w:rPr>
            </w:pPr>
            <w:r>
              <w:rPr>
                <w:rFonts w:cs="Arial"/>
                <w:b/>
                <w:sz w:val="20"/>
                <w:szCs w:val="20"/>
              </w:rPr>
              <w:t>Continuous Improvement</w:t>
            </w:r>
          </w:p>
          <w:p w14:paraId="0F6B7909" w14:textId="77777777" w:rsidR="00DC122C" w:rsidRDefault="00DC122C">
            <w:pPr>
              <w:keepNext/>
              <w:spacing w:before="60" w:after="60"/>
              <w:jc w:val="center"/>
              <w:rPr>
                <w:rFonts w:cs="Arial"/>
                <w:b/>
                <w:sz w:val="20"/>
                <w:szCs w:val="20"/>
              </w:rPr>
            </w:pPr>
            <w:r>
              <w:rPr>
                <w:rFonts w:cs="Arial"/>
                <w:b/>
                <w:sz w:val="20"/>
                <w:szCs w:val="20"/>
              </w:rPr>
              <w:t>(CI)</w:t>
            </w:r>
          </w:p>
        </w:tc>
        <w:tc>
          <w:tcPr>
            <w:tcW w:w="1843" w:type="dxa"/>
            <w:vAlign w:val="center"/>
          </w:tcPr>
          <w:p w14:paraId="290F18FA" w14:textId="77777777" w:rsidR="00DC122C" w:rsidRDefault="00DC122C">
            <w:pPr>
              <w:keepNext/>
              <w:spacing w:before="60" w:after="60"/>
              <w:jc w:val="center"/>
              <w:rPr>
                <w:rFonts w:cs="Arial"/>
                <w:b/>
                <w:sz w:val="20"/>
                <w:szCs w:val="20"/>
              </w:rPr>
            </w:pPr>
            <w:r>
              <w:rPr>
                <w:rFonts w:cs="Arial"/>
                <w:b/>
                <w:sz w:val="20"/>
                <w:szCs w:val="20"/>
              </w:rPr>
              <w:t>Fully Attained</w:t>
            </w:r>
          </w:p>
          <w:p w14:paraId="433DE5F8" w14:textId="77777777" w:rsidR="00DC122C" w:rsidRDefault="00DC122C">
            <w:pPr>
              <w:keepNext/>
              <w:spacing w:before="60" w:after="60"/>
              <w:jc w:val="center"/>
              <w:rPr>
                <w:rFonts w:cs="Arial"/>
                <w:b/>
                <w:sz w:val="20"/>
                <w:szCs w:val="20"/>
              </w:rPr>
            </w:pPr>
            <w:r>
              <w:rPr>
                <w:rFonts w:cs="Arial"/>
                <w:b/>
                <w:sz w:val="20"/>
                <w:szCs w:val="20"/>
              </w:rPr>
              <w:t>(FA)</w:t>
            </w:r>
          </w:p>
        </w:tc>
        <w:tc>
          <w:tcPr>
            <w:tcW w:w="1843" w:type="dxa"/>
            <w:vAlign w:val="center"/>
          </w:tcPr>
          <w:p w14:paraId="38AC28F2" w14:textId="77777777" w:rsidR="00DC122C" w:rsidRDefault="00DC122C">
            <w:pPr>
              <w:keepNext/>
              <w:spacing w:before="60" w:after="60"/>
              <w:jc w:val="center"/>
              <w:rPr>
                <w:rFonts w:cs="Arial"/>
                <w:b/>
                <w:sz w:val="20"/>
                <w:szCs w:val="20"/>
              </w:rPr>
            </w:pPr>
            <w:r>
              <w:rPr>
                <w:rFonts w:cs="Arial"/>
                <w:b/>
                <w:sz w:val="20"/>
                <w:szCs w:val="20"/>
              </w:rPr>
              <w:t>Partially Attained Negligible Risk</w:t>
            </w:r>
          </w:p>
          <w:p w14:paraId="3FAB9B30" w14:textId="77777777" w:rsidR="00DC122C" w:rsidRDefault="00DC122C">
            <w:pPr>
              <w:keepNext/>
              <w:spacing w:before="60" w:after="60"/>
              <w:jc w:val="center"/>
              <w:rPr>
                <w:rFonts w:cs="Arial"/>
                <w:b/>
                <w:sz w:val="20"/>
                <w:szCs w:val="20"/>
              </w:rPr>
            </w:pPr>
            <w:r>
              <w:rPr>
                <w:rFonts w:cs="Arial"/>
                <w:b/>
                <w:sz w:val="20"/>
                <w:szCs w:val="20"/>
              </w:rPr>
              <w:t>(PA Negligible)</w:t>
            </w:r>
          </w:p>
        </w:tc>
        <w:tc>
          <w:tcPr>
            <w:tcW w:w="1842" w:type="dxa"/>
            <w:vAlign w:val="center"/>
          </w:tcPr>
          <w:p w14:paraId="356D6105" w14:textId="77777777" w:rsidR="00DC122C" w:rsidRDefault="00DC122C">
            <w:pPr>
              <w:keepNext/>
              <w:spacing w:before="60" w:after="60"/>
              <w:jc w:val="center"/>
              <w:rPr>
                <w:rFonts w:cs="Arial"/>
                <w:b/>
                <w:sz w:val="20"/>
                <w:szCs w:val="20"/>
              </w:rPr>
            </w:pPr>
            <w:r>
              <w:rPr>
                <w:rFonts w:cs="Arial"/>
                <w:b/>
                <w:sz w:val="20"/>
                <w:szCs w:val="20"/>
              </w:rPr>
              <w:t>Partially Attained Low Risk</w:t>
            </w:r>
          </w:p>
          <w:p w14:paraId="402FDBD3" w14:textId="77777777" w:rsidR="00DC122C" w:rsidRDefault="00DC122C">
            <w:pPr>
              <w:keepNext/>
              <w:spacing w:before="60" w:after="60"/>
              <w:jc w:val="center"/>
              <w:rPr>
                <w:rFonts w:cs="Arial"/>
                <w:b/>
                <w:sz w:val="20"/>
                <w:szCs w:val="20"/>
              </w:rPr>
            </w:pPr>
            <w:r>
              <w:rPr>
                <w:rFonts w:cs="Arial"/>
                <w:b/>
                <w:sz w:val="20"/>
                <w:szCs w:val="20"/>
              </w:rPr>
              <w:t>(PA Low)</w:t>
            </w:r>
          </w:p>
        </w:tc>
        <w:tc>
          <w:tcPr>
            <w:tcW w:w="1843" w:type="dxa"/>
            <w:vAlign w:val="center"/>
          </w:tcPr>
          <w:p w14:paraId="071113C9" w14:textId="77777777" w:rsidR="00DC122C" w:rsidRDefault="00DC122C">
            <w:pPr>
              <w:keepNext/>
              <w:spacing w:before="60" w:after="60"/>
              <w:jc w:val="center"/>
              <w:rPr>
                <w:rFonts w:cs="Arial"/>
                <w:b/>
                <w:sz w:val="20"/>
                <w:szCs w:val="20"/>
              </w:rPr>
            </w:pPr>
            <w:r>
              <w:rPr>
                <w:rFonts w:cs="Arial"/>
                <w:b/>
                <w:sz w:val="20"/>
                <w:szCs w:val="20"/>
              </w:rPr>
              <w:t>Partially Attained Moderate Risk</w:t>
            </w:r>
          </w:p>
          <w:p w14:paraId="3530A93D" w14:textId="77777777" w:rsidR="00DC122C" w:rsidRDefault="00DC122C">
            <w:pPr>
              <w:keepNext/>
              <w:spacing w:before="60" w:after="60"/>
              <w:jc w:val="center"/>
              <w:rPr>
                <w:rFonts w:cs="Arial"/>
                <w:b/>
                <w:sz w:val="20"/>
                <w:szCs w:val="20"/>
              </w:rPr>
            </w:pPr>
            <w:r>
              <w:rPr>
                <w:rFonts w:cs="Arial"/>
                <w:b/>
                <w:sz w:val="20"/>
                <w:szCs w:val="20"/>
              </w:rPr>
              <w:t>(PA Moderate)</w:t>
            </w:r>
          </w:p>
        </w:tc>
        <w:tc>
          <w:tcPr>
            <w:tcW w:w="1843" w:type="dxa"/>
            <w:vAlign w:val="center"/>
          </w:tcPr>
          <w:p w14:paraId="26D94AE0" w14:textId="77777777" w:rsidR="00DC122C" w:rsidRDefault="00DC122C">
            <w:pPr>
              <w:keepNext/>
              <w:spacing w:before="60" w:after="60"/>
              <w:jc w:val="center"/>
              <w:rPr>
                <w:rFonts w:cs="Arial"/>
                <w:b/>
                <w:sz w:val="20"/>
                <w:szCs w:val="20"/>
              </w:rPr>
            </w:pPr>
            <w:r>
              <w:rPr>
                <w:rFonts w:cs="Arial"/>
                <w:b/>
                <w:sz w:val="20"/>
                <w:szCs w:val="20"/>
              </w:rPr>
              <w:t>Partially Attained High Risk</w:t>
            </w:r>
          </w:p>
          <w:p w14:paraId="791A3250" w14:textId="77777777" w:rsidR="00DC122C" w:rsidRDefault="00DC122C">
            <w:pPr>
              <w:keepNext/>
              <w:spacing w:before="60" w:after="60"/>
              <w:jc w:val="center"/>
              <w:rPr>
                <w:rFonts w:cs="Arial"/>
                <w:b/>
                <w:sz w:val="20"/>
                <w:szCs w:val="20"/>
              </w:rPr>
            </w:pPr>
            <w:r>
              <w:rPr>
                <w:rFonts w:cs="Arial"/>
                <w:b/>
                <w:sz w:val="20"/>
                <w:szCs w:val="20"/>
              </w:rPr>
              <w:t>(PA High)</w:t>
            </w:r>
          </w:p>
        </w:tc>
        <w:tc>
          <w:tcPr>
            <w:tcW w:w="1843" w:type="dxa"/>
            <w:vAlign w:val="center"/>
          </w:tcPr>
          <w:p w14:paraId="7D091714" w14:textId="77777777" w:rsidR="00DC122C" w:rsidRDefault="00DC122C">
            <w:pPr>
              <w:keepNext/>
              <w:spacing w:before="60" w:after="60"/>
              <w:jc w:val="center"/>
              <w:rPr>
                <w:rFonts w:cs="Arial"/>
                <w:b/>
                <w:sz w:val="20"/>
                <w:szCs w:val="20"/>
              </w:rPr>
            </w:pPr>
            <w:r>
              <w:rPr>
                <w:rFonts w:cs="Arial"/>
                <w:b/>
                <w:sz w:val="20"/>
                <w:szCs w:val="20"/>
              </w:rPr>
              <w:t>Partially Attained Critical Risk</w:t>
            </w:r>
          </w:p>
          <w:p w14:paraId="60C74962" w14:textId="77777777" w:rsidR="00DC122C" w:rsidRDefault="00DC122C">
            <w:pPr>
              <w:keepNext/>
              <w:spacing w:before="60" w:after="60"/>
              <w:jc w:val="center"/>
              <w:rPr>
                <w:rFonts w:cs="Arial"/>
                <w:b/>
                <w:sz w:val="20"/>
                <w:szCs w:val="20"/>
              </w:rPr>
            </w:pPr>
            <w:r>
              <w:rPr>
                <w:rFonts w:cs="Arial"/>
                <w:b/>
                <w:sz w:val="20"/>
                <w:szCs w:val="20"/>
              </w:rPr>
              <w:t>(PA Critical)</w:t>
            </w:r>
          </w:p>
        </w:tc>
      </w:tr>
      <w:tr w:rsidR="009E3AD5" w14:paraId="02A7D522" w14:textId="77777777">
        <w:tc>
          <w:tcPr>
            <w:tcW w:w="1384" w:type="dxa"/>
            <w:vAlign w:val="center"/>
          </w:tcPr>
          <w:p w14:paraId="20F9BDE5" w14:textId="77777777" w:rsidR="00DC122C" w:rsidRDefault="00DC122C">
            <w:pPr>
              <w:keepNext/>
              <w:spacing w:before="60" w:after="60"/>
              <w:rPr>
                <w:rFonts w:cs="Arial"/>
                <w:b/>
                <w:sz w:val="20"/>
                <w:szCs w:val="20"/>
              </w:rPr>
            </w:pPr>
            <w:r>
              <w:rPr>
                <w:rFonts w:cs="Arial"/>
                <w:b/>
                <w:sz w:val="20"/>
                <w:szCs w:val="20"/>
              </w:rPr>
              <w:t>Subsection</w:t>
            </w:r>
          </w:p>
        </w:tc>
        <w:tc>
          <w:tcPr>
            <w:tcW w:w="1701" w:type="dxa"/>
            <w:vAlign w:val="center"/>
          </w:tcPr>
          <w:p w14:paraId="27F6BB9B" w14:textId="77777777" w:rsidR="00DC122C" w:rsidRDefault="00DC122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87F2BD" w14:textId="77777777" w:rsidR="00DC122C" w:rsidRDefault="00DC122C"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D7816CC" w14:textId="77777777" w:rsidR="00DC122C" w:rsidRDefault="00DC122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30F7DA7" w14:textId="77777777" w:rsidR="00DC122C" w:rsidRDefault="00DC122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4545EEF" w14:textId="77777777" w:rsidR="00DC122C" w:rsidRDefault="00DC122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CAECEA" w14:textId="77777777" w:rsidR="00DC122C" w:rsidRDefault="00DC122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EF8AAC" w14:textId="77777777" w:rsidR="00DC122C" w:rsidRDefault="00DC122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E3AD5" w14:paraId="5ED8F859" w14:textId="77777777">
        <w:tc>
          <w:tcPr>
            <w:tcW w:w="1384" w:type="dxa"/>
            <w:vAlign w:val="center"/>
          </w:tcPr>
          <w:p w14:paraId="7BA83B83" w14:textId="77777777" w:rsidR="00DC122C" w:rsidRDefault="00DC122C">
            <w:pPr>
              <w:keepNext/>
              <w:spacing w:before="60" w:after="60"/>
              <w:rPr>
                <w:rFonts w:cs="Arial"/>
                <w:b/>
                <w:sz w:val="20"/>
                <w:szCs w:val="20"/>
              </w:rPr>
            </w:pPr>
            <w:r>
              <w:rPr>
                <w:rFonts w:cs="Arial"/>
                <w:b/>
                <w:sz w:val="20"/>
                <w:szCs w:val="20"/>
              </w:rPr>
              <w:t>Criteria</w:t>
            </w:r>
          </w:p>
        </w:tc>
        <w:tc>
          <w:tcPr>
            <w:tcW w:w="1701" w:type="dxa"/>
            <w:vAlign w:val="center"/>
          </w:tcPr>
          <w:p w14:paraId="7FFFF957" w14:textId="77777777" w:rsidR="00DC122C" w:rsidRDefault="00DC122C">
            <w:pPr>
              <w:spacing w:before="60" w:after="60"/>
              <w:jc w:val="center"/>
              <w:rPr>
                <w:rFonts w:cs="Arial"/>
                <w:sz w:val="20"/>
                <w:szCs w:val="20"/>
                <w:lang w:eastAsia="en-NZ"/>
              </w:rPr>
            </w:pPr>
            <w:bookmarkStart w:id="39" w:name="TotalCritCI"/>
            <w:r>
              <w:rPr>
                <w:rFonts w:cs="Arial"/>
                <w:sz w:val="20"/>
                <w:szCs w:val="20"/>
                <w:lang w:eastAsia="en-NZ"/>
              </w:rPr>
              <w:t>4</w:t>
            </w:r>
            <w:bookmarkEnd w:id="39"/>
          </w:p>
        </w:tc>
        <w:tc>
          <w:tcPr>
            <w:tcW w:w="1843" w:type="dxa"/>
            <w:vAlign w:val="center"/>
          </w:tcPr>
          <w:p w14:paraId="1A0D6CFA" w14:textId="77777777" w:rsidR="00DC122C" w:rsidRDefault="00DC122C"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01A7BBB" w14:textId="77777777" w:rsidR="00DC122C" w:rsidRDefault="00DC122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3095E4B" w14:textId="77777777" w:rsidR="00DC122C" w:rsidRDefault="00DC122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9734746" w14:textId="77777777" w:rsidR="00DC122C" w:rsidRDefault="00DC122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6823513" w14:textId="77777777" w:rsidR="00DC122C" w:rsidRDefault="00DC122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3B026D" w14:textId="77777777" w:rsidR="00DC122C" w:rsidRDefault="00DC122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4BC45A0" w14:textId="77777777" w:rsidR="00DC122C" w:rsidRDefault="00DC122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E3AD5" w14:paraId="1A8FD9EB" w14:textId="77777777">
        <w:tc>
          <w:tcPr>
            <w:tcW w:w="1384" w:type="dxa"/>
            <w:vAlign w:val="center"/>
          </w:tcPr>
          <w:p w14:paraId="05C7D60F" w14:textId="77777777" w:rsidR="00DC122C" w:rsidRDefault="00DC122C">
            <w:pPr>
              <w:keepNext/>
              <w:spacing w:before="60" w:after="60"/>
              <w:rPr>
                <w:rFonts w:cs="Arial"/>
                <w:b/>
                <w:sz w:val="20"/>
                <w:szCs w:val="20"/>
              </w:rPr>
            </w:pPr>
            <w:r>
              <w:rPr>
                <w:rFonts w:cs="Arial"/>
                <w:b/>
                <w:sz w:val="20"/>
                <w:szCs w:val="20"/>
              </w:rPr>
              <w:t>Attainment Rating</w:t>
            </w:r>
          </w:p>
        </w:tc>
        <w:tc>
          <w:tcPr>
            <w:tcW w:w="1701" w:type="dxa"/>
            <w:vAlign w:val="center"/>
          </w:tcPr>
          <w:p w14:paraId="5E6BA323" w14:textId="77777777" w:rsidR="00DC122C" w:rsidRDefault="00DC122C">
            <w:pPr>
              <w:keepNext/>
              <w:spacing w:before="60" w:after="60"/>
              <w:jc w:val="center"/>
              <w:rPr>
                <w:rFonts w:cs="Arial"/>
                <w:b/>
                <w:sz w:val="20"/>
                <w:szCs w:val="20"/>
              </w:rPr>
            </w:pPr>
            <w:r>
              <w:rPr>
                <w:rFonts w:cs="Arial"/>
                <w:b/>
                <w:sz w:val="20"/>
                <w:szCs w:val="20"/>
              </w:rPr>
              <w:t>Unattained Negligible Risk</w:t>
            </w:r>
          </w:p>
          <w:p w14:paraId="625E5D90" w14:textId="77777777" w:rsidR="00DC122C" w:rsidRDefault="00DC122C">
            <w:pPr>
              <w:keepNext/>
              <w:spacing w:before="60" w:after="60"/>
              <w:jc w:val="center"/>
              <w:rPr>
                <w:rFonts w:cs="Arial"/>
                <w:b/>
                <w:sz w:val="20"/>
                <w:szCs w:val="20"/>
              </w:rPr>
            </w:pPr>
            <w:r>
              <w:rPr>
                <w:rFonts w:cs="Arial"/>
                <w:b/>
                <w:sz w:val="20"/>
                <w:szCs w:val="20"/>
              </w:rPr>
              <w:t>(UA Negligible)</w:t>
            </w:r>
          </w:p>
        </w:tc>
        <w:tc>
          <w:tcPr>
            <w:tcW w:w="1843" w:type="dxa"/>
            <w:vAlign w:val="center"/>
          </w:tcPr>
          <w:p w14:paraId="59385413" w14:textId="77777777" w:rsidR="00DC122C" w:rsidRDefault="00DC122C">
            <w:pPr>
              <w:keepNext/>
              <w:spacing w:before="60" w:after="60"/>
              <w:jc w:val="center"/>
              <w:rPr>
                <w:rFonts w:cs="Arial"/>
                <w:b/>
                <w:sz w:val="20"/>
                <w:szCs w:val="20"/>
              </w:rPr>
            </w:pPr>
            <w:r>
              <w:rPr>
                <w:rFonts w:cs="Arial"/>
                <w:b/>
                <w:sz w:val="20"/>
                <w:szCs w:val="20"/>
              </w:rPr>
              <w:t>Unattained Low Risk</w:t>
            </w:r>
          </w:p>
          <w:p w14:paraId="60FE32EB" w14:textId="77777777" w:rsidR="00DC122C" w:rsidRDefault="00DC122C">
            <w:pPr>
              <w:keepNext/>
              <w:spacing w:before="60" w:after="60"/>
              <w:jc w:val="center"/>
              <w:rPr>
                <w:rFonts w:cs="Arial"/>
                <w:b/>
                <w:sz w:val="20"/>
                <w:szCs w:val="20"/>
              </w:rPr>
            </w:pPr>
            <w:r>
              <w:rPr>
                <w:rFonts w:cs="Arial"/>
                <w:b/>
                <w:sz w:val="20"/>
                <w:szCs w:val="20"/>
              </w:rPr>
              <w:t>(UA Low)</w:t>
            </w:r>
          </w:p>
        </w:tc>
        <w:tc>
          <w:tcPr>
            <w:tcW w:w="1843" w:type="dxa"/>
            <w:vAlign w:val="center"/>
          </w:tcPr>
          <w:p w14:paraId="12F44F4B" w14:textId="77777777" w:rsidR="00DC122C" w:rsidRDefault="00DC122C">
            <w:pPr>
              <w:keepNext/>
              <w:spacing w:before="60" w:after="60"/>
              <w:jc w:val="center"/>
              <w:rPr>
                <w:rFonts w:cs="Arial"/>
                <w:b/>
                <w:sz w:val="20"/>
                <w:szCs w:val="20"/>
              </w:rPr>
            </w:pPr>
            <w:r>
              <w:rPr>
                <w:rFonts w:cs="Arial"/>
                <w:b/>
                <w:sz w:val="20"/>
                <w:szCs w:val="20"/>
              </w:rPr>
              <w:t>Unattained Moderate Risk</w:t>
            </w:r>
          </w:p>
          <w:p w14:paraId="4192B5A1" w14:textId="77777777" w:rsidR="00DC122C" w:rsidRDefault="00DC122C">
            <w:pPr>
              <w:keepNext/>
              <w:spacing w:before="60" w:after="60"/>
              <w:jc w:val="center"/>
              <w:rPr>
                <w:rFonts w:cs="Arial"/>
                <w:b/>
                <w:sz w:val="20"/>
                <w:szCs w:val="20"/>
              </w:rPr>
            </w:pPr>
            <w:r>
              <w:rPr>
                <w:rFonts w:cs="Arial"/>
                <w:b/>
                <w:sz w:val="20"/>
                <w:szCs w:val="20"/>
              </w:rPr>
              <w:t>(UA Moderate)</w:t>
            </w:r>
          </w:p>
        </w:tc>
        <w:tc>
          <w:tcPr>
            <w:tcW w:w="1842" w:type="dxa"/>
            <w:vAlign w:val="center"/>
          </w:tcPr>
          <w:p w14:paraId="344EC2F9" w14:textId="77777777" w:rsidR="00DC122C" w:rsidRDefault="00DC122C">
            <w:pPr>
              <w:keepNext/>
              <w:spacing w:before="60" w:after="60"/>
              <w:jc w:val="center"/>
              <w:rPr>
                <w:rFonts w:cs="Arial"/>
                <w:b/>
                <w:sz w:val="20"/>
                <w:szCs w:val="20"/>
              </w:rPr>
            </w:pPr>
            <w:r>
              <w:rPr>
                <w:rFonts w:cs="Arial"/>
                <w:b/>
                <w:sz w:val="20"/>
                <w:szCs w:val="20"/>
              </w:rPr>
              <w:t>Unattained High Risk</w:t>
            </w:r>
          </w:p>
          <w:p w14:paraId="4C9A89FF" w14:textId="77777777" w:rsidR="00DC122C" w:rsidRDefault="00DC122C">
            <w:pPr>
              <w:keepNext/>
              <w:spacing w:before="60" w:after="60"/>
              <w:jc w:val="center"/>
              <w:rPr>
                <w:rFonts w:cs="Arial"/>
                <w:b/>
                <w:sz w:val="20"/>
                <w:szCs w:val="20"/>
              </w:rPr>
            </w:pPr>
            <w:r>
              <w:rPr>
                <w:rFonts w:cs="Arial"/>
                <w:b/>
                <w:sz w:val="20"/>
                <w:szCs w:val="20"/>
              </w:rPr>
              <w:t>(UA High)</w:t>
            </w:r>
          </w:p>
        </w:tc>
        <w:tc>
          <w:tcPr>
            <w:tcW w:w="1843" w:type="dxa"/>
            <w:vAlign w:val="center"/>
          </w:tcPr>
          <w:p w14:paraId="5FACD6AC" w14:textId="77777777" w:rsidR="00DC122C" w:rsidRDefault="00DC122C">
            <w:pPr>
              <w:keepNext/>
              <w:spacing w:before="60" w:after="60"/>
              <w:jc w:val="center"/>
              <w:rPr>
                <w:rFonts w:cs="Arial"/>
                <w:b/>
                <w:sz w:val="20"/>
                <w:szCs w:val="20"/>
              </w:rPr>
            </w:pPr>
            <w:r>
              <w:rPr>
                <w:rFonts w:cs="Arial"/>
                <w:b/>
                <w:sz w:val="20"/>
                <w:szCs w:val="20"/>
              </w:rPr>
              <w:t>Unattained Critical Risk</w:t>
            </w:r>
          </w:p>
          <w:p w14:paraId="04B478ED" w14:textId="77777777" w:rsidR="00DC122C" w:rsidRDefault="00DC122C">
            <w:pPr>
              <w:keepNext/>
              <w:spacing w:before="60" w:after="60"/>
              <w:jc w:val="center"/>
              <w:rPr>
                <w:rFonts w:cs="Arial"/>
                <w:b/>
                <w:sz w:val="20"/>
                <w:szCs w:val="20"/>
              </w:rPr>
            </w:pPr>
            <w:r>
              <w:rPr>
                <w:rFonts w:cs="Arial"/>
                <w:b/>
                <w:sz w:val="20"/>
                <w:szCs w:val="20"/>
              </w:rPr>
              <w:t>(UA Critical)</w:t>
            </w:r>
          </w:p>
        </w:tc>
      </w:tr>
      <w:tr w:rsidR="009E3AD5" w14:paraId="220432BF" w14:textId="77777777">
        <w:tc>
          <w:tcPr>
            <w:tcW w:w="1384" w:type="dxa"/>
            <w:vAlign w:val="center"/>
          </w:tcPr>
          <w:p w14:paraId="1BA7BA3B" w14:textId="77777777" w:rsidR="00DC122C" w:rsidRDefault="00DC122C">
            <w:pPr>
              <w:keepNext/>
              <w:spacing w:before="60" w:after="60"/>
              <w:rPr>
                <w:rFonts w:cs="Arial"/>
                <w:b/>
                <w:sz w:val="20"/>
                <w:szCs w:val="20"/>
              </w:rPr>
            </w:pPr>
            <w:r>
              <w:rPr>
                <w:rFonts w:cs="Arial"/>
                <w:b/>
                <w:sz w:val="20"/>
                <w:szCs w:val="20"/>
              </w:rPr>
              <w:t>Subsection</w:t>
            </w:r>
          </w:p>
        </w:tc>
        <w:tc>
          <w:tcPr>
            <w:tcW w:w="1701" w:type="dxa"/>
            <w:vAlign w:val="center"/>
          </w:tcPr>
          <w:p w14:paraId="0CA02335" w14:textId="77777777" w:rsidR="00DC122C" w:rsidRDefault="00DC122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735D73" w14:textId="77777777" w:rsidR="00DC122C" w:rsidRDefault="00DC122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D503A2" w14:textId="77777777" w:rsidR="00DC122C" w:rsidRDefault="00DC122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0F92543" w14:textId="77777777" w:rsidR="00DC122C" w:rsidRDefault="00DC122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1732C9" w14:textId="77777777" w:rsidR="00DC122C" w:rsidRDefault="00DC122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E3AD5" w14:paraId="439758F6" w14:textId="77777777">
        <w:tc>
          <w:tcPr>
            <w:tcW w:w="1384" w:type="dxa"/>
            <w:vAlign w:val="center"/>
          </w:tcPr>
          <w:p w14:paraId="161B93CB" w14:textId="77777777" w:rsidR="00DC122C" w:rsidRDefault="00DC122C">
            <w:pPr>
              <w:spacing w:before="60" w:after="60"/>
              <w:rPr>
                <w:rFonts w:cs="Arial"/>
                <w:b/>
                <w:sz w:val="20"/>
                <w:szCs w:val="20"/>
              </w:rPr>
            </w:pPr>
            <w:r>
              <w:rPr>
                <w:rFonts w:cs="Arial"/>
                <w:b/>
                <w:sz w:val="20"/>
                <w:szCs w:val="20"/>
              </w:rPr>
              <w:t>Criteria</w:t>
            </w:r>
          </w:p>
        </w:tc>
        <w:tc>
          <w:tcPr>
            <w:tcW w:w="1701" w:type="dxa"/>
            <w:vAlign w:val="center"/>
          </w:tcPr>
          <w:p w14:paraId="3B019462" w14:textId="77777777" w:rsidR="00DC122C" w:rsidRDefault="00DC122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A651F0" w14:textId="77777777" w:rsidR="00DC122C" w:rsidRDefault="00DC122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5A231F6" w14:textId="77777777" w:rsidR="00DC122C" w:rsidRDefault="00DC122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A639909" w14:textId="77777777" w:rsidR="00DC122C" w:rsidRDefault="00DC122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F2D30D" w14:textId="77777777" w:rsidR="00DC122C" w:rsidRDefault="00DC122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3CBAE6" w14:textId="77777777" w:rsidR="00DC122C" w:rsidRDefault="00DC122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DAC1C0" w14:textId="77777777" w:rsidR="00DC122C" w:rsidRDefault="00DC122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747C56E" w14:textId="77777777" w:rsidR="00DC122C" w:rsidRDefault="00DC122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76DEF44" w14:textId="77777777" w:rsidR="00DC122C" w:rsidRDefault="00DC122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9E3AD5" w14:paraId="0E0947D6" w14:textId="77777777">
        <w:tc>
          <w:tcPr>
            <w:tcW w:w="0" w:type="auto"/>
          </w:tcPr>
          <w:p w14:paraId="5F80E987" w14:textId="77777777" w:rsidR="00DC122C" w:rsidRPr="00BE00C7" w:rsidRDefault="00DC122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F8BDA79" w14:textId="77777777" w:rsidR="00DC122C" w:rsidRPr="00BE00C7" w:rsidRDefault="00DC122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494C84" w14:textId="77777777" w:rsidR="00DC122C" w:rsidRPr="00BE00C7" w:rsidRDefault="00DC122C" w:rsidP="00BE00C7">
            <w:pPr>
              <w:pStyle w:val="OutcomeDescription"/>
              <w:spacing w:before="120" w:after="120"/>
              <w:rPr>
                <w:rFonts w:cs="Arial"/>
                <w:b/>
                <w:lang w:eastAsia="en-NZ"/>
              </w:rPr>
            </w:pPr>
            <w:r w:rsidRPr="00BE00C7">
              <w:rPr>
                <w:rFonts w:cs="Arial"/>
                <w:b/>
                <w:lang w:eastAsia="en-NZ"/>
              </w:rPr>
              <w:t>Audit Evidence</w:t>
            </w:r>
          </w:p>
        </w:tc>
      </w:tr>
      <w:tr w:rsidR="009E3AD5" w14:paraId="0A0CD58B" w14:textId="77777777">
        <w:tc>
          <w:tcPr>
            <w:tcW w:w="0" w:type="auto"/>
          </w:tcPr>
          <w:p w14:paraId="15159517"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1.1: Pae ora healthy futures</w:t>
            </w:r>
          </w:p>
          <w:p w14:paraId="78055D9B" w14:textId="77777777" w:rsidR="00DC122C" w:rsidRPr="00BE00C7" w:rsidRDefault="00DC122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r>
            <w:r w:rsidRPr="00BE00C7">
              <w:rPr>
                <w:rFonts w:cs="Arial"/>
                <w:lang w:eastAsia="en-NZ"/>
              </w:rPr>
              <w:t>As service providers: We work collaboratively to embrace, support, and encourage a Māori worldview of health and provide high-quality, equitable, and effective services for Māori framed by Te Tiriti o Waitangi.</w:t>
            </w:r>
          </w:p>
          <w:p w14:paraId="00E503BD" w14:textId="77777777" w:rsidR="00DC122C" w:rsidRPr="00BE00C7" w:rsidRDefault="00DC122C" w:rsidP="00BE00C7">
            <w:pPr>
              <w:pStyle w:val="OutcomeDescription"/>
              <w:spacing w:before="120" w:after="120"/>
              <w:rPr>
                <w:rFonts w:cs="Arial"/>
                <w:lang w:eastAsia="en-NZ"/>
              </w:rPr>
            </w:pPr>
          </w:p>
        </w:tc>
        <w:tc>
          <w:tcPr>
            <w:tcW w:w="0" w:type="auto"/>
          </w:tcPr>
          <w:p w14:paraId="6CCD2A05"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15D20326"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Te Ata Rest Home has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A Māori health plan has been developed with input from cultural advisers/local iwi and is used for residents who identify as Māori.  </w:t>
            </w:r>
          </w:p>
          <w:p w14:paraId="34CF7517" w14:textId="77777777" w:rsidR="00DC122C" w:rsidRPr="00BE00C7" w:rsidRDefault="00DC122C"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15CBB43F" w14:textId="77777777" w:rsidR="00DC122C" w:rsidRPr="00BE00C7" w:rsidRDefault="00DC122C"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the audit, there were staff employed who identified as Māori.  Staff ethnicity data is documented on recruitment and trended.</w:t>
            </w:r>
          </w:p>
          <w:p w14:paraId="42CE93E7" w14:textId="77777777" w:rsidR="00DC122C" w:rsidRPr="00BE00C7" w:rsidRDefault="00DC122C" w:rsidP="00BE00C7">
            <w:pPr>
              <w:pStyle w:val="OutcomeDescription"/>
              <w:spacing w:before="120" w:after="120"/>
              <w:rPr>
                <w:rFonts w:cs="Arial"/>
                <w:lang w:eastAsia="en-NZ"/>
              </w:rPr>
            </w:pPr>
          </w:p>
        </w:tc>
      </w:tr>
      <w:tr w:rsidR="009E3AD5" w14:paraId="5579AB0E" w14:textId="77777777">
        <w:tc>
          <w:tcPr>
            <w:tcW w:w="0" w:type="auto"/>
          </w:tcPr>
          <w:p w14:paraId="2968FA0F"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B4DCCA5"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w:t>
            </w:r>
            <w:r w:rsidRPr="00BE00C7">
              <w:rPr>
                <w:rFonts w:cs="Arial"/>
                <w:lang w:eastAsia="en-NZ"/>
              </w:rPr>
              <w:lastRenderedPageBreak/>
              <w:t>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2B09C73" w14:textId="77777777" w:rsidR="00DC122C" w:rsidRPr="00BE00C7" w:rsidRDefault="00DC122C" w:rsidP="00BE00C7">
            <w:pPr>
              <w:pStyle w:val="OutcomeDescription"/>
              <w:spacing w:before="120" w:after="120"/>
              <w:rPr>
                <w:rFonts w:cs="Arial"/>
                <w:lang w:eastAsia="en-NZ"/>
              </w:rPr>
            </w:pPr>
          </w:p>
        </w:tc>
        <w:tc>
          <w:tcPr>
            <w:tcW w:w="0" w:type="auto"/>
          </w:tcPr>
          <w:p w14:paraId="3C6EBEB2"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96811C"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Te Ata Rest Home identifies and works in partnership with Pacific communities and organisations to provide a Pacific plan that supports culturally safe practices for Pacific peoples using the service, and on achieving equity. Partnerships enable ongoing </w:t>
            </w:r>
            <w:r w:rsidRPr="00BE00C7">
              <w:rPr>
                <w:rFonts w:cs="Arial"/>
                <w:lang w:eastAsia="en-NZ"/>
              </w:rPr>
              <w:lastRenderedPageBreak/>
              <w:t>planning and evaluation of services and outcomes.</w:t>
            </w:r>
          </w:p>
          <w:p w14:paraId="4BE41631" w14:textId="77777777" w:rsidR="00DC122C" w:rsidRPr="00BE00C7" w:rsidRDefault="00DC122C" w:rsidP="00BE00C7">
            <w:pPr>
              <w:pStyle w:val="OutcomeDescription"/>
              <w:spacing w:before="120" w:after="120"/>
              <w:rPr>
                <w:rFonts w:cs="Arial"/>
                <w:lang w:eastAsia="en-NZ"/>
              </w:rPr>
            </w:pPr>
            <w:r w:rsidRPr="00BE00C7">
              <w:rPr>
                <w:rFonts w:cs="Arial"/>
                <w:lang w:eastAsia="en-NZ"/>
              </w:rPr>
              <w:t>Staff interviewed demonstrated an awareness of, and commitment to, supporting Pacific residents’ cultural and spiritual beliefs.</w:t>
            </w:r>
          </w:p>
          <w:p w14:paraId="08343BEF"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Active recruitment, training, and actions to retain a Pacific workforce are supported through targeted workforce development strategies, culturally responsive recruitment practices, and ongoing professional development opportunities, which result in Pacific staff being employed across a range of roles. </w:t>
            </w:r>
          </w:p>
          <w:p w14:paraId="56EBE30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At the time of the audit, there were staff employed who identified as Pacific peoples; however, there were no residents who identified as Pacific peoples.  Staff ethnicity data is documented on recruitment and trended.    </w:t>
            </w:r>
          </w:p>
          <w:p w14:paraId="3271DEB6" w14:textId="77777777" w:rsidR="00DC122C" w:rsidRPr="00BE00C7" w:rsidRDefault="00DC122C" w:rsidP="00BE00C7">
            <w:pPr>
              <w:pStyle w:val="OutcomeDescription"/>
              <w:spacing w:before="120" w:after="120"/>
              <w:rPr>
                <w:rFonts w:cs="Arial"/>
                <w:lang w:eastAsia="en-NZ"/>
              </w:rPr>
            </w:pPr>
          </w:p>
        </w:tc>
      </w:tr>
      <w:tr w:rsidR="009E3AD5" w14:paraId="418DBA29" w14:textId="77777777">
        <w:tc>
          <w:tcPr>
            <w:tcW w:w="0" w:type="auto"/>
          </w:tcPr>
          <w:p w14:paraId="37A4281B"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FA35C7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200898" w14:textId="77777777" w:rsidR="00DC122C" w:rsidRPr="00BE00C7" w:rsidRDefault="00DC122C" w:rsidP="00BE00C7">
            <w:pPr>
              <w:pStyle w:val="OutcomeDescription"/>
              <w:spacing w:before="120" w:after="120"/>
              <w:rPr>
                <w:rFonts w:cs="Arial"/>
                <w:lang w:eastAsia="en-NZ"/>
              </w:rPr>
            </w:pPr>
          </w:p>
        </w:tc>
        <w:tc>
          <w:tcPr>
            <w:tcW w:w="0" w:type="auto"/>
          </w:tcPr>
          <w:p w14:paraId="4CF6793F"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26965169"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Staff have received education on the Code at orientation and in ongoing mandatory training. Posters of the Code in English, te reo Māori and New Zealand sign languages were posted round the facility. </w:t>
            </w:r>
          </w:p>
          <w:p w14:paraId="6FBDF5B8"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6588861C" w14:textId="77777777" w:rsidR="00DC122C" w:rsidRPr="00BE00C7" w:rsidRDefault="00DC122C" w:rsidP="00BE00C7">
            <w:pPr>
              <w:pStyle w:val="OutcomeDescription"/>
              <w:spacing w:before="120" w:after="120"/>
              <w:rPr>
                <w:rFonts w:cs="Arial"/>
                <w:lang w:eastAsia="en-NZ"/>
              </w:rPr>
            </w:pPr>
          </w:p>
        </w:tc>
      </w:tr>
      <w:tr w:rsidR="009E3AD5" w14:paraId="7793CE00" w14:textId="77777777">
        <w:tc>
          <w:tcPr>
            <w:tcW w:w="0" w:type="auto"/>
          </w:tcPr>
          <w:p w14:paraId="752B9680"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1.4: I am treated with respect</w:t>
            </w:r>
          </w:p>
          <w:p w14:paraId="2439A403"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255D623" w14:textId="77777777" w:rsidR="00DC122C" w:rsidRPr="00BE00C7" w:rsidRDefault="00DC122C" w:rsidP="00BE00C7">
            <w:pPr>
              <w:pStyle w:val="OutcomeDescription"/>
              <w:spacing w:before="120" w:after="120"/>
              <w:rPr>
                <w:rFonts w:cs="Arial"/>
                <w:lang w:eastAsia="en-NZ"/>
              </w:rPr>
            </w:pPr>
          </w:p>
        </w:tc>
        <w:tc>
          <w:tcPr>
            <w:tcW w:w="0" w:type="auto"/>
          </w:tcPr>
          <w:p w14:paraId="4204EEC2"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52484D7C"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3AD1730D"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Some residents have a private room, and others share a room with another resident or other residents with their consent. </w:t>
            </w:r>
          </w:p>
          <w:p w14:paraId="10378DDF"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 xml:space="preserve">Te reo Māori and tikanga Māori are promoted within the service through the activities programme and information in te reo posted around the facility. Staff have undertaken training in Te Tiriti o Waitangi and understood the principles and how to apply these in their daily work. </w:t>
            </w:r>
          </w:p>
          <w:p w14:paraId="3E4A56D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44F1493F" w14:textId="77777777" w:rsidR="00DC122C" w:rsidRPr="00BE00C7" w:rsidRDefault="00DC122C" w:rsidP="00BE00C7">
            <w:pPr>
              <w:pStyle w:val="OutcomeDescription"/>
              <w:spacing w:before="120" w:after="120"/>
              <w:rPr>
                <w:rFonts w:cs="Arial"/>
                <w:lang w:eastAsia="en-NZ"/>
              </w:rPr>
            </w:pPr>
          </w:p>
        </w:tc>
      </w:tr>
      <w:tr w:rsidR="009E3AD5" w14:paraId="048440CB" w14:textId="77777777">
        <w:tc>
          <w:tcPr>
            <w:tcW w:w="0" w:type="auto"/>
          </w:tcPr>
          <w:p w14:paraId="7C52C737"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EB17482"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8CF4584" w14:textId="77777777" w:rsidR="00DC122C" w:rsidRPr="00BE00C7" w:rsidRDefault="00DC122C" w:rsidP="00BE00C7">
            <w:pPr>
              <w:pStyle w:val="OutcomeDescription"/>
              <w:spacing w:before="120" w:after="120"/>
              <w:rPr>
                <w:rFonts w:cs="Arial"/>
                <w:lang w:eastAsia="en-NZ"/>
              </w:rPr>
            </w:pPr>
          </w:p>
        </w:tc>
        <w:tc>
          <w:tcPr>
            <w:tcW w:w="0" w:type="auto"/>
          </w:tcPr>
          <w:p w14:paraId="52AAABD3"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788E9371"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10BB556F" w14:textId="77777777" w:rsidR="00DC122C" w:rsidRPr="00BE00C7" w:rsidRDefault="00DC122C"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There is a comfort account used to store residents’ money safely. This is managed by the administrator.</w:t>
            </w:r>
          </w:p>
          <w:p w14:paraId="7DC92EB4" w14:textId="77777777" w:rsidR="00DC122C" w:rsidRPr="00BE00C7" w:rsidRDefault="00DC122C"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2A11B61D" w14:textId="77777777" w:rsidR="00DC122C" w:rsidRPr="00BE00C7" w:rsidRDefault="00DC122C" w:rsidP="00BE00C7">
            <w:pPr>
              <w:pStyle w:val="OutcomeDescription"/>
              <w:spacing w:before="120" w:after="120"/>
              <w:rPr>
                <w:rFonts w:cs="Arial"/>
                <w:lang w:eastAsia="en-NZ"/>
              </w:rPr>
            </w:pPr>
          </w:p>
        </w:tc>
      </w:tr>
      <w:tr w:rsidR="009E3AD5" w14:paraId="6BFC70AA" w14:textId="77777777">
        <w:tc>
          <w:tcPr>
            <w:tcW w:w="0" w:type="auto"/>
          </w:tcPr>
          <w:p w14:paraId="60B65F72"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1.6: Effective communication occurs</w:t>
            </w:r>
          </w:p>
          <w:p w14:paraId="4F787EF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CACA34C" w14:textId="77777777" w:rsidR="00DC122C" w:rsidRPr="00BE00C7" w:rsidRDefault="00DC122C" w:rsidP="00BE00C7">
            <w:pPr>
              <w:pStyle w:val="OutcomeDescription"/>
              <w:spacing w:before="120" w:after="120"/>
              <w:rPr>
                <w:rFonts w:cs="Arial"/>
                <w:lang w:eastAsia="en-NZ"/>
              </w:rPr>
            </w:pPr>
          </w:p>
        </w:tc>
        <w:tc>
          <w:tcPr>
            <w:tcW w:w="0" w:type="auto"/>
          </w:tcPr>
          <w:p w14:paraId="66019052"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650A8157"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5F10C17E"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the management of any complaints. </w:t>
            </w:r>
          </w:p>
          <w:p w14:paraId="20DBE547" w14:textId="77777777" w:rsidR="00DC122C" w:rsidRPr="00BE00C7" w:rsidRDefault="00DC122C"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2EF79ADA" w14:textId="77777777" w:rsidR="00DC122C" w:rsidRPr="00BE00C7" w:rsidRDefault="00DC122C" w:rsidP="00BE00C7">
            <w:pPr>
              <w:pStyle w:val="OutcomeDescription"/>
              <w:spacing w:before="120" w:after="120"/>
              <w:rPr>
                <w:rFonts w:cs="Arial"/>
                <w:lang w:eastAsia="en-NZ"/>
              </w:rPr>
            </w:pPr>
          </w:p>
        </w:tc>
      </w:tr>
      <w:tr w:rsidR="009E3AD5" w14:paraId="174994A9" w14:textId="77777777">
        <w:tc>
          <w:tcPr>
            <w:tcW w:w="0" w:type="auto"/>
          </w:tcPr>
          <w:p w14:paraId="4E7B10EF"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2457F4F"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F31D56A" w14:textId="77777777" w:rsidR="00DC122C" w:rsidRPr="00BE00C7" w:rsidRDefault="00DC122C" w:rsidP="00BE00C7">
            <w:pPr>
              <w:pStyle w:val="OutcomeDescription"/>
              <w:spacing w:before="120" w:after="120"/>
              <w:rPr>
                <w:rFonts w:cs="Arial"/>
                <w:lang w:eastAsia="en-NZ"/>
              </w:rPr>
            </w:pPr>
          </w:p>
        </w:tc>
        <w:tc>
          <w:tcPr>
            <w:tcW w:w="0" w:type="auto"/>
          </w:tcPr>
          <w:p w14:paraId="55D50392"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67F6DD7D" w14:textId="77777777" w:rsidR="00DC122C" w:rsidRPr="00BE00C7" w:rsidRDefault="00DC122C"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Consent for sharing rooms was obtained as part of the admission. Signed admission agreements were available in residents’ records sampled.</w:t>
            </w:r>
          </w:p>
          <w:p w14:paraId="049C025E"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70139096"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unable to consent were documented, as relevant, in the resident’s record.  </w:t>
            </w:r>
          </w:p>
          <w:p w14:paraId="399EAC6D" w14:textId="77777777" w:rsidR="00DC122C" w:rsidRPr="00BE00C7" w:rsidRDefault="00DC122C" w:rsidP="00BE00C7">
            <w:pPr>
              <w:pStyle w:val="OutcomeDescription"/>
              <w:spacing w:before="120" w:after="120"/>
              <w:rPr>
                <w:rFonts w:cs="Arial"/>
                <w:lang w:eastAsia="en-NZ"/>
              </w:rPr>
            </w:pPr>
          </w:p>
        </w:tc>
      </w:tr>
      <w:tr w:rsidR="009E3AD5" w14:paraId="6F532DA4" w14:textId="77777777">
        <w:tc>
          <w:tcPr>
            <w:tcW w:w="0" w:type="auto"/>
          </w:tcPr>
          <w:p w14:paraId="7CD8E0AC"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1.8: I have the right to complain</w:t>
            </w:r>
          </w:p>
          <w:p w14:paraId="2730190D"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3DD738" w14:textId="77777777" w:rsidR="00DC122C" w:rsidRPr="00BE00C7" w:rsidRDefault="00DC122C" w:rsidP="00BE00C7">
            <w:pPr>
              <w:pStyle w:val="OutcomeDescription"/>
              <w:spacing w:before="120" w:after="120"/>
              <w:rPr>
                <w:rFonts w:cs="Arial"/>
                <w:lang w:eastAsia="en-NZ"/>
              </w:rPr>
            </w:pPr>
          </w:p>
        </w:tc>
        <w:tc>
          <w:tcPr>
            <w:tcW w:w="0" w:type="auto"/>
          </w:tcPr>
          <w:p w14:paraId="0E7674D6"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716CE206" w14:textId="77777777" w:rsidR="00DC122C" w:rsidRPr="00BE00C7" w:rsidRDefault="00DC122C"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leading to improvements. This met the requirements of the Code. Residents and whānau understood their right to make a complaint and knew how to do so. There were no complaints received in 2025, or in 2026 (year to date). The owner/manager reported that complaints are managed within required timeframes, with service improvements implemented as appropriate, and all complaints are addressed in accordance with the guideline</w:t>
            </w:r>
            <w:r w:rsidRPr="00BE00C7">
              <w:rPr>
                <w:rFonts w:cs="Arial"/>
                <w:lang w:eastAsia="en-NZ"/>
              </w:rPr>
              <w:t>s of the Health and Disability Commissioner.</w:t>
            </w:r>
          </w:p>
          <w:p w14:paraId="7927E76D"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Discussions with residents and whānau confirmed they were provided with information on the complaints process and that any concerns or issues were promptly addressed. Whānau and residents making a complaint can, if they choose, involve an independent support person. The complaints process was linked to advocacy services. The Code was visible and available in te reo Māori and English. Residents and whānau expressed satisfaction with the complaint process. In the event of a complaint from a Māori resident or </w:t>
            </w:r>
            <w:r w:rsidRPr="00BE00C7">
              <w:rPr>
                <w:rFonts w:cs="Arial"/>
                <w:lang w:eastAsia="en-NZ"/>
              </w:rPr>
              <w:t xml:space="preserve">whānau member, the service would seek the assistance of an interpreter or cultural advisor, if needed.  </w:t>
            </w:r>
          </w:p>
          <w:p w14:paraId="0AE64C7E"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There had been no external complaints received since the previous audit.</w:t>
            </w:r>
          </w:p>
          <w:p w14:paraId="4011360B" w14:textId="77777777" w:rsidR="00DC122C" w:rsidRPr="00BE00C7" w:rsidRDefault="00DC122C" w:rsidP="00BE00C7">
            <w:pPr>
              <w:pStyle w:val="OutcomeDescription"/>
              <w:spacing w:before="120" w:after="120"/>
              <w:rPr>
                <w:rFonts w:cs="Arial"/>
                <w:lang w:eastAsia="en-NZ"/>
              </w:rPr>
            </w:pPr>
          </w:p>
        </w:tc>
      </w:tr>
      <w:tr w:rsidR="009E3AD5" w14:paraId="5EA5E5C9" w14:textId="77777777">
        <w:tc>
          <w:tcPr>
            <w:tcW w:w="0" w:type="auto"/>
          </w:tcPr>
          <w:p w14:paraId="650AF120"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2.1: Governance</w:t>
            </w:r>
          </w:p>
          <w:p w14:paraId="6FD13EE6"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966FB6F" w14:textId="77777777" w:rsidR="00DC122C" w:rsidRPr="00BE00C7" w:rsidRDefault="00DC122C" w:rsidP="00BE00C7">
            <w:pPr>
              <w:pStyle w:val="OutcomeDescription"/>
              <w:spacing w:before="120" w:after="120"/>
              <w:rPr>
                <w:rFonts w:cs="Arial"/>
                <w:lang w:eastAsia="en-NZ"/>
              </w:rPr>
            </w:pPr>
          </w:p>
        </w:tc>
        <w:tc>
          <w:tcPr>
            <w:tcW w:w="0" w:type="auto"/>
          </w:tcPr>
          <w:p w14:paraId="0EC8B129"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44413195"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owner/manager and clinical nurse manager (CNM) assume accountability for delivering a high-quality service to the resident communities served, with meaningful Māori representation on governance groups. The governance group demonstrated expertise in Te Tiriti o Waitangi, health equity, and cultural safety. </w:t>
            </w:r>
          </w:p>
          <w:p w14:paraId="14180A1B" w14:textId="77777777" w:rsidR="00DC122C" w:rsidRPr="00BE00C7" w:rsidRDefault="00DC122C"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The owner/manager has extensive experience in corporate management, quality and risk management, and the aged residential care sector.</w:t>
            </w:r>
          </w:p>
          <w:p w14:paraId="794873A3"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purpose, values, direction, scope, and goals are documented in the 2025–2026 strategic business plan. Performance is monitored and reviewed through regular reporting at planned intervals. There was evidence within planning and monitoring documentation of a focus on identifying barriers to access, improving outcomes, and achieving equity for Māori and tāngata whaikaha, including enabling choice and control over supports.</w:t>
            </w:r>
          </w:p>
          <w:p w14:paraId="6B893F81" w14:textId="77777777" w:rsidR="00DC122C" w:rsidRPr="00BE00C7" w:rsidRDefault="00DC122C" w:rsidP="00BE00C7">
            <w:pPr>
              <w:pStyle w:val="OutcomeDescription"/>
              <w:spacing w:before="120" w:after="120"/>
              <w:rPr>
                <w:rFonts w:cs="Arial"/>
                <w:lang w:eastAsia="en-NZ"/>
              </w:rPr>
            </w:pPr>
            <w:r w:rsidRPr="00BE00C7">
              <w:rPr>
                <w:rFonts w:cs="Arial"/>
                <w:lang w:eastAsia="en-NZ"/>
              </w:rPr>
              <w:t>Barriers to accessing information were addressed through the provision of information in multiple languages, including for the Code of Rights, complaints processes, and infection prevention and control. A commitment to the quality and risk management system was evident. The owner/manager reported being well informed of organisational progress and risks, which was supported by a sample of reports reviewed.</w:t>
            </w:r>
          </w:p>
          <w:p w14:paraId="0B562B7B"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owner/manager, with external advice sought as required. </w:t>
            </w:r>
          </w:p>
          <w:p w14:paraId="03CECBA7"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Residents and their whānau participate in planning and evaluation of services through annual satisfaction surveys, residents’ meetings, and care plan evaluation processes. </w:t>
            </w:r>
          </w:p>
          <w:p w14:paraId="2F678176"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Te Ata Rest Home provides Age-Related Residential Care (ARRC) services under contract with Health New Zealand for rest home and </w:t>
            </w:r>
            <w:r w:rsidRPr="00BE00C7">
              <w:rPr>
                <w:rFonts w:cs="Arial"/>
                <w:lang w:eastAsia="en-NZ"/>
              </w:rPr>
              <w:lastRenderedPageBreak/>
              <w:t>respite levels of care. On the day of the audit, 29 residents were receiving rest home-level care, including one resident receiving respite care. The service is certified for a maximum of 29 beds.</w:t>
            </w:r>
          </w:p>
          <w:p w14:paraId="30DE63C2" w14:textId="77777777" w:rsidR="00DC122C" w:rsidRPr="00BE00C7" w:rsidRDefault="00DC122C" w:rsidP="00BE00C7">
            <w:pPr>
              <w:pStyle w:val="OutcomeDescription"/>
              <w:spacing w:before="120" w:after="120"/>
              <w:rPr>
                <w:rFonts w:cs="Arial"/>
                <w:lang w:eastAsia="en-NZ"/>
              </w:rPr>
            </w:pPr>
          </w:p>
        </w:tc>
      </w:tr>
      <w:tr w:rsidR="009E3AD5" w14:paraId="355D65E5" w14:textId="77777777">
        <w:tc>
          <w:tcPr>
            <w:tcW w:w="0" w:type="auto"/>
          </w:tcPr>
          <w:p w14:paraId="1D6D47D5"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697AD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D9B4ADF" w14:textId="77777777" w:rsidR="00DC122C" w:rsidRPr="00BE00C7" w:rsidRDefault="00DC122C" w:rsidP="00BE00C7">
            <w:pPr>
              <w:pStyle w:val="OutcomeDescription"/>
              <w:spacing w:before="120" w:after="120"/>
              <w:rPr>
                <w:rFonts w:cs="Arial"/>
                <w:lang w:eastAsia="en-NZ"/>
              </w:rPr>
            </w:pPr>
          </w:p>
        </w:tc>
        <w:tc>
          <w:tcPr>
            <w:tcW w:w="0" w:type="auto"/>
          </w:tcPr>
          <w:p w14:paraId="29943E01"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371B82E8" w14:textId="77777777" w:rsidR="00DC122C" w:rsidRPr="00BE00C7" w:rsidRDefault="00DC122C" w:rsidP="00BE00C7">
            <w:pPr>
              <w:pStyle w:val="OutcomeDescription"/>
              <w:spacing w:before="120" w:after="120"/>
              <w:rPr>
                <w:rFonts w:cs="Arial"/>
                <w:lang w:eastAsia="en-NZ"/>
              </w:rPr>
            </w:pPr>
            <w:r w:rsidRPr="00BE00C7">
              <w:rPr>
                <w:rFonts w:cs="Arial"/>
                <w:lang w:eastAsia="en-NZ"/>
              </w:rPr>
              <w:t>Te Ata Rest Home has an established quality and risk management system that reflects the principles of continuous quality improvement. This includes the management of incidents and complaints, scheduled audit activities, regular resident satisfaction surveys, and the monitoring of key resident safety and quality indicators (eg, falls, skin tears, bruising, and infections). Policies and procedures, clinical incidents, and quality improvement initiatives were also incorporated within the system.</w:t>
            </w:r>
          </w:p>
          <w:p w14:paraId="3579D041" w14:textId="77777777" w:rsidR="00DC122C" w:rsidRPr="00BE00C7" w:rsidRDefault="00DC122C" w:rsidP="00BE00C7">
            <w:pPr>
              <w:pStyle w:val="OutcomeDescription"/>
              <w:spacing w:before="120" w:after="120"/>
              <w:rPr>
                <w:rFonts w:cs="Arial"/>
                <w:lang w:eastAsia="en-NZ"/>
              </w:rPr>
            </w:pPr>
            <w:r w:rsidRPr="00BE00C7">
              <w:rPr>
                <w:rFonts w:cs="Arial"/>
                <w:lang w:eastAsia="en-NZ"/>
              </w:rPr>
              <w:t>Corrective actions were developed and implemented in response to identified shortfalls from internal audit activities. Data was analysed to identify trends and inform ongoing evaluation and improvement of service quality outcomes, with benchmarking undertaken through comparison with previous months’ results.</w:t>
            </w:r>
          </w:p>
          <w:p w14:paraId="1D371C84" w14:textId="77777777" w:rsidR="00DC122C" w:rsidRPr="00BE00C7" w:rsidRDefault="00DC122C" w:rsidP="00BE00C7">
            <w:pPr>
              <w:pStyle w:val="OutcomeDescription"/>
              <w:spacing w:before="120" w:after="120"/>
              <w:rPr>
                <w:rFonts w:cs="Arial"/>
                <w:lang w:eastAsia="en-NZ"/>
              </w:rPr>
            </w:pPr>
            <w:r w:rsidRPr="00BE00C7">
              <w:rPr>
                <w:rFonts w:cs="Arial"/>
                <w:lang w:eastAsia="en-NZ"/>
              </w:rPr>
              <w:t>Residents and whānau contribute to quality improvement through participation in satisfaction surveys and residents’ meetings. Staff contribute through the review of data at regular staff meetings, management review meetings, quality and health and safety meetings, and through audit activities.</w:t>
            </w:r>
          </w:p>
          <w:p w14:paraId="664DB1B1" w14:textId="77777777" w:rsidR="00DC122C" w:rsidRPr="00BE00C7" w:rsidRDefault="00DC122C" w:rsidP="00BE00C7">
            <w:pPr>
              <w:pStyle w:val="OutcomeDescription"/>
              <w:spacing w:before="120" w:after="120"/>
              <w:rPr>
                <w:rFonts w:cs="Arial"/>
                <w:lang w:eastAsia="en-NZ"/>
              </w:rPr>
            </w:pPr>
            <w:r w:rsidRPr="00BE00C7">
              <w:rPr>
                <w:rFonts w:cs="Arial"/>
                <w:lang w:eastAsia="en-NZ"/>
              </w:rPr>
              <w:t>Staff meeting agendas and minutes reviewed demonstrated satisfactory attendance and comprehensive coverage of quality and safety measures and activities. The outcomes of the 2025 family satisfaction survey and the 2026 resident satisfaction survey were favourable, with minimal corrective actions identified and implemented. The owner/manager has reviewed and updated policies and procedures to align with the requirements of Ngā Paerewa Health and Disability Services Standard (NZS 8134:2021).</w:t>
            </w:r>
          </w:p>
          <w:p w14:paraId="4DA6C6E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management team, comprising the owner/director, clinical nurse manager, and office manager, reported that the collection, collation, and review of resident and staff ethnicity data had been implemented to support health equity through the critical analysis of data and </w:t>
            </w:r>
            <w:r w:rsidRPr="00BE00C7">
              <w:rPr>
                <w:rFonts w:cs="Arial"/>
                <w:lang w:eastAsia="en-NZ"/>
              </w:rPr>
              <w:lastRenderedPageBreak/>
              <w:t>organisational practices.</w:t>
            </w:r>
          </w:p>
          <w:p w14:paraId="1229E344" w14:textId="77777777" w:rsidR="00DC122C" w:rsidRPr="00BE00C7" w:rsidRDefault="00DC122C" w:rsidP="00BE00C7">
            <w:pPr>
              <w:pStyle w:val="OutcomeDescription"/>
              <w:spacing w:before="120" w:after="120"/>
              <w:rPr>
                <w:rFonts w:cs="Arial"/>
                <w:lang w:eastAsia="en-NZ"/>
              </w:rPr>
            </w:pPr>
            <w:r w:rsidRPr="00BE00C7">
              <w:rPr>
                <w:rFonts w:cs="Arial"/>
                <w:lang w:eastAsia="en-NZ"/>
              </w:rPr>
              <w:t>The management team described established processes for the identification, documentation, monitoring, review, and reporting of risks, including health and safety risks, with mitigation strategies developed and discussed within relevant meetings.</w:t>
            </w:r>
          </w:p>
          <w:p w14:paraId="6C005C86" w14:textId="77777777" w:rsidR="00DC122C" w:rsidRPr="00BE00C7" w:rsidRDefault="00DC122C"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Events Reporting Policy. A sample of 10 incident forms reviewed demonstrated that these were completed in full, with incidents investigated, action plans developed, and follow-up actions implemented within required timeframes.</w:t>
            </w:r>
          </w:p>
          <w:p w14:paraId="64EA830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CNM, registered nurse, and owner/manager were aware of the Severity Assessment Code (SAC) 1 and SAC 2 event reporting processes. Two SAC 2 events were reported: one relating to a resident's fall resulting in a fracture, and the other relating to a resident who sustained an injury that required hospitalisation.</w:t>
            </w:r>
          </w:p>
          <w:p w14:paraId="13B28C07" w14:textId="77777777" w:rsidR="00DC122C" w:rsidRPr="00BE00C7" w:rsidRDefault="00DC122C" w:rsidP="00BE00C7">
            <w:pPr>
              <w:pStyle w:val="OutcomeDescription"/>
              <w:spacing w:before="120" w:after="120"/>
              <w:rPr>
                <w:rFonts w:cs="Arial"/>
                <w:lang w:eastAsia="en-NZ"/>
              </w:rPr>
            </w:pPr>
            <w:r w:rsidRPr="00BE00C7">
              <w:rPr>
                <w:rFonts w:cs="Arial"/>
                <w:lang w:eastAsia="en-NZ"/>
              </w:rPr>
              <w:t>The service demonstrated compliance with statutory and regulatory reporting requirements. A Section 31 notification was completed in relation to COVID-19 in January 2025. The management team interviewed demonstrated an understanding of essential notification reporting obligations.</w:t>
            </w:r>
          </w:p>
          <w:p w14:paraId="43B29726" w14:textId="77777777" w:rsidR="00DC122C" w:rsidRPr="00BE00C7" w:rsidRDefault="00DC122C" w:rsidP="00BE00C7">
            <w:pPr>
              <w:pStyle w:val="OutcomeDescription"/>
              <w:spacing w:before="120" w:after="120"/>
              <w:rPr>
                <w:rFonts w:cs="Arial"/>
                <w:lang w:eastAsia="en-NZ"/>
              </w:rPr>
            </w:pPr>
          </w:p>
        </w:tc>
      </w:tr>
      <w:tr w:rsidR="009E3AD5" w14:paraId="3AF7AD0C" w14:textId="77777777">
        <w:tc>
          <w:tcPr>
            <w:tcW w:w="0" w:type="auto"/>
          </w:tcPr>
          <w:p w14:paraId="5B1ADAE8"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04CD285"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E3502CC" w14:textId="77777777" w:rsidR="00DC122C" w:rsidRPr="00BE00C7" w:rsidRDefault="00DC122C" w:rsidP="00BE00C7">
            <w:pPr>
              <w:pStyle w:val="OutcomeDescription"/>
              <w:spacing w:before="120" w:after="120"/>
              <w:rPr>
                <w:rFonts w:cs="Arial"/>
                <w:lang w:eastAsia="en-NZ"/>
              </w:rPr>
            </w:pPr>
          </w:p>
        </w:tc>
        <w:tc>
          <w:tcPr>
            <w:tcW w:w="0" w:type="auto"/>
          </w:tcPr>
          <w:p w14:paraId="22B914B8"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315C8AB2" w14:textId="77777777" w:rsidR="00DC122C" w:rsidRPr="00BE00C7" w:rsidRDefault="00DC122C"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 to ensure the provision of safe care, 24 hours a day, seven days a week. Staffing levels are adjusted to meet the changing needs of residents, and a team-based approach supports the delivery of all aspects of care. Staff reported that there are sufficient personnel to complete allocated duties, which was confirmed by residents and whānau interviewed. Most staff on duty across the service held current first aid certif</w:t>
            </w:r>
            <w:r w:rsidRPr="00BE00C7">
              <w:rPr>
                <w:rFonts w:cs="Arial"/>
                <w:lang w:eastAsia="en-NZ"/>
              </w:rPr>
              <w:t>icates.</w:t>
            </w:r>
          </w:p>
          <w:p w14:paraId="46419CD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service employs a clinical nurse manager and a registered nurse, who work from Monday to Friday, 9.00 am to 5.00 pm and on call after hours.</w:t>
            </w:r>
          </w:p>
          <w:p w14:paraId="5E29C2B5"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employment process includes job descriptions that define the required skills, qualifications, and attributes for each role, ensuring </w:t>
            </w:r>
            <w:r w:rsidRPr="00BE00C7">
              <w:rPr>
                <w:rFonts w:cs="Arial"/>
                <w:lang w:eastAsia="en-NZ"/>
              </w:rPr>
              <w:lastRenderedPageBreak/>
              <w:t>that services are delivered to meet the needs of residents.</w:t>
            </w:r>
          </w:p>
          <w:p w14:paraId="031F9038" w14:textId="77777777" w:rsidR="00DC122C" w:rsidRPr="00BE00C7" w:rsidRDefault="00DC122C" w:rsidP="00BE00C7">
            <w:pPr>
              <w:pStyle w:val="OutcomeDescription"/>
              <w:spacing w:before="120" w:after="120"/>
              <w:rPr>
                <w:rFonts w:cs="Arial"/>
                <w:lang w:eastAsia="en-NZ"/>
              </w:rPr>
            </w:pPr>
            <w:r w:rsidRPr="00BE00C7">
              <w:rPr>
                <w:rFonts w:cs="Arial"/>
                <w:lang w:eastAsia="en-NZ"/>
              </w:rPr>
              <w:t>Continuing education was planned on an annual basis and covers a comprehensive range of topics, including infection prevention and control, medication management, manual handling, cultural safety, wound care, palliative care, emergency evacuation, falls prevention, skin integrity, and fire safety. Relevant competencies were assessed to support safe practice. High-quality Māori health information is accessed and utilised to inform staff training and development programmes, policy development, and care delive</w:t>
            </w:r>
            <w:r w:rsidRPr="00BE00C7">
              <w:rPr>
                <w:rFonts w:cs="Arial"/>
                <w:lang w:eastAsia="en-NZ"/>
              </w:rPr>
              <w:t>ry.</w:t>
            </w:r>
          </w:p>
          <w:p w14:paraId="6CEC6E7C" w14:textId="77777777" w:rsidR="00DC122C" w:rsidRPr="00BE00C7" w:rsidRDefault="00DC122C"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education programme to meet the requirements of the provider’s agreement with Health New Zealand. Of the 12 caregivers employed, five had achieved Level 4, three had achieved Level 3 and were progressing towards Level 4, one was at Level 2, and three were at Level 0.</w:t>
            </w:r>
          </w:p>
          <w:p w14:paraId="45578974" w14:textId="77777777" w:rsidR="00DC122C" w:rsidRPr="00BE00C7" w:rsidRDefault="00DC122C" w:rsidP="00BE00C7">
            <w:pPr>
              <w:pStyle w:val="OutcomeDescription"/>
              <w:spacing w:before="120" w:after="120"/>
              <w:rPr>
                <w:rFonts w:cs="Arial"/>
                <w:lang w:eastAsia="en-NZ"/>
              </w:rPr>
            </w:pPr>
            <w:r w:rsidRPr="00BE00C7">
              <w:rPr>
                <w:rFonts w:cs="Arial"/>
                <w:lang w:eastAsia="en-NZ"/>
              </w:rPr>
              <w:t>The reviewed records demonstrated that the required training and competency assessments had been completed.  Staff reported feeling well supported and safe in the workplace.</w:t>
            </w:r>
          </w:p>
          <w:p w14:paraId="4A410207" w14:textId="77777777" w:rsidR="00DC122C" w:rsidRPr="00BE00C7" w:rsidRDefault="00DC122C" w:rsidP="00BE00C7">
            <w:pPr>
              <w:pStyle w:val="OutcomeDescription"/>
              <w:spacing w:before="120" w:after="120"/>
              <w:rPr>
                <w:rFonts w:cs="Arial"/>
                <w:lang w:eastAsia="en-NZ"/>
              </w:rPr>
            </w:pPr>
          </w:p>
        </w:tc>
      </w:tr>
      <w:tr w:rsidR="009E3AD5" w14:paraId="57D0C4DF" w14:textId="77777777">
        <w:tc>
          <w:tcPr>
            <w:tcW w:w="0" w:type="auto"/>
          </w:tcPr>
          <w:p w14:paraId="4AB66B6B"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43BB57"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876DFC8" w14:textId="77777777" w:rsidR="00DC122C" w:rsidRPr="00BE00C7" w:rsidRDefault="00DC122C" w:rsidP="00BE00C7">
            <w:pPr>
              <w:pStyle w:val="OutcomeDescription"/>
              <w:spacing w:before="120" w:after="120"/>
              <w:rPr>
                <w:rFonts w:cs="Arial"/>
                <w:lang w:eastAsia="en-NZ"/>
              </w:rPr>
            </w:pPr>
          </w:p>
        </w:tc>
        <w:tc>
          <w:tcPr>
            <w:tcW w:w="0" w:type="auto"/>
          </w:tcPr>
          <w:p w14:paraId="3373DA11"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7E8192EB" w14:textId="77777777" w:rsidR="00DC122C" w:rsidRPr="00BE00C7" w:rsidRDefault="00DC122C"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Current practising certificates (APCs) for all health professionals, including both employed and contracted staff, were verified as cur</w:t>
            </w:r>
            <w:r w:rsidRPr="00BE00C7">
              <w:rPr>
                <w:rFonts w:cs="Arial"/>
                <w:lang w:eastAsia="en-NZ"/>
              </w:rPr>
              <w:t>rent at the time of the audit.</w:t>
            </w:r>
          </w:p>
          <w:p w14:paraId="4BEE2BEB"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0B17BB9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r w:rsidRPr="00BE00C7">
              <w:rPr>
                <w:rFonts w:cs="Arial"/>
                <w:lang w:eastAsia="en-NZ"/>
              </w:rPr>
              <w:lastRenderedPageBreak/>
              <w:t xml:space="preserve">Current annual performance reviews were available in staff records sampled for review.  </w:t>
            </w:r>
          </w:p>
          <w:p w14:paraId="2884C5A2"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089EA4A8" w14:textId="77777777" w:rsidR="00DC122C" w:rsidRPr="00BE00C7" w:rsidRDefault="00DC122C"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491F7B7A" w14:textId="77777777" w:rsidR="00DC122C" w:rsidRPr="00BE00C7" w:rsidRDefault="00DC122C" w:rsidP="00BE00C7">
            <w:pPr>
              <w:pStyle w:val="OutcomeDescription"/>
              <w:spacing w:before="120" w:after="120"/>
              <w:rPr>
                <w:rFonts w:cs="Arial"/>
                <w:lang w:eastAsia="en-NZ"/>
              </w:rPr>
            </w:pPr>
          </w:p>
        </w:tc>
      </w:tr>
      <w:tr w:rsidR="009E3AD5" w14:paraId="020A570C" w14:textId="77777777">
        <w:tc>
          <w:tcPr>
            <w:tcW w:w="0" w:type="auto"/>
          </w:tcPr>
          <w:p w14:paraId="7F1D78C6"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2.5: Information</w:t>
            </w:r>
          </w:p>
          <w:p w14:paraId="28AF350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490F838" w14:textId="77777777" w:rsidR="00DC122C" w:rsidRPr="00BE00C7" w:rsidRDefault="00DC122C" w:rsidP="00BE00C7">
            <w:pPr>
              <w:pStyle w:val="OutcomeDescription"/>
              <w:spacing w:before="120" w:after="120"/>
              <w:rPr>
                <w:rFonts w:cs="Arial"/>
                <w:lang w:eastAsia="en-NZ"/>
              </w:rPr>
            </w:pPr>
          </w:p>
        </w:tc>
        <w:tc>
          <w:tcPr>
            <w:tcW w:w="0" w:type="auto"/>
          </w:tcPr>
          <w:p w14:paraId="288F7787"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22E94133"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 paper-based and electronic system for managing records was in place. Clinical notes were current, integrated and legible, and met current documentation standards. Information is accessible for all those who need it.  </w:t>
            </w:r>
          </w:p>
          <w:p w14:paraId="6976FC1E"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Files are held securely for the required period before being destroyed. No personal or private resident information was on public display during the audit. Policies and procedures guide staff in the management of information. The owner/manager reported that staff had their own logins to the record management system and the electronic medication management system used. An external provider held backup database systems.    </w:t>
            </w:r>
          </w:p>
          <w:p w14:paraId="14B30CC1"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service is not responsible for the National Health Index registration of people receiving services. </w:t>
            </w:r>
          </w:p>
          <w:p w14:paraId="33FCF346"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 continuous improvement rating was awarded for the resident information management system.   </w:t>
            </w:r>
          </w:p>
          <w:p w14:paraId="0A0D8FE3"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  </w:t>
            </w:r>
          </w:p>
          <w:p w14:paraId="4555A792" w14:textId="77777777" w:rsidR="00DC122C" w:rsidRPr="00BE00C7" w:rsidRDefault="00DC122C" w:rsidP="00BE00C7">
            <w:pPr>
              <w:pStyle w:val="OutcomeDescription"/>
              <w:spacing w:before="120" w:after="120"/>
              <w:rPr>
                <w:rFonts w:cs="Arial"/>
                <w:lang w:eastAsia="en-NZ"/>
              </w:rPr>
            </w:pPr>
          </w:p>
        </w:tc>
      </w:tr>
      <w:tr w:rsidR="009E3AD5" w14:paraId="1D6F6D20" w14:textId="77777777">
        <w:tc>
          <w:tcPr>
            <w:tcW w:w="0" w:type="auto"/>
          </w:tcPr>
          <w:p w14:paraId="61BA1404"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3.1: Entry and declining entry</w:t>
            </w:r>
          </w:p>
          <w:p w14:paraId="3A9EC13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7660FD9" w14:textId="77777777" w:rsidR="00DC122C" w:rsidRPr="00BE00C7" w:rsidRDefault="00DC122C" w:rsidP="00BE00C7">
            <w:pPr>
              <w:pStyle w:val="OutcomeDescription"/>
              <w:spacing w:before="120" w:after="120"/>
              <w:rPr>
                <w:rFonts w:cs="Arial"/>
                <w:lang w:eastAsia="en-NZ"/>
              </w:rPr>
            </w:pPr>
          </w:p>
        </w:tc>
        <w:tc>
          <w:tcPr>
            <w:tcW w:w="0" w:type="auto"/>
          </w:tcPr>
          <w:p w14:paraId="217AE7A1"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14BF45"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Residents enter Te Ata Rest Home when their required level of care has been assessed and confirmed by the local Needs Assessment and Service Coordination (NASC) agency. Files reviewed met contractual requirements.  Residents enter the service based on </w:t>
            </w:r>
            <w:r w:rsidRPr="00BE00C7">
              <w:rPr>
                <w:rFonts w:cs="Arial"/>
                <w:lang w:eastAsia="en-NZ"/>
              </w:rPr>
              <w:lastRenderedPageBreak/>
              <w:t xml:space="preserve">documented entry criteria available to the community and understood by staff.  The entry process meets the needs of residents.  Whānau interviewed were satisfied with the admission process and the information that had been made available to them on admission.  </w:t>
            </w:r>
          </w:p>
          <w:p w14:paraId="4DFA5AE2"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monthly, including entry and decline rates for Māori. </w:t>
            </w:r>
          </w:p>
          <w:p w14:paraId="187D7F6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218C463E" w14:textId="77777777" w:rsidR="00DC122C" w:rsidRPr="00BE00C7" w:rsidRDefault="00DC122C" w:rsidP="00BE00C7">
            <w:pPr>
              <w:pStyle w:val="OutcomeDescription"/>
              <w:spacing w:before="120" w:after="120"/>
              <w:rPr>
                <w:rFonts w:cs="Arial"/>
                <w:lang w:eastAsia="en-NZ"/>
              </w:rPr>
            </w:pPr>
          </w:p>
        </w:tc>
      </w:tr>
      <w:tr w:rsidR="009E3AD5" w14:paraId="18D5C5A8" w14:textId="77777777">
        <w:tc>
          <w:tcPr>
            <w:tcW w:w="0" w:type="auto"/>
          </w:tcPr>
          <w:p w14:paraId="56BA2BBB"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F2C8D3C"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330AA5" w14:textId="77777777" w:rsidR="00DC122C" w:rsidRPr="00BE00C7" w:rsidRDefault="00DC122C" w:rsidP="00BE00C7">
            <w:pPr>
              <w:pStyle w:val="OutcomeDescription"/>
              <w:spacing w:before="120" w:after="120"/>
              <w:rPr>
                <w:rFonts w:cs="Arial"/>
                <w:lang w:eastAsia="en-NZ"/>
              </w:rPr>
            </w:pPr>
          </w:p>
        </w:tc>
        <w:tc>
          <w:tcPr>
            <w:tcW w:w="0" w:type="auto"/>
          </w:tcPr>
          <w:p w14:paraId="602C193B"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16D0DC9B"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registered nurses (RNs)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65ABD68F" w14:textId="77777777" w:rsidR="00DC122C" w:rsidRPr="00BE00C7" w:rsidRDefault="00DC122C"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general practitioner (GP) assessment, initial care plan, long-term care plan, and review timeframes meet contractual and policy requirements.  Staff understand and support Māori and whānau to identify their own pae ora outcomes in their care plan. This was verified by sampling residents’ records, and from interviews of clinical staff, residents and whānau. Al</w:t>
            </w:r>
            <w:r w:rsidRPr="00BE00C7">
              <w:rPr>
                <w:rFonts w:cs="Arial"/>
                <w:lang w:eastAsia="en-NZ"/>
              </w:rPr>
              <w:t>lied health care providers including dentists, audiologist, and physiotherapists are involved when required.</w:t>
            </w:r>
          </w:p>
          <w:p w14:paraId="0C532B42"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w:t>
            </w:r>
            <w:r w:rsidRPr="00BE00C7">
              <w:rPr>
                <w:rFonts w:cs="Arial"/>
                <w:lang w:eastAsia="en-NZ"/>
              </w:rPr>
              <w:lastRenderedPageBreak/>
              <w:t>in the process. A quality improvement initiative in relation to pain management using a new pain assessment tool has been implemented within the past six months. The assessment tool supports proactive rather than reactive pain management. The improvement plan is demonstrating measurable positive impact within three months of implementation and is yet to be fully rolled out and evaluated.</w:t>
            </w:r>
          </w:p>
          <w:p w14:paraId="6DAF2764"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care planning, multidisciplinary reviews, and satisfaction surveys.  Examples of choices and control over service delivery were discussed with staff, tāngata whaikaha, and whānau.  Tāngata whaikaha/whānau can independently access information or can be supported to access information. </w:t>
            </w:r>
          </w:p>
          <w:p w14:paraId="73870BC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GP expressed satisfaction with care provided to residents.</w:t>
            </w:r>
          </w:p>
          <w:p w14:paraId="5F13E219" w14:textId="2FA3D7B3" w:rsidR="00DC122C" w:rsidRPr="00BE00C7" w:rsidRDefault="00DC122C" w:rsidP="00D67FA3">
            <w:pPr>
              <w:pStyle w:val="OutcomeDescription"/>
              <w:spacing w:before="120" w:after="120"/>
              <w:rPr>
                <w:rFonts w:cs="Arial"/>
                <w:lang w:eastAsia="en-NZ"/>
              </w:rPr>
            </w:pPr>
            <w:r w:rsidRPr="00BE00C7">
              <w:rPr>
                <w:rFonts w:cs="Arial"/>
                <w:lang w:eastAsia="en-NZ"/>
              </w:rPr>
              <w:t>Appropriate equipment has been provided including electronic hospital-level beds for all residents. A continuous improvement rating was awarded for successfully implementing the falls prevention and management plan.</w:t>
            </w:r>
          </w:p>
        </w:tc>
      </w:tr>
      <w:tr w:rsidR="009E3AD5" w14:paraId="22824082" w14:textId="77777777">
        <w:tc>
          <w:tcPr>
            <w:tcW w:w="0" w:type="auto"/>
          </w:tcPr>
          <w:p w14:paraId="5C0C7913"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58DACD6"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72C6CE8" w14:textId="77777777" w:rsidR="00DC122C" w:rsidRPr="00BE00C7" w:rsidRDefault="00DC122C" w:rsidP="00BE00C7">
            <w:pPr>
              <w:pStyle w:val="OutcomeDescription"/>
              <w:spacing w:before="120" w:after="120"/>
              <w:rPr>
                <w:rFonts w:cs="Arial"/>
                <w:lang w:eastAsia="en-NZ"/>
              </w:rPr>
            </w:pPr>
          </w:p>
        </w:tc>
        <w:tc>
          <w:tcPr>
            <w:tcW w:w="0" w:type="auto"/>
          </w:tcPr>
          <w:p w14:paraId="4E5AA79E"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06DD401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Two qualified diversional therapists run the activities programme. The activities programme supports residents to maintain and develop their interests and was suitable for their age and stage of life. </w:t>
            </w:r>
          </w:p>
          <w:p w14:paraId="70F0E7E7" w14:textId="77777777" w:rsidR="00DC122C" w:rsidRPr="00BE00C7" w:rsidRDefault="00DC122C"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Two activities groups run concurrently, one for residents who are more active and enjoy large groups, and the other is for residents who have cognitive impairment or are diagnosed with dementia and are unable to participate in large group activities. One-on-one activitie</w:t>
            </w:r>
            <w:r w:rsidRPr="00BE00C7">
              <w:rPr>
                <w:rFonts w:cs="Arial"/>
                <w:lang w:eastAsia="en-NZ"/>
              </w:rPr>
              <w:t>s are offered as needed. Opportunities for Māori and whānau to participate in te ao Māori are facilitated. Community initiatives meet the needs of Māori. National and cultural events celebrated include Waitangi Day, Matariki, ANZAC Day, and St Patrick’s Day, with culturally specific food, for example, hangi or boil up and cupcakes prepared for residents.</w:t>
            </w:r>
          </w:p>
          <w:p w14:paraId="64FD8D8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Feedback on the programme is provided through multidisciplinary </w:t>
            </w:r>
            <w:r w:rsidRPr="00BE00C7">
              <w:rPr>
                <w:rFonts w:cs="Arial"/>
                <w:lang w:eastAsia="en-NZ"/>
              </w:rPr>
              <w:lastRenderedPageBreak/>
              <w:t>review meetings and satisfaction surveys.  Those interviewed confirmed they found the programme met their needs.</w:t>
            </w:r>
          </w:p>
          <w:p w14:paraId="6E2BD473" w14:textId="77777777" w:rsidR="00DC122C" w:rsidRPr="00BE00C7" w:rsidRDefault="00DC122C" w:rsidP="00BE00C7">
            <w:pPr>
              <w:pStyle w:val="OutcomeDescription"/>
              <w:spacing w:before="120" w:after="120"/>
              <w:rPr>
                <w:rFonts w:cs="Arial"/>
                <w:lang w:eastAsia="en-NZ"/>
              </w:rPr>
            </w:pPr>
          </w:p>
        </w:tc>
      </w:tr>
      <w:tr w:rsidR="009E3AD5" w14:paraId="5FDF4667" w14:textId="77777777">
        <w:tc>
          <w:tcPr>
            <w:tcW w:w="0" w:type="auto"/>
          </w:tcPr>
          <w:p w14:paraId="79F17119"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3.4: My medication</w:t>
            </w:r>
          </w:p>
          <w:p w14:paraId="3E8CBCED"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3898DB" w14:textId="77777777" w:rsidR="00DC122C" w:rsidRPr="00BE00C7" w:rsidRDefault="00DC122C" w:rsidP="00BE00C7">
            <w:pPr>
              <w:pStyle w:val="OutcomeDescription"/>
              <w:spacing w:before="120" w:after="120"/>
              <w:rPr>
                <w:rFonts w:cs="Arial"/>
                <w:lang w:eastAsia="en-NZ"/>
              </w:rPr>
            </w:pPr>
          </w:p>
        </w:tc>
        <w:tc>
          <w:tcPr>
            <w:tcW w:w="0" w:type="auto"/>
          </w:tcPr>
          <w:p w14:paraId="6E4CCB58"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1321DB3E"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the audit.  All staff who administer medicines were competent to perform the function they managed.  </w:t>
            </w:r>
          </w:p>
          <w:p w14:paraId="14E49F23"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21B9AB61"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6AF05B69"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used, were current, and complied with guidelines. </w:t>
            </w:r>
          </w:p>
          <w:p w14:paraId="21EFCDAC"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Residents, including Māori residents and their whānau, are supported to understand their medications. </w:t>
            </w:r>
          </w:p>
          <w:p w14:paraId="07B20326" w14:textId="77777777" w:rsidR="00DC122C" w:rsidRPr="00BE00C7" w:rsidRDefault="00DC122C" w:rsidP="00BE00C7">
            <w:pPr>
              <w:pStyle w:val="OutcomeDescription"/>
              <w:spacing w:before="120" w:after="120"/>
              <w:rPr>
                <w:rFonts w:cs="Arial"/>
                <w:lang w:eastAsia="en-NZ"/>
              </w:rPr>
            </w:pPr>
            <w:r w:rsidRPr="00BE00C7">
              <w:rPr>
                <w:rFonts w:cs="Arial"/>
                <w:lang w:eastAsia="en-NZ"/>
              </w:rPr>
              <w:t>A continuous improvement rating was awarded for bowel management.</w:t>
            </w:r>
          </w:p>
          <w:p w14:paraId="532F7D1B" w14:textId="77777777" w:rsidR="00DC122C" w:rsidRPr="00BE00C7" w:rsidRDefault="00DC122C" w:rsidP="00BE00C7">
            <w:pPr>
              <w:pStyle w:val="OutcomeDescription"/>
              <w:spacing w:before="120" w:after="120"/>
              <w:rPr>
                <w:rFonts w:cs="Arial"/>
                <w:lang w:eastAsia="en-NZ"/>
              </w:rPr>
            </w:pPr>
          </w:p>
        </w:tc>
      </w:tr>
      <w:tr w:rsidR="009E3AD5" w14:paraId="7E041C85" w14:textId="77777777">
        <w:tc>
          <w:tcPr>
            <w:tcW w:w="0" w:type="auto"/>
          </w:tcPr>
          <w:p w14:paraId="139CD635"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3.5: Nutrition to support wellbeing</w:t>
            </w:r>
          </w:p>
          <w:p w14:paraId="02D25B3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5B02FE89" w14:textId="77777777" w:rsidR="00DC122C" w:rsidRPr="00BE00C7" w:rsidRDefault="00DC122C" w:rsidP="00BE00C7">
            <w:pPr>
              <w:pStyle w:val="OutcomeDescription"/>
              <w:spacing w:before="120" w:after="120"/>
              <w:rPr>
                <w:rFonts w:cs="Arial"/>
                <w:lang w:eastAsia="en-NZ"/>
              </w:rPr>
            </w:pPr>
          </w:p>
        </w:tc>
        <w:tc>
          <w:tcPr>
            <w:tcW w:w="0" w:type="auto"/>
          </w:tcPr>
          <w:p w14:paraId="1CEBC3A3"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BD03FB"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on 31 March 2025.  Recommendations made at that time have been implemented. </w:t>
            </w:r>
          </w:p>
          <w:p w14:paraId="3D4E7DC3"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w:t>
            </w:r>
            <w:r w:rsidRPr="00BE00C7">
              <w:rPr>
                <w:rFonts w:cs="Arial"/>
                <w:lang w:eastAsia="en-NZ"/>
              </w:rPr>
              <w:lastRenderedPageBreak/>
              <w:t>guidelines. The service operates with an approved food safety plan and registration that is valid until 3 October 2026.</w:t>
            </w:r>
          </w:p>
          <w:p w14:paraId="073B89EB" w14:textId="77777777" w:rsidR="00DC122C" w:rsidRPr="00BE00C7" w:rsidRDefault="00DC122C"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There is a kitchenette where residents can prepare hot drinks for themselves as desired. Māori and their whānau have menu options that are culturally specific to te ao Māori.  The cook stated that residents can request culturally specific food options if desired.</w:t>
            </w:r>
          </w:p>
          <w:p w14:paraId="1226BB50" w14:textId="77777777" w:rsidR="00DC122C" w:rsidRPr="00BE00C7" w:rsidRDefault="00DC122C"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and satisfaction surveys. Residents were given sufficient time to eat their meals in an unhurried fashion, and those requiring assistance had this provided with dignity.</w:t>
            </w:r>
          </w:p>
          <w:p w14:paraId="72ECB5B7" w14:textId="77777777" w:rsidR="00DC122C" w:rsidRPr="00BE00C7" w:rsidRDefault="00DC122C" w:rsidP="00BE00C7">
            <w:pPr>
              <w:pStyle w:val="OutcomeDescription"/>
              <w:spacing w:before="120" w:after="120"/>
              <w:rPr>
                <w:rFonts w:cs="Arial"/>
                <w:lang w:eastAsia="en-NZ"/>
              </w:rPr>
            </w:pPr>
          </w:p>
        </w:tc>
      </w:tr>
      <w:tr w:rsidR="009E3AD5" w14:paraId="790BD8F4" w14:textId="77777777">
        <w:tc>
          <w:tcPr>
            <w:tcW w:w="0" w:type="auto"/>
          </w:tcPr>
          <w:p w14:paraId="7EC72202"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70A522"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7BCD50" w14:textId="77777777" w:rsidR="00DC122C" w:rsidRPr="00BE00C7" w:rsidRDefault="00DC122C" w:rsidP="00BE00C7">
            <w:pPr>
              <w:pStyle w:val="OutcomeDescription"/>
              <w:spacing w:before="120" w:after="120"/>
              <w:rPr>
                <w:rFonts w:cs="Arial"/>
                <w:lang w:eastAsia="en-NZ"/>
              </w:rPr>
            </w:pPr>
          </w:p>
        </w:tc>
        <w:tc>
          <w:tcPr>
            <w:tcW w:w="0" w:type="auto"/>
          </w:tcPr>
          <w:p w14:paraId="2C80463D"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50135346" w14:textId="77777777" w:rsidR="00DC122C" w:rsidRPr="00BE00C7" w:rsidRDefault="00DC122C"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The transfer and discharge policies guide staff practice. Risks and current support needs are identified and managed. Options to access other health and disability services and social/cultural supports are discussed, where appropriate. Whānau reported being kept well informed during the transfer of their relative.</w:t>
            </w:r>
          </w:p>
          <w:p w14:paraId="106E785A" w14:textId="77777777" w:rsidR="00DC122C" w:rsidRPr="00BE00C7" w:rsidRDefault="00DC122C" w:rsidP="00BE00C7">
            <w:pPr>
              <w:pStyle w:val="OutcomeDescription"/>
              <w:spacing w:before="120" w:after="120"/>
              <w:rPr>
                <w:rFonts w:cs="Arial"/>
                <w:lang w:eastAsia="en-NZ"/>
              </w:rPr>
            </w:pPr>
          </w:p>
        </w:tc>
      </w:tr>
      <w:tr w:rsidR="009E3AD5" w14:paraId="2D5F388A" w14:textId="77777777">
        <w:tc>
          <w:tcPr>
            <w:tcW w:w="0" w:type="auto"/>
          </w:tcPr>
          <w:p w14:paraId="568EF4B0"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4.1: The facility</w:t>
            </w:r>
          </w:p>
          <w:p w14:paraId="454DDB14"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56DA719F" w14:textId="77777777" w:rsidR="00DC122C" w:rsidRPr="00BE00C7" w:rsidRDefault="00DC122C" w:rsidP="00BE00C7">
            <w:pPr>
              <w:pStyle w:val="OutcomeDescription"/>
              <w:spacing w:before="120" w:after="120"/>
              <w:rPr>
                <w:rFonts w:cs="Arial"/>
                <w:lang w:eastAsia="en-NZ"/>
              </w:rPr>
            </w:pPr>
          </w:p>
        </w:tc>
        <w:tc>
          <w:tcPr>
            <w:tcW w:w="0" w:type="auto"/>
          </w:tcPr>
          <w:p w14:paraId="1545B50F"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3FC130" w14:textId="77777777" w:rsidR="00DC122C" w:rsidRPr="00BE00C7" w:rsidRDefault="00DC122C" w:rsidP="00BE00C7">
            <w:pPr>
              <w:pStyle w:val="OutcomeDescription"/>
              <w:spacing w:before="120" w:after="120"/>
              <w:rPr>
                <w:rFonts w:cs="Arial"/>
                <w:lang w:eastAsia="en-NZ"/>
              </w:rPr>
            </w:pPr>
            <w:r w:rsidRPr="00BE00C7">
              <w:rPr>
                <w:rFonts w:cs="Arial"/>
                <w:lang w:eastAsia="en-NZ"/>
              </w:rPr>
              <w:t>There is a current building warrant of fitness, which expires on 17 June 2026. The physical environment supports resident independence, with corridors fitted with handrails to promote safe mobility, including the use of mobility aids. Residents were observed mobilising safely and independently within their respective areas.</w:t>
            </w:r>
          </w:p>
          <w:p w14:paraId="5EE325E1"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facility provides comfortable communal lounges for activities and social interaction. Quiet spaces are available for residents and their </w:t>
            </w:r>
            <w:r w:rsidRPr="00BE00C7">
              <w:rPr>
                <w:rFonts w:cs="Arial"/>
                <w:lang w:eastAsia="en-NZ"/>
              </w:rPr>
              <w:lastRenderedPageBreak/>
              <w:t>whānau within lounge and dining areas, as well as in outdoor deck spaces.</w:t>
            </w:r>
          </w:p>
          <w:p w14:paraId="4B31019A"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routine checks of resident equipment, and calibration of weighing scales and clinical equipment. Weighing scales are calibrated annually. Monthly hot water temperature monitoring is completed in accordance with policy requirements.</w:t>
            </w:r>
          </w:p>
          <w:p w14:paraId="32175B1F"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service employs a part-time maintenance officer who also undertakes gardening duties, and certified tradespeople are engaged to carry out reactive maintenance as required. Environmental temperatures are monitored, with processes in place to manage significant temperature variations. </w:t>
            </w:r>
          </w:p>
          <w:p w14:paraId="450F768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service is divided into four wings. The A wing comprises eight rooms, some with a toilet and hand basin, with one room without ensuite facilities, and access to one shared shower and two toilets. The B wing includes three shared rooms and one single room with its own toilet and hand basin, with a communal toilet and shower available.</w:t>
            </w:r>
          </w:p>
          <w:p w14:paraId="7D41D5DA" w14:textId="77777777" w:rsidR="00DC122C" w:rsidRPr="00BE00C7" w:rsidRDefault="00DC122C" w:rsidP="00BE00C7">
            <w:pPr>
              <w:pStyle w:val="OutcomeDescription"/>
              <w:spacing w:before="120" w:after="120"/>
              <w:rPr>
                <w:rFonts w:cs="Arial"/>
                <w:lang w:eastAsia="en-NZ"/>
              </w:rPr>
            </w:pPr>
            <w:r w:rsidRPr="00BE00C7">
              <w:rPr>
                <w:rFonts w:cs="Arial"/>
                <w:lang w:eastAsia="en-NZ"/>
              </w:rPr>
              <w:t>The C wing consists of three shared rooms and one single room, supported by two communal toilets and one shower. The D wing includes two single rooms and one large, shared room accommodating four beds, with access to two toilets and one shower.</w:t>
            </w:r>
          </w:p>
          <w:p w14:paraId="61B605BA" w14:textId="77777777" w:rsidR="00DC122C" w:rsidRPr="00BE00C7" w:rsidRDefault="00DC122C" w:rsidP="00BE00C7">
            <w:pPr>
              <w:pStyle w:val="OutcomeDescription"/>
              <w:spacing w:before="120" w:after="120"/>
              <w:rPr>
                <w:rFonts w:cs="Arial"/>
                <w:lang w:eastAsia="en-NZ"/>
              </w:rPr>
            </w:pPr>
            <w:r w:rsidRPr="00BE00C7">
              <w:rPr>
                <w:rFonts w:cs="Arial"/>
                <w:lang w:eastAsia="en-NZ"/>
              </w:rPr>
              <w:t>Additional toilet facilities are available for staff and visitors. A system is in place to indicate whether shared toilet and shower facilities are occupied or vacant. All washing areas are equipped with liquid soap and paper towels. All areas of the facility are accessible to residents, and furnishings and seating are appropriate for the resident group.</w:t>
            </w:r>
          </w:p>
          <w:p w14:paraId="1F06A264"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Residents interviewed reported that they can move freely throughout the facility, with staff assistance provided as required. Residents’ rooms are personalised according to individual preferences. All rooms have external windows providing natural light, ventilation, and heating. The grounds and external areas are well maintained, with safe and independent access for residents. Outdoor areas include appropriate seating and shaded spaces, and there is safe access to </w:t>
            </w:r>
            <w:r w:rsidRPr="00BE00C7">
              <w:rPr>
                <w:rFonts w:cs="Arial"/>
                <w:lang w:eastAsia="en-NZ"/>
              </w:rPr>
              <w:lastRenderedPageBreak/>
              <w:t>all communal areas.</w:t>
            </w:r>
          </w:p>
          <w:p w14:paraId="5C90866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owner/manager and office manager reported that any planned building developments would involve consultation and co-design to ensure environments reflect the aspirations and identity of Māori. Caregivers interviewed confirmed that they have access to adequate equipment to safely deliver care to residents.</w:t>
            </w:r>
          </w:p>
          <w:p w14:paraId="2F821B54" w14:textId="77777777" w:rsidR="00DC122C" w:rsidRPr="00BE00C7" w:rsidRDefault="00DC122C" w:rsidP="00BE00C7">
            <w:pPr>
              <w:pStyle w:val="OutcomeDescription"/>
              <w:spacing w:before="120" w:after="120"/>
              <w:rPr>
                <w:rFonts w:cs="Arial"/>
                <w:lang w:eastAsia="en-NZ"/>
              </w:rPr>
            </w:pPr>
          </w:p>
        </w:tc>
      </w:tr>
      <w:tr w:rsidR="009E3AD5" w14:paraId="24459CD9" w14:textId="77777777">
        <w:tc>
          <w:tcPr>
            <w:tcW w:w="0" w:type="auto"/>
          </w:tcPr>
          <w:p w14:paraId="3908C380"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040D646"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2690DEC" w14:textId="77777777" w:rsidR="00DC122C" w:rsidRPr="00BE00C7" w:rsidRDefault="00DC122C" w:rsidP="00BE00C7">
            <w:pPr>
              <w:pStyle w:val="OutcomeDescription"/>
              <w:spacing w:before="120" w:after="120"/>
              <w:rPr>
                <w:rFonts w:cs="Arial"/>
                <w:lang w:eastAsia="en-NZ"/>
              </w:rPr>
            </w:pPr>
          </w:p>
        </w:tc>
        <w:tc>
          <w:tcPr>
            <w:tcW w:w="0" w:type="auto"/>
          </w:tcPr>
          <w:p w14:paraId="4348166A"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3F90A7C4" w14:textId="77777777" w:rsidR="00DC122C" w:rsidRPr="00BE00C7" w:rsidRDefault="00DC122C"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Adequate supplies for use in the event of a civil defence emergency meet the National Emergency</w:t>
            </w:r>
            <w:r w:rsidRPr="00BE00C7">
              <w:rPr>
                <w:rFonts w:cs="Arial"/>
                <w:lang w:eastAsia="en-NZ"/>
              </w:rPr>
              <w:t xml:space="preserve"> Management Agency recommendations for the region. In the event of a civil defence emergency, essential resources are available, including emergency lighting, heating, alternative communication devices, and an alternative source of power where oxygen concentrators or other electrical equipment is in use. The service has its own generator and battery-operated emergency lighting systems to ensure continuity of essential services during power outages. Staff can provide a level of first aid relevant to the risk</w:t>
            </w:r>
            <w:r w:rsidRPr="00BE00C7">
              <w:rPr>
                <w:rFonts w:cs="Arial"/>
                <w:lang w:eastAsia="en-NZ"/>
              </w:rPr>
              <w:t xml:space="preserve">s for the type of service provided. </w:t>
            </w:r>
          </w:p>
          <w:p w14:paraId="2B80DA14" w14:textId="77777777" w:rsidR="00DC122C" w:rsidRPr="00BE00C7" w:rsidRDefault="00DC122C"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respond promptly to call bells.  Appropriate security arrangements are in place.  Residents and whānau were familiarised with emergency and security arrangements, as and when required.</w:t>
            </w:r>
          </w:p>
          <w:p w14:paraId="093AFCDF"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There was a closed-circuit television and video (CCTV) system monitoring the entrance, garden areas, and communal areas. CCTV signage was displayed around the facility. There are a visitors' policy and guidelines available to ensure that resident safety and wellbeing are not compromised by visitors to the service. Visitors and contractors are required to sign in and out of the visitors’ registers.  </w:t>
            </w:r>
          </w:p>
          <w:p w14:paraId="3703B50E" w14:textId="77777777" w:rsidR="00DC122C" w:rsidRPr="00BE00C7" w:rsidRDefault="00DC122C" w:rsidP="00BE00C7">
            <w:pPr>
              <w:pStyle w:val="OutcomeDescription"/>
              <w:spacing w:before="120" w:after="120"/>
              <w:rPr>
                <w:rFonts w:cs="Arial"/>
                <w:lang w:eastAsia="en-NZ"/>
              </w:rPr>
            </w:pPr>
          </w:p>
        </w:tc>
      </w:tr>
      <w:tr w:rsidR="009E3AD5" w14:paraId="611B505E" w14:textId="77777777">
        <w:tc>
          <w:tcPr>
            <w:tcW w:w="0" w:type="auto"/>
          </w:tcPr>
          <w:p w14:paraId="1D9F049B"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5.1: Governance</w:t>
            </w:r>
          </w:p>
          <w:p w14:paraId="788064A1"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0A168C6" w14:textId="77777777" w:rsidR="00DC122C" w:rsidRPr="00BE00C7" w:rsidRDefault="00DC122C" w:rsidP="00BE00C7">
            <w:pPr>
              <w:pStyle w:val="OutcomeDescription"/>
              <w:spacing w:before="120" w:after="120"/>
              <w:rPr>
                <w:rFonts w:cs="Arial"/>
                <w:lang w:eastAsia="en-NZ"/>
              </w:rPr>
            </w:pPr>
          </w:p>
        </w:tc>
        <w:tc>
          <w:tcPr>
            <w:tcW w:w="0" w:type="auto"/>
          </w:tcPr>
          <w:p w14:paraId="7B3D7088"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7F13144D" w14:textId="77777777" w:rsidR="00DC122C" w:rsidRPr="00BE00C7" w:rsidRDefault="00DC122C"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for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19FEDAC4" w14:textId="77777777" w:rsidR="00DC122C" w:rsidRPr="00BE00C7" w:rsidRDefault="00DC122C" w:rsidP="00BE00C7">
            <w:pPr>
              <w:pStyle w:val="OutcomeDescription"/>
              <w:spacing w:before="120" w:after="120"/>
              <w:rPr>
                <w:rFonts w:cs="Arial"/>
                <w:lang w:eastAsia="en-NZ"/>
              </w:rPr>
            </w:pPr>
          </w:p>
        </w:tc>
      </w:tr>
      <w:tr w:rsidR="009E3AD5" w14:paraId="1E973DCB" w14:textId="77777777">
        <w:tc>
          <w:tcPr>
            <w:tcW w:w="0" w:type="auto"/>
          </w:tcPr>
          <w:p w14:paraId="6FE704B5"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AC7670"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F4862B4" w14:textId="77777777" w:rsidR="00DC122C" w:rsidRPr="00BE00C7" w:rsidRDefault="00DC122C" w:rsidP="00BE00C7">
            <w:pPr>
              <w:pStyle w:val="OutcomeDescription"/>
              <w:spacing w:before="120" w:after="120"/>
              <w:rPr>
                <w:rFonts w:cs="Arial"/>
                <w:lang w:eastAsia="en-NZ"/>
              </w:rPr>
            </w:pPr>
          </w:p>
        </w:tc>
        <w:tc>
          <w:tcPr>
            <w:tcW w:w="0" w:type="auto"/>
          </w:tcPr>
          <w:p w14:paraId="26FF8030"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32E58163"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CNM is the infection prevention and control coordinator (IPCC) who is responsible for overseeing and implementing the IP programme, with reporting lines to the owner/manager. The IPCC has the appropriate skills, knowledge and qualifications for the role and confirmed access to the necessary resources and support. Their advice has been sought when making decisions around procurement relevant to care delivery, or facility changes, and policies. </w:t>
            </w:r>
          </w:p>
          <w:p w14:paraId="29A1858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348CB90E"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15A41139" w14:textId="77777777" w:rsidR="00DC122C" w:rsidRPr="00BE00C7" w:rsidRDefault="00DC122C"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523587F4"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Staff were familiar with policies for the decontamination of reusable medical devices and there was evidence of these being appropriately decontaminated and reprocessed. The process is audited to maintain </w:t>
            </w:r>
            <w:r w:rsidRPr="00BE00C7">
              <w:rPr>
                <w:rFonts w:cs="Arial"/>
                <w:lang w:eastAsia="en-NZ"/>
              </w:rPr>
              <w:lastRenderedPageBreak/>
              <w:t>good practice. Single-use medical devices are not reused.</w:t>
            </w:r>
          </w:p>
          <w:p w14:paraId="6AAD8A15" w14:textId="77777777" w:rsidR="00DC122C" w:rsidRPr="00BE00C7" w:rsidRDefault="00DC122C" w:rsidP="00BE00C7">
            <w:pPr>
              <w:pStyle w:val="OutcomeDescription"/>
              <w:spacing w:before="120" w:after="120"/>
              <w:rPr>
                <w:rFonts w:cs="Arial"/>
                <w:lang w:eastAsia="en-NZ"/>
              </w:rPr>
            </w:pPr>
          </w:p>
        </w:tc>
      </w:tr>
      <w:tr w:rsidR="009E3AD5" w14:paraId="48CF492F" w14:textId="77777777">
        <w:tc>
          <w:tcPr>
            <w:tcW w:w="0" w:type="auto"/>
          </w:tcPr>
          <w:p w14:paraId="2B2A5962"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2B3C6C4"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5DD0F98" w14:textId="77777777" w:rsidR="00DC122C" w:rsidRPr="00BE00C7" w:rsidRDefault="00DC122C" w:rsidP="00BE00C7">
            <w:pPr>
              <w:pStyle w:val="OutcomeDescription"/>
              <w:spacing w:before="120" w:after="120"/>
              <w:rPr>
                <w:rFonts w:cs="Arial"/>
                <w:lang w:eastAsia="en-NZ"/>
              </w:rPr>
            </w:pPr>
          </w:p>
        </w:tc>
        <w:tc>
          <w:tcPr>
            <w:tcW w:w="0" w:type="auto"/>
          </w:tcPr>
          <w:p w14:paraId="5CABEB25"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4A68DBBC" w14:textId="77777777" w:rsidR="00DC122C" w:rsidRPr="00BE00C7" w:rsidRDefault="00DC122C"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A continuous improvement rating has been awarded for the AMS programme.</w:t>
            </w:r>
          </w:p>
          <w:p w14:paraId="33C2875A" w14:textId="77777777" w:rsidR="00DC122C" w:rsidRPr="00BE00C7" w:rsidRDefault="00DC122C" w:rsidP="00BE00C7">
            <w:pPr>
              <w:pStyle w:val="OutcomeDescription"/>
              <w:spacing w:before="120" w:after="120"/>
              <w:rPr>
                <w:rFonts w:cs="Arial"/>
                <w:lang w:eastAsia="en-NZ"/>
              </w:rPr>
            </w:pPr>
          </w:p>
        </w:tc>
      </w:tr>
      <w:tr w:rsidR="009E3AD5" w14:paraId="4473F74A" w14:textId="77777777">
        <w:tc>
          <w:tcPr>
            <w:tcW w:w="0" w:type="auto"/>
          </w:tcPr>
          <w:p w14:paraId="53376079"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E7CD7FA"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765960" w14:textId="77777777" w:rsidR="00DC122C" w:rsidRPr="00BE00C7" w:rsidRDefault="00DC122C" w:rsidP="00BE00C7">
            <w:pPr>
              <w:pStyle w:val="OutcomeDescription"/>
              <w:spacing w:before="120" w:after="120"/>
              <w:rPr>
                <w:rFonts w:cs="Arial"/>
                <w:lang w:eastAsia="en-NZ"/>
              </w:rPr>
            </w:pPr>
          </w:p>
        </w:tc>
        <w:tc>
          <w:tcPr>
            <w:tcW w:w="0" w:type="auto"/>
          </w:tcPr>
          <w:p w14:paraId="654FA39F"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3B44EC3E" w14:textId="77777777" w:rsidR="00DC122C" w:rsidRPr="00BE00C7" w:rsidRDefault="00DC122C"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w:t>
            </w:r>
            <w:r w:rsidRPr="00BE00C7">
              <w:rPr>
                <w:rFonts w:cs="Arial"/>
                <w:lang w:eastAsia="en-NZ"/>
              </w:rPr>
              <w:t>e necessary, recommendations for improvement are identified. An infection outbreak reported since the previous audit has been managed effectively.  Learnings from the event have now been incorporated into practice.</w:t>
            </w:r>
          </w:p>
          <w:p w14:paraId="5E27EC6D" w14:textId="77777777" w:rsidR="00DC122C" w:rsidRPr="00BE00C7" w:rsidRDefault="00DC122C"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3CA5ECA3" w14:textId="77777777" w:rsidR="00DC122C" w:rsidRPr="00BE00C7" w:rsidRDefault="00DC122C" w:rsidP="00BE00C7">
            <w:pPr>
              <w:pStyle w:val="OutcomeDescription"/>
              <w:spacing w:before="120" w:after="120"/>
              <w:rPr>
                <w:rFonts w:cs="Arial"/>
                <w:lang w:eastAsia="en-NZ"/>
              </w:rPr>
            </w:pPr>
          </w:p>
        </w:tc>
      </w:tr>
      <w:tr w:rsidR="009E3AD5" w14:paraId="16236A9D" w14:textId="77777777">
        <w:tc>
          <w:tcPr>
            <w:tcW w:w="0" w:type="auto"/>
          </w:tcPr>
          <w:p w14:paraId="2FE2B610" w14:textId="77777777" w:rsidR="00DC122C" w:rsidRPr="00BE00C7" w:rsidRDefault="00DC122C" w:rsidP="00BE00C7">
            <w:pPr>
              <w:pStyle w:val="OutcomeDescription"/>
              <w:spacing w:before="120" w:after="120"/>
              <w:rPr>
                <w:rFonts w:cs="Arial"/>
                <w:lang w:eastAsia="en-NZ"/>
              </w:rPr>
            </w:pPr>
            <w:r w:rsidRPr="00BE00C7">
              <w:rPr>
                <w:rFonts w:cs="Arial"/>
                <w:lang w:eastAsia="en-NZ"/>
              </w:rPr>
              <w:t>Subsection 5.5: Environment</w:t>
            </w:r>
          </w:p>
          <w:p w14:paraId="276F5809"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5910B09" w14:textId="77777777" w:rsidR="00DC122C" w:rsidRPr="00BE00C7" w:rsidRDefault="00DC122C" w:rsidP="00BE00C7">
            <w:pPr>
              <w:pStyle w:val="OutcomeDescription"/>
              <w:spacing w:before="120" w:after="120"/>
              <w:rPr>
                <w:rFonts w:cs="Arial"/>
                <w:lang w:eastAsia="en-NZ"/>
              </w:rPr>
            </w:pPr>
          </w:p>
        </w:tc>
        <w:tc>
          <w:tcPr>
            <w:tcW w:w="0" w:type="auto"/>
          </w:tcPr>
          <w:p w14:paraId="58615A32"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CE08CE" w14:textId="77777777" w:rsidR="00DC122C" w:rsidRPr="00BE00C7" w:rsidRDefault="00DC122C"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Documented policies and procedures for laundry and cleaning guide staff practice.</w:t>
            </w:r>
          </w:p>
          <w:p w14:paraId="60349C1A"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Staff follow documented policies and processes for the management of waste and infectious and hazardous substances. Laundry and cleaning processes are monitored for effectiveness.  The service has reduced usage of traditional bucket and mop cleaning and the introduction of mechanical floor cleaning, resulting in improved environmental hygiene outcomes, as evidenced by the environmental swabbing results from the laboratory. Infection prevention personnel have oversight of the environmental testing and monito</w:t>
            </w:r>
            <w:r w:rsidRPr="00BE00C7">
              <w:rPr>
                <w:rFonts w:cs="Arial"/>
                <w:lang w:eastAsia="en-NZ"/>
              </w:rPr>
              <w:t>ring programme.  Staff involved have completed relevant training and were observed to carry out duties safely. Chemicals were stored safely.</w:t>
            </w:r>
          </w:p>
          <w:p w14:paraId="5D558668" w14:textId="77777777" w:rsidR="00DC122C" w:rsidRPr="00BE00C7" w:rsidRDefault="00DC122C"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35123260" w14:textId="77777777" w:rsidR="00DC122C" w:rsidRPr="00BE00C7" w:rsidRDefault="00DC122C" w:rsidP="00BE00C7">
            <w:pPr>
              <w:pStyle w:val="OutcomeDescription"/>
              <w:spacing w:before="120" w:after="120"/>
              <w:rPr>
                <w:rFonts w:cs="Arial"/>
                <w:lang w:eastAsia="en-NZ"/>
              </w:rPr>
            </w:pPr>
          </w:p>
        </w:tc>
      </w:tr>
      <w:tr w:rsidR="009E3AD5" w14:paraId="4FBE40B7" w14:textId="77777777">
        <w:tc>
          <w:tcPr>
            <w:tcW w:w="0" w:type="auto"/>
          </w:tcPr>
          <w:p w14:paraId="67BDC56D"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64BCFD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727FB8" w14:textId="77777777" w:rsidR="00DC122C" w:rsidRPr="00BE00C7" w:rsidRDefault="00DC122C" w:rsidP="00BE00C7">
            <w:pPr>
              <w:pStyle w:val="OutcomeDescription"/>
              <w:spacing w:before="120" w:after="120"/>
              <w:rPr>
                <w:rFonts w:cs="Arial"/>
                <w:lang w:eastAsia="en-NZ"/>
              </w:rPr>
            </w:pPr>
          </w:p>
        </w:tc>
        <w:tc>
          <w:tcPr>
            <w:tcW w:w="0" w:type="auto"/>
          </w:tcPr>
          <w:p w14:paraId="249A8A4A" w14:textId="77777777" w:rsidR="00DC122C" w:rsidRPr="00BE00C7" w:rsidRDefault="00DC122C" w:rsidP="00BE00C7">
            <w:pPr>
              <w:pStyle w:val="OutcomeDescription"/>
              <w:spacing w:before="120" w:after="120"/>
              <w:rPr>
                <w:rFonts w:cs="Arial"/>
                <w:lang w:eastAsia="en-NZ"/>
              </w:rPr>
            </w:pPr>
            <w:r w:rsidRPr="00BE00C7">
              <w:rPr>
                <w:rFonts w:cs="Arial"/>
                <w:lang w:eastAsia="en-NZ"/>
              </w:rPr>
              <w:t>FA</w:t>
            </w:r>
          </w:p>
        </w:tc>
        <w:tc>
          <w:tcPr>
            <w:tcW w:w="0" w:type="auto"/>
          </w:tcPr>
          <w:p w14:paraId="57B8078E" w14:textId="77777777" w:rsidR="00DC122C" w:rsidRPr="00BE00C7" w:rsidRDefault="00DC122C"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the owner/manager at the operational level.  At the time of the audit, there was no restraint in use, and this has been the case since the previous audit. Any use of restraint is reported to the governing body.</w:t>
            </w:r>
          </w:p>
          <w:p w14:paraId="4A06C826"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0139336C"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The management review team meets every month to discuss whether restraint is to be used. The team would consider approval of any restraint, approval of the method of restraint, guidelines, education of staff, observations and evaluation, and they would ensure that the correct equipment was used. Whānau/EPOA are involved in decision-making. </w:t>
            </w:r>
          </w:p>
          <w:p w14:paraId="0A767301"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Restraint protocols were covered in the orientation programme of the facility and included in the education programme (which includes annual restraint competency), and restraint use was identified as part of the quality programme and reported at all levels of the </w:t>
            </w:r>
            <w:r w:rsidRPr="00BE00C7">
              <w:rPr>
                <w:rFonts w:cs="Arial"/>
                <w:lang w:eastAsia="en-NZ"/>
              </w:rPr>
              <w:lastRenderedPageBreak/>
              <w:t>organisation.</w:t>
            </w:r>
          </w:p>
          <w:p w14:paraId="7D26ACC0" w14:textId="77777777" w:rsidR="00DC122C" w:rsidRPr="00BE00C7" w:rsidRDefault="00DC122C" w:rsidP="00BE00C7">
            <w:pPr>
              <w:pStyle w:val="OutcomeDescription"/>
              <w:spacing w:before="120" w:after="120"/>
              <w:rPr>
                <w:rFonts w:cs="Arial"/>
                <w:lang w:eastAsia="en-NZ"/>
              </w:rPr>
            </w:pPr>
          </w:p>
        </w:tc>
      </w:tr>
    </w:tbl>
    <w:p w14:paraId="50C5918F" w14:textId="77777777" w:rsidR="00DC122C" w:rsidRPr="00BE00C7" w:rsidRDefault="00DC122C" w:rsidP="00BE00C7">
      <w:pPr>
        <w:pStyle w:val="OutcomeDescription"/>
        <w:spacing w:before="120" w:after="120"/>
        <w:rPr>
          <w:rFonts w:cs="Arial"/>
          <w:lang w:eastAsia="en-NZ"/>
        </w:rPr>
      </w:pPr>
      <w:bookmarkStart w:id="56" w:name="AuditSummaryAttainment"/>
      <w:bookmarkEnd w:id="56"/>
    </w:p>
    <w:p w14:paraId="466DF610" w14:textId="77777777" w:rsidR="00DC122C" w:rsidRDefault="00DC122C">
      <w:pPr>
        <w:pStyle w:val="Heading1"/>
        <w:rPr>
          <w:rFonts w:cs="Arial"/>
        </w:rPr>
      </w:pPr>
      <w:r>
        <w:rPr>
          <w:rFonts w:cs="Arial"/>
        </w:rPr>
        <w:lastRenderedPageBreak/>
        <w:t>Specific results for criterion where corrective actions are required</w:t>
      </w:r>
    </w:p>
    <w:p w14:paraId="038598DC" w14:textId="77777777" w:rsidR="00DC122C" w:rsidRDefault="00DC122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745E99E" w14:textId="77777777" w:rsidR="00DC122C" w:rsidRDefault="00DC122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2026FF" w14:textId="77777777" w:rsidR="00DC122C" w:rsidRDefault="00DC122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E3AD5" w14:paraId="4B025D6C" w14:textId="77777777">
        <w:tc>
          <w:tcPr>
            <w:tcW w:w="0" w:type="auto"/>
          </w:tcPr>
          <w:p w14:paraId="3C84BAE3" w14:textId="77777777" w:rsidR="00DC122C" w:rsidRPr="00BE00C7" w:rsidRDefault="00DC122C" w:rsidP="00BE00C7">
            <w:pPr>
              <w:pStyle w:val="OutcomeDescription"/>
              <w:spacing w:before="120" w:after="120"/>
              <w:rPr>
                <w:rFonts w:cs="Arial"/>
                <w:lang w:eastAsia="en-NZ"/>
              </w:rPr>
            </w:pPr>
            <w:r w:rsidRPr="00BE00C7">
              <w:rPr>
                <w:rFonts w:cs="Arial"/>
                <w:lang w:eastAsia="en-NZ"/>
              </w:rPr>
              <w:t>No data to display</w:t>
            </w:r>
          </w:p>
        </w:tc>
      </w:tr>
    </w:tbl>
    <w:p w14:paraId="34C6D299" w14:textId="77777777" w:rsidR="00DC122C" w:rsidRPr="00BE00C7" w:rsidRDefault="00DC122C" w:rsidP="00BE00C7">
      <w:pPr>
        <w:pStyle w:val="OutcomeDescription"/>
        <w:spacing w:before="120" w:after="120"/>
        <w:rPr>
          <w:rFonts w:cs="Arial"/>
          <w:lang w:eastAsia="en-NZ"/>
        </w:rPr>
      </w:pPr>
      <w:bookmarkStart w:id="57" w:name="AuditSummaryCAMCriterion"/>
      <w:bookmarkEnd w:id="57"/>
    </w:p>
    <w:p w14:paraId="4A8A13AB" w14:textId="77777777" w:rsidR="00DC122C" w:rsidRDefault="00DC122C">
      <w:pPr>
        <w:pStyle w:val="Heading1"/>
        <w:rPr>
          <w:rFonts w:cs="Arial"/>
        </w:rPr>
      </w:pPr>
      <w:r>
        <w:rPr>
          <w:rFonts w:cs="Arial"/>
        </w:rPr>
        <w:lastRenderedPageBreak/>
        <w:t>Specific results for criterion where a continuous improvement has been recorded</w:t>
      </w:r>
    </w:p>
    <w:p w14:paraId="2E216A07" w14:textId="77777777" w:rsidR="00DC122C" w:rsidRDefault="00DC122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ED5F64" w14:textId="77777777" w:rsidR="00DC122C" w:rsidRDefault="00DC122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77158CA" w14:textId="77777777" w:rsidR="00DC122C" w:rsidRDefault="00DC122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1321"/>
        <w:gridCol w:w="4618"/>
        <w:gridCol w:w="4239"/>
      </w:tblGrid>
      <w:tr w:rsidR="009E3AD5" w14:paraId="4E4E177C" w14:textId="77777777">
        <w:tc>
          <w:tcPr>
            <w:tcW w:w="0" w:type="auto"/>
          </w:tcPr>
          <w:p w14:paraId="526838F0" w14:textId="77777777" w:rsidR="00DC122C" w:rsidRPr="00BE00C7" w:rsidRDefault="00DC122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5D3D43" w14:textId="77777777" w:rsidR="00DC122C" w:rsidRPr="00BE00C7" w:rsidRDefault="00DC122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03E04C" w14:textId="77777777" w:rsidR="00DC122C" w:rsidRPr="00BE00C7" w:rsidRDefault="00DC122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EC09CD9" w14:textId="77777777" w:rsidR="00DC122C" w:rsidRPr="00BE00C7" w:rsidRDefault="00DC122C" w:rsidP="00BE00C7">
            <w:pPr>
              <w:pStyle w:val="OutcomeDescription"/>
              <w:spacing w:before="120" w:after="120"/>
              <w:rPr>
                <w:rFonts w:cs="Arial"/>
                <w:b/>
                <w:lang w:eastAsia="en-NZ"/>
              </w:rPr>
            </w:pPr>
            <w:r w:rsidRPr="00BE00C7">
              <w:rPr>
                <w:rFonts w:cs="Arial"/>
                <w:b/>
                <w:lang w:eastAsia="en-NZ"/>
              </w:rPr>
              <w:t>Audit Finding</w:t>
            </w:r>
          </w:p>
        </w:tc>
      </w:tr>
      <w:tr w:rsidR="009E3AD5" w14:paraId="76C53FF4" w14:textId="77777777">
        <w:tc>
          <w:tcPr>
            <w:tcW w:w="0" w:type="auto"/>
          </w:tcPr>
          <w:p w14:paraId="24E7C40B" w14:textId="77777777" w:rsidR="00DC122C" w:rsidRPr="00BE00C7" w:rsidRDefault="00DC122C" w:rsidP="00BE00C7">
            <w:pPr>
              <w:pStyle w:val="OutcomeDescription"/>
              <w:spacing w:before="120" w:after="120"/>
              <w:rPr>
                <w:rFonts w:cs="Arial"/>
                <w:lang w:eastAsia="en-NZ"/>
              </w:rPr>
            </w:pPr>
            <w:r w:rsidRPr="00BE00C7">
              <w:rPr>
                <w:rFonts w:cs="Arial"/>
                <w:lang w:eastAsia="en-NZ"/>
              </w:rPr>
              <w:t>Criterion 2.5.1</w:t>
            </w:r>
          </w:p>
          <w:p w14:paraId="6A58A539" w14:textId="77777777" w:rsidR="00DC122C" w:rsidRPr="00BE00C7" w:rsidRDefault="00DC122C"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65C763A1" w14:textId="77777777" w:rsidR="00DC122C" w:rsidRPr="00BE00C7" w:rsidRDefault="00DC122C" w:rsidP="00BE00C7">
            <w:pPr>
              <w:pStyle w:val="OutcomeDescription"/>
              <w:spacing w:before="120" w:after="120"/>
              <w:rPr>
                <w:rFonts w:cs="Arial"/>
                <w:lang w:eastAsia="en-NZ"/>
              </w:rPr>
            </w:pPr>
            <w:r w:rsidRPr="00BE00C7">
              <w:rPr>
                <w:rFonts w:cs="Arial"/>
                <w:lang w:eastAsia="en-NZ"/>
              </w:rPr>
              <w:t>CI</w:t>
            </w:r>
          </w:p>
        </w:tc>
        <w:tc>
          <w:tcPr>
            <w:tcW w:w="0" w:type="auto"/>
          </w:tcPr>
          <w:p w14:paraId="2D461538" w14:textId="77777777" w:rsidR="00DC122C" w:rsidRPr="00BE00C7" w:rsidRDefault="00DC122C" w:rsidP="00BE00C7">
            <w:pPr>
              <w:pStyle w:val="OutcomeDescription"/>
              <w:spacing w:before="120" w:after="120"/>
              <w:rPr>
                <w:rFonts w:cs="Arial"/>
                <w:lang w:eastAsia="en-NZ"/>
              </w:rPr>
            </w:pPr>
            <w:r w:rsidRPr="00BE00C7">
              <w:rPr>
                <w:rFonts w:cs="Arial"/>
                <w:lang w:eastAsia="en-NZ"/>
              </w:rPr>
              <w:t>A quality improvement initiative was implemented in 2025, focusing on the resident electronic information management system, following a review that identified variability in the quality, timeliness, and alignment of progress notes with care plan interventions. The project aimed to improve the accuracy, consistency, and efficiency of documentation while reducing administrative burden and increasing caregiver time available for direct resident care. Key actions included streamlining care plan interventions t</w:t>
            </w:r>
            <w:r w:rsidRPr="00BE00C7">
              <w:rPr>
                <w:rFonts w:cs="Arial"/>
                <w:lang w:eastAsia="en-NZ"/>
              </w:rPr>
              <w:t xml:space="preserve">o remove duplication, introducing structured progress note templates with prompts, providing staff education and documentation guidance (including support for staff with English as a second language), and reinforcing expectations for real-time documentation. </w:t>
            </w:r>
          </w:p>
          <w:p w14:paraId="74A8D73D"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Evaluation through staff and clinical surveys </w:t>
            </w:r>
            <w:r w:rsidRPr="00BE00C7">
              <w:rPr>
                <w:rFonts w:cs="Arial"/>
                <w:lang w:eastAsia="en-NZ"/>
              </w:rPr>
              <w:lastRenderedPageBreak/>
              <w:t>(January–February 2026), audits, and feedback demonstrated strong positive outcomes. A staff survey (n=8) reported 100% of respondents found the system easier to use, spent less time completing documentation, and preferred the new template over the previous method. Clinical leadership survey results (n=2) also showed 100% agreement that documentation structure, readability, and alignment with care planning had improved. Qualitative feedback identified reduced administrative burden, improved efficiency, clea</w:t>
            </w:r>
            <w:r w:rsidRPr="00BE00C7">
              <w:rPr>
                <w:rFonts w:cs="Arial"/>
                <w:lang w:eastAsia="en-NZ"/>
              </w:rPr>
              <w:t>rer and more consistent documentation, and increased time available for resident care. The structured format improved clinical oversight, lowered the chance of missing interventions, and made audit readiness and governance reporting stronger. Ongoing monitoring has identified opportunities for continued staff training and template refinement to maintain consistency and optimise outcomes.</w:t>
            </w:r>
          </w:p>
          <w:p w14:paraId="0C562D75" w14:textId="77777777" w:rsidR="00DC122C" w:rsidRPr="00BE00C7" w:rsidRDefault="00DC122C" w:rsidP="00BE00C7">
            <w:pPr>
              <w:pStyle w:val="OutcomeDescription"/>
              <w:spacing w:before="120" w:after="120"/>
              <w:rPr>
                <w:rFonts w:cs="Arial"/>
                <w:lang w:eastAsia="en-NZ"/>
              </w:rPr>
            </w:pPr>
          </w:p>
        </w:tc>
        <w:tc>
          <w:tcPr>
            <w:tcW w:w="0" w:type="auto"/>
          </w:tcPr>
          <w:p w14:paraId="611AA35D"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The implementation of the electronic documentation improvements has resulted in measurable improvements in documentation quality, efficiency, and alignment with care planning, supported by 100% positive staff (n=8) and clinical (n=2) survey responses. Staff reported reduced documentation time and increased availability for resident care, while clinical oversight and audit readiness have been strengthened. This initiative demonstrates effective and sustainable quality improvement aligned with the standard re</w:t>
            </w:r>
            <w:r w:rsidRPr="00BE00C7">
              <w:rPr>
                <w:rFonts w:cs="Arial"/>
                <w:lang w:eastAsia="en-NZ"/>
              </w:rPr>
              <w:t xml:space="preserve">quirements.  </w:t>
            </w:r>
          </w:p>
          <w:p w14:paraId="55FA1A06" w14:textId="77777777" w:rsidR="00DC122C" w:rsidRPr="00BE00C7" w:rsidRDefault="00DC122C" w:rsidP="00BE00C7">
            <w:pPr>
              <w:pStyle w:val="OutcomeDescription"/>
              <w:spacing w:before="120" w:after="120"/>
              <w:rPr>
                <w:rFonts w:cs="Arial"/>
                <w:lang w:eastAsia="en-NZ"/>
              </w:rPr>
            </w:pPr>
          </w:p>
        </w:tc>
      </w:tr>
      <w:tr w:rsidR="009E3AD5" w14:paraId="5652183F" w14:textId="77777777">
        <w:tc>
          <w:tcPr>
            <w:tcW w:w="0" w:type="auto"/>
          </w:tcPr>
          <w:p w14:paraId="08336370" w14:textId="77777777" w:rsidR="00DC122C" w:rsidRPr="00BE00C7" w:rsidRDefault="00DC122C" w:rsidP="00BE00C7">
            <w:pPr>
              <w:pStyle w:val="OutcomeDescription"/>
              <w:spacing w:before="120" w:after="120"/>
              <w:rPr>
                <w:rFonts w:cs="Arial"/>
                <w:lang w:eastAsia="en-NZ"/>
              </w:rPr>
            </w:pPr>
            <w:r w:rsidRPr="00BE00C7">
              <w:rPr>
                <w:rFonts w:cs="Arial"/>
                <w:lang w:eastAsia="en-NZ"/>
              </w:rPr>
              <w:t>Criterion 3.2.4</w:t>
            </w:r>
          </w:p>
          <w:p w14:paraId="367A7377" w14:textId="77777777" w:rsidR="00DC122C" w:rsidRPr="00BE00C7" w:rsidRDefault="00DC122C"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r>
            <w:r w:rsidRPr="00BE00C7">
              <w:rPr>
                <w:rFonts w:cs="Arial"/>
                <w:lang w:eastAsia="en-NZ"/>
              </w:rPr>
              <w:lastRenderedPageBreak/>
              <w:t xml:space="preserve">(d) That needs and risk assessments are </w:t>
            </w:r>
            <w:r w:rsidRPr="00BE00C7">
              <w:rPr>
                <w:rFonts w:cs="Arial"/>
                <w:lang w:eastAsia="en-NZ"/>
              </w:rPr>
              <w:t>an ongoing process and that any changes are documented.</w:t>
            </w:r>
          </w:p>
          <w:p w14:paraId="12AC636A" w14:textId="77777777" w:rsidR="00DC122C" w:rsidRPr="00BE00C7" w:rsidRDefault="00DC122C" w:rsidP="00BE00C7">
            <w:pPr>
              <w:pStyle w:val="OutcomeDescription"/>
              <w:spacing w:before="120" w:after="120"/>
              <w:rPr>
                <w:rFonts w:cs="Arial"/>
                <w:lang w:eastAsia="en-NZ"/>
              </w:rPr>
            </w:pPr>
          </w:p>
        </w:tc>
        <w:tc>
          <w:tcPr>
            <w:tcW w:w="0" w:type="auto"/>
          </w:tcPr>
          <w:p w14:paraId="7A6EA269"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01598C3C" w14:textId="77777777" w:rsidR="00DC122C" w:rsidRPr="00BE00C7" w:rsidRDefault="00DC122C" w:rsidP="00BE00C7">
            <w:pPr>
              <w:pStyle w:val="OutcomeDescription"/>
              <w:spacing w:before="120" w:after="120"/>
              <w:rPr>
                <w:rFonts w:cs="Arial"/>
                <w:lang w:eastAsia="en-NZ"/>
              </w:rPr>
            </w:pPr>
            <w:r w:rsidRPr="00BE00C7">
              <w:rPr>
                <w:rFonts w:cs="Arial"/>
                <w:lang w:eastAsia="en-NZ"/>
              </w:rPr>
              <w:t>Analysis of incident data from January to July 2025 identified 65 falls, with a high proportion occurring unwitnessed during routine resident activities such as transfers and independent mobility. A defined cohort of high-risk residents accounted for recurrent incidents, and injuries, including head impacts, skin tears, and fractures, reinforced the need for targeted intervention.</w:t>
            </w:r>
          </w:p>
          <w:p w14:paraId="63659776" w14:textId="77777777" w:rsidR="00DC122C" w:rsidRPr="00BE00C7" w:rsidRDefault="00DC122C" w:rsidP="00BE00C7">
            <w:pPr>
              <w:pStyle w:val="OutcomeDescription"/>
              <w:spacing w:before="120" w:after="120"/>
              <w:rPr>
                <w:rFonts w:cs="Arial"/>
                <w:lang w:eastAsia="en-NZ"/>
              </w:rPr>
            </w:pPr>
          </w:p>
          <w:p w14:paraId="4B707684"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In response, a structured quality improvement initiative was implemented from August 2025, focusing on increased clinical oversight, targeted strategies for high-risk residents, and strengthened incident review processes. Environmental risks were addressed through the </w:t>
            </w:r>
            <w:r w:rsidRPr="00BE00C7">
              <w:rPr>
                <w:rFonts w:cs="Arial"/>
                <w:lang w:eastAsia="en-NZ"/>
              </w:rPr>
              <w:lastRenderedPageBreak/>
              <w:t>introduction of low-moisture cleaning methods, reduction in manual mopping, consistent use of wet floor signage, and rescheduling of cleaning to avoid peak movement times. Staff education in falls prevention was enhanced, and sensor technology was introduced for residents identified as high risk.</w:t>
            </w:r>
          </w:p>
          <w:p w14:paraId="347F736E" w14:textId="77777777" w:rsidR="00DC122C" w:rsidRPr="00BE00C7" w:rsidRDefault="00DC122C" w:rsidP="00BE00C7">
            <w:pPr>
              <w:pStyle w:val="OutcomeDescription"/>
              <w:spacing w:before="120" w:after="120"/>
              <w:rPr>
                <w:rFonts w:cs="Arial"/>
                <w:lang w:eastAsia="en-NZ"/>
              </w:rPr>
            </w:pPr>
          </w:p>
          <w:p w14:paraId="187C15C2" w14:textId="77777777" w:rsidR="00DC122C" w:rsidRPr="00BE00C7" w:rsidRDefault="00DC122C" w:rsidP="00BE00C7">
            <w:pPr>
              <w:pStyle w:val="OutcomeDescription"/>
              <w:spacing w:before="120" w:after="120"/>
              <w:rPr>
                <w:rFonts w:cs="Arial"/>
                <w:lang w:eastAsia="en-NZ"/>
              </w:rPr>
            </w:pPr>
            <w:r w:rsidRPr="00BE00C7">
              <w:rPr>
                <w:rFonts w:cs="Arial"/>
                <w:lang w:eastAsia="en-NZ"/>
              </w:rPr>
              <w:t>Outcome data showed that while falls peaked in June and remained elevated through July and August, a sustained reduction was achieved from September through December 2025. From August 2025 to February 2026, total falls reduced to 33, with no major injuries reported. Ongoing analysis confirmed that most incidents occurred in resident rooms, bathrooms, and communal areas, often unwitnessed, with overall rates influenced by a small group of recurrent fallers rather than systemic care issues. Interviewed whanau</w:t>
            </w:r>
            <w:r w:rsidRPr="00BE00C7">
              <w:rPr>
                <w:rFonts w:cs="Arial"/>
                <w:lang w:eastAsia="en-NZ"/>
              </w:rPr>
              <w:t xml:space="preserve"> and residents expressed satisfaction with the measures implemented to reduce falls.</w:t>
            </w:r>
          </w:p>
          <w:p w14:paraId="6B5B824C" w14:textId="77777777" w:rsidR="00DC122C" w:rsidRPr="00BE00C7" w:rsidRDefault="00DC122C" w:rsidP="00BE00C7">
            <w:pPr>
              <w:pStyle w:val="OutcomeDescription"/>
              <w:spacing w:before="120" w:after="120"/>
              <w:rPr>
                <w:rFonts w:cs="Arial"/>
                <w:lang w:eastAsia="en-NZ"/>
              </w:rPr>
            </w:pPr>
          </w:p>
        </w:tc>
        <w:tc>
          <w:tcPr>
            <w:tcW w:w="0" w:type="auto"/>
          </w:tcPr>
          <w:p w14:paraId="30A2A11C"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The service demonstrates a clear, continuous improvement trajectory in relation to falls prevention and management. The service has shown the ability to critically analyse data, implement evidence-based strategies, and achieve measurable, sustained improvements. The proactive identification and management of high-risk residents is a key strength and reflects a risk-based, person-centred approach. This supports a rating of continuous improvement awarded, with outcomes indicating not only reduced incidence bu</w:t>
            </w:r>
            <w:r w:rsidRPr="00BE00C7">
              <w:rPr>
                <w:rFonts w:cs="Arial"/>
                <w:lang w:eastAsia="en-NZ"/>
              </w:rPr>
              <w:t>t also minimised harm associated with falls.</w:t>
            </w:r>
          </w:p>
          <w:p w14:paraId="6A0B809E" w14:textId="77777777" w:rsidR="00DC122C" w:rsidRPr="00BE00C7" w:rsidRDefault="00DC122C" w:rsidP="00BE00C7">
            <w:pPr>
              <w:pStyle w:val="OutcomeDescription"/>
              <w:spacing w:before="120" w:after="120"/>
              <w:rPr>
                <w:rFonts w:cs="Arial"/>
                <w:lang w:eastAsia="en-NZ"/>
              </w:rPr>
            </w:pPr>
          </w:p>
        </w:tc>
      </w:tr>
      <w:tr w:rsidR="009E3AD5" w14:paraId="7190A24A" w14:textId="77777777">
        <w:tc>
          <w:tcPr>
            <w:tcW w:w="0" w:type="auto"/>
          </w:tcPr>
          <w:p w14:paraId="2679037A" w14:textId="77777777" w:rsidR="00DC122C" w:rsidRPr="00BE00C7" w:rsidRDefault="00DC122C" w:rsidP="00BE00C7">
            <w:pPr>
              <w:pStyle w:val="OutcomeDescription"/>
              <w:spacing w:before="120" w:after="120"/>
              <w:rPr>
                <w:rFonts w:cs="Arial"/>
                <w:lang w:eastAsia="en-NZ"/>
              </w:rPr>
            </w:pPr>
            <w:r w:rsidRPr="00BE00C7">
              <w:rPr>
                <w:rFonts w:cs="Arial"/>
                <w:lang w:eastAsia="en-NZ"/>
              </w:rPr>
              <w:t>Criterion 3.4.1</w:t>
            </w:r>
          </w:p>
          <w:p w14:paraId="0B8729F4" w14:textId="77777777" w:rsidR="00DC122C" w:rsidRPr="00BE00C7" w:rsidRDefault="00DC122C"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B6125D1" w14:textId="77777777" w:rsidR="00DC122C" w:rsidRPr="00BE00C7" w:rsidRDefault="00DC122C" w:rsidP="00BE00C7">
            <w:pPr>
              <w:pStyle w:val="OutcomeDescription"/>
              <w:spacing w:before="120" w:after="120"/>
              <w:rPr>
                <w:rFonts w:cs="Arial"/>
                <w:lang w:eastAsia="en-NZ"/>
              </w:rPr>
            </w:pPr>
            <w:r w:rsidRPr="00BE00C7">
              <w:rPr>
                <w:rFonts w:cs="Arial"/>
                <w:lang w:eastAsia="en-NZ"/>
              </w:rPr>
              <w:t>CI</w:t>
            </w:r>
          </w:p>
        </w:tc>
        <w:tc>
          <w:tcPr>
            <w:tcW w:w="0" w:type="auto"/>
          </w:tcPr>
          <w:p w14:paraId="38F4BB43" w14:textId="77777777" w:rsidR="00DC122C" w:rsidRPr="00BE00C7" w:rsidRDefault="00DC122C" w:rsidP="00BE00C7">
            <w:pPr>
              <w:pStyle w:val="OutcomeDescription"/>
              <w:spacing w:before="120" w:after="120"/>
              <w:rPr>
                <w:rFonts w:cs="Arial"/>
                <w:lang w:eastAsia="en-NZ"/>
              </w:rPr>
            </w:pPr>
            <w:r w:rsidRPr="00BE00C7">
              <w:rPr>
                <w:rFonts w:cs="Arial"/>
                <w:lang w:eastAsia="en-NZ"/>
              </w:rPr>
              <w:t>A quality improvement project was initiated in response to a high reliance on prescribed aperients as first-resort PRN interventions for bowel management. Baseline data indicated increasing usage trends, with limited use of preventative or non-pharmacological strategies.</w:t>
            </w:r>
          </w:p>
          <w:p w14:paraId="1FC0C83E" w14:textId="77777777" w:rsidR="00DC122C" w:rsidRPr="00BE00C7" w:rsidRDefault="00DC122C" w:rsidP="00BE00C7">
            <w:pPr>
              <w:pStyle w:val="OutcomeDescription"/>
              <w:spacing w:before="120" w:after="120"/>
              <w:rPr>
                <w:rFonts w:cs="Arial"/>
                <w:lang w:eastAsia="en-NZ"/>
              </w:rPr>
            </w:pPr>
            <w:r w:rsidRPr="00BE00C7">
              <w:rPr>
                <w:rFonts w:cs="Arial"/>
                <w:lang w:eastAsia="en-NZ"/>
              </w:rPr>
              <w:t>The initiative aimed to:</w:t>
            </w:r>
          </w:p>
          <w:p w14:paraId="41CEB044"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Reduce usage levels of prescribed aperients as first-line PRN interventions </w:t>
            </w:r>
          </w:p>
          <w:p w14:paraId="314CEDF5"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Implement natural aperient options as the default initial intervention </w:t>
            </w:r>
          </w:p>
          <w:p w14:paraId="6F518DE4"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Reduce unnecessary pharmacological </w:t>
            </w:r>
            <w:r w:rsidRPr="00BE00C7">
              <w:rPr>
                <w:rFonts w:cs="Arial"/>
                <w:lang w:eastAsia="en-NZ"/>
              </w:rPr>
              <w:lastRenderedPageBreak/>
              <w:t xml:space="preserve">exposure while maintaining safe bowel outcomes </w:t>
            </w:r>
          </w:p>
          <w:p w14:paraId="26BD6562"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 </w:t>
            </w:r>
          </w:p>
          <w:p w14:paraId="4AE71653" w14:textId="77777777" w:rsidR="00DC122C" w:rsidRPr="00BE00C7" w:rsidRDefault="00DC122C" w:rsidP="00BE00C7">
            <w:pPr>
              <w:pStyle w:val="OutcomeDescription"/>
              <w:spacing w:before="120" w:after="120"/>
              <w:rPr>
                <w:rFonts w:cs="Arial"/>
                <w:lang w:eastAsia="en-NZ"/>
              </w:rPr>
            </w:pPr>
            <w:r w:rsidRPr="00BE00C7">
              <w:rPr>
                <w:rFonts w:cs="Arial"/>
                <w:lang w:eastAsia="en-NZ"/>
              </w:rPr>
              <w:t>Interventions Implemented</w:t>
            </w:r>
          </w:p>
          <w:p w14:paraId="1E50510F" w14:textId="77777777" w:rsidR="00DC122C" w:rsidRPr="00BE00C7" w:rsidRDefault="00DC122C" w:rsidP="00BE00C7">
            <w:pPr>
              <w:pStyle w:val="OutcomeDescription"/>
              <w:spacing w:before="120" w:after="120"/>
              <w:rPr>
                <w:rFonts w:cs="Arial"/>
                <w:lang w:eastAsia="en-NZ"/>
              </w:rPr>
            </w:pPr>
            <w:r w:rsidRPr="00BE00C7">
              <w:rPr>
                <w:rFonts w:cs="Arial"/>
                <w:lang w:eastAsia="en-NZ"/>
              </w:rPr>
              <w:t>A multifaceted approach was undertaken to address both clinical practice and system processes:</w:t>
            </w:r>
          </w:p>
          <w:p w14:paraId="0A427D4D"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Completion of a dietitian audit of the menu, followed by implementation of recommendations. </w:t>
            </w:r>
          </w:p>
          <w:p w14:paraId="33CDA613"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Increased fibre intake opportunities across the menu cycle.</w:t>
            </w:r>
          </w:p>
          <w:p w14:paraId="7368FC18"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Introduction and integration of natural aperients (including Kiwicrush) into daily practice. </w:t>
            </w:r>
          </w:p>
          <w:p w14:paraId="1D9C12B7"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Update of PRN policies and procedures to reflect the use of Kiwicrush as a first-line intervention. </w:t>
            </w:r>
          </w:p>
          <w:p w14:paraId="0786C2D6"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Identification of high-risk residents, with implementation of daily natural aperient support. </w:t>
            </w:r>
          </w:p>
          <w:p w14:paraId="57ED42BD"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Daily bowel chart monitoring to identify trends and enable early intervention. </w:t>
            </w:r>
          </w:p>
          <w:p w14:paraId="442632F0"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r>
            <w:r w:rsidRPr="00BE00C7">
              <w:rPr>
                <w:rFonts w:cs="Arial"/>
                <w:lang w:eastAsia="en-NZ"/>
              </w:rPr>
              <w:t xml:space="preserve">Staff education on updated protocols, with reinforcement through champion oversight. </w:t>
            </w:r>
          </w:p>
          <w:p w14:paraId="087CF8B5"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Ongoing monitoring of compliance with procedural changes. </w:t>
            </w:r>
          </w:p>
          <w:p w14:paraId="3D5DF139"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Tracking of bowel outcomes, medication usage trends, and resident responses. </w:t>
            </w:r>
          </w:p>
          <w:p w14:paraId="57FBFDC2"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 </w:t>
            </w:r>
          </w:p>
          <w:p w14:paraId="7942E473" w14:textId="77777777" w:rsidR="00DC122C" w:rsidRPr="00BE00C7" w:rsidRDefault="00DC122C" w:rsidP="00BE00C7">
            <w:pPr>
              <w:pStyle w:val="OutcomeDescription"/>
              <w:spacing w:before="120" w:after="120"/>
              <w:rPr>
                <w:rFonts w:cs="Arial"/>
                <w:lang w:eastAsia="en-NZ"/>
              </w:rPr>
            </w:pPr>
            <w:r w:rsidRPr="00BE00C7">
              <w:rPr>
                <w:rFonts w:cs="Arial"/>
                <w:lang w:eastAsia="en-NZ"/>
              </w:rPr>
              <w:t>Evaluation (as of February 2026)</w:t>
            </w:r>
          </w:p>
          <w:p w14:paraId="1642FBFA"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Review of bowel management trends and PRN medicine usage reports demonstrates a significant reduction in the number of residents requiring </w:t>
            </w:r>
            <w:r w:rsidRPr="00BE00C7">
              <w:rPr>
                <w:rFonts w:cs="Arial"/>
                <w:lang w:eastAsia="en-NZ"/>
              </w:rPr>
              <w:lastRenderedPageBreak/>
              <w:t>prescribed aperients following implementation of this initiative.</w:t>
            </w:r>
          </w:p>
          <w:p w14:paraId="22C96463" w14:textId="77777777" w:rsidR="00DC122C" w:rsidRPr="00BE00C7" w:rsidRDefault="00DC122C" w:rsidP="00BE00C7">
            <w:pPr>
              <w:pStyle w:val="OutcomeDescription"/>
              <w:spacing w:before="120" w:after="120"/>
              <w:rPr>
                <w:rFonts w:cs="Arial"/>
                <w:lang w:eastAsia="en-NZ"/>
              </w:rPr>
            </w:pPr>
            <w:r w:rsidRPr="00BE00C7">
              <w:rPr>
                <w:rFonts w:cs="Arial"/>
                <w:lang w:eastAsia="en-NZ"/>
              </w:rPr>
              <w:t>Baseline data from January 2025 recorded 7 residents using prescribed aperients, with a peak of 10 residents in February 2025. Following implementation of the improvement strategies in August 2025, a sustained downward trend was observed:</w:t>
            </w:r>
          </w:p>
          <w:p w14:paraId="231CF725"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March 2025: 6 residents </w:t>
            </w:r>
          </w:p>
          <w:p w14:paraId="2941FD5E"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November 2025: 0 residents </w:t>
            </w:r>
          </w:p>
          <w:p w14:paraId="63A1B818"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December 2025: 1 resident </w:t>
            </w:r>
          </w:p>
          <w:p w14:paraId="4E204C5B" w14:textId="77777777" w:rsidR="00DC122C" w:rsidRPr="00BE00C7" w:rsidRDefault="00DC122C" w:rsidP="00BE00C7">
            <w:pPr>
              <w:pStyle w:val="OutcomeDescription"/>
              <w:spacing w:before="120" w:after="120"/>
              <w:rPr>
                <w:rFonts w:cs="Arial"/>
                <w:lang w:eastAsia="en-NZ"/>
              </w:rPr>
            </w:pPr>
            <w:r w:rsidRPr="00BE00C7">
              <w:rPr>
                <w:rFonts w:cs="Arial"/>
                <w:lang w:eastAsia="en-NZ"/>
              </w:rPr>
              <w:t>Early 2026 data continues to demonstrate sustained improvement:</w:t>
            </w:r>
          </w:p>
          <w:p w14:paraId="481E1E84"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January 2026: 0 residents </w:t>
            </w:r>
          </w:p>
          <w:p w14:paraId="46859787" w14:textId="77777777" w:rsidR="00DC122C" w:rsidRPr="00BE00C7" w:rsidRDefault="00DC122C"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February 2026: 2 residents </w:t>
            </w:r>
          </w:p>
          <w:p w14:paraId="0E12ED43" w14:textId="77777777" w:rsidR="00DC122C" w:rsidRPr="00BE00C7" w:rsidRDefault="00DC122C" w:rsidP="00BE00C7">
            <w:pPr>
              <w:pStyle w:val="OutcomeDescription"/>
              <w:spacing w:before="120" w:after="120"/>
              <w:rPr>
                <w:rFonts w:cs="Arial"/>
                <w:lang w:eastAsia="en-NZ"/>
              </w:rPr>
            </w:pPr>
            <w:r w:rsidRPr="00BE00C7">
              <w:rPr>
                <w:rFonts w:cs="Arial"/>
                <w:lang w:eastAsia="en-NZ"/>
              </w:rPr>
              <w:t>This represents a substantial overall reduction from the early 2025 peak and demonstrates a clear shift away from routine pharmacological reliance toward preventative and nutritional bowel management strategies.</w:t>
            </w:r>
          </w:p>
          <w:p w14:paraId="0724E74E" w14:textId="77777777" w:rsidR="00DC122C" w:rsidRPr="00BE00C7" w:rsidRDefault="00DC122C" w:rsidP="00BE00C7">
            <w:pPr>
              <w:pStyle w:val="OutcomeDescription"/>
              <w:spacing w:before="120" w:after="120"/>
              <w:rPr>
                <w:rFonts w:cs="Arial"/>
                <w:lang w:eastAsia="en-NZ"/>
              </w:rPr>
            </w:pPr>
          </w:p>
        </w:tc>
        <w:tc>
          <w:tcPr>
            <w:tcW w:w="0" w:type="auto"/>
          </w:tcPr>
          <w:p w14:paraId="2DCA4526"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The actions implemented have resulted in significant progress toward the identified objectives and there has been a clear and sustained reduction in the number of residents requiring prescribed aperients. A continuous improvement rating has been awarded as the initiative has demonstrated strong measurable improvement, with ongoing monitoring in place to support full and sustained achievement of safer, preventative bowel management practices for residents.</w:t>
            </w:r>
          </w:p>
          <w:p w14:paraId="43CB83EB" w14:textId="77777777" w:rsidR="00DC122C" w:rsidRPr="00BE00C7" w:rsidRDefault="00DC122C" w:rsidP="00BE00C7">
            <w:pPr>
              <w:pStyle w:val="OutcomeDescription"/>
              <w:spacing w:before="120" w:after="120"/>
              <w:rPr>
                <w:rFonts w:cs="Arial"/>
                <w:lang w:eastAsia="en-NZ"/>
              </w:rPr>
            </w:pPr>
          </w:p>
        </w:tc>
      </w:tr>
      <w:tr w:rsidR="009E3AD5" w14:paraId="7C72156F" w14:textId="77777777">
        <w:tc>
          <w:tcPr>
            <w:tcW w:w="0" w:type="auto"/>
          </w:tcPr>
          <w:p w14:paraId="54AEDB81"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Criterion 5.3.3</w:t>
            </w:r>
          </w:p>
          <w:p w14:paraId="5327CFFC" w14:textId="77777777" w:rsidR="00DC122C" w:rsidRPr="00BE00C7" w:rsidRDefault="00DC122C"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(b) Identifying areas for improvement and evaluating the progress of AMS activities.</w:t>
            </w:r>
          </w:p>
          <w:p w14:paraId="3962D482" w14:textId="77777777" w:rsidR="00DC122C" w:rsidRPr="00BE00C7" w:rsidRDefault="00DC122C" w:rsidP="00BE00C7">
            <w:pPr>
              <w:pStyle w:val="OutcomeDescription"/>
              <w:spacing w:before="120" w:after="120"/>
              <w:rPr>
                <w:rFonts w:cs="Arial"/>
                <w:lang w:eastAsia="en-NZ"/>
              </w:rPr>
            </w:pPr>
          </w:p>
        </w:tc>
        <w:tc>
          <w:tcPr>
            <w:tcW w:w="0" w:type="auto"/>
          </w:tcPr>
          <w:p w14:paraId="1F7F5087"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72410197" w14:textId="77777777" w:rsidR="00DC122C" w:rsidRPr="00BE00C7" w:rsidRDefault="00DC122C" w:rsidP="00BE00C7">
            <w:pPr>
              <w:pStyle w:val="OutcomeDescription"/>
              <w:spacing w:before="120" w:after="120"/>
              <w:rPr>
                <w:rFonts w:cs="Arial"/>
                <w:lang w:eastAsia="en-NZ"/>
              </w:rPr>
            </w:pPr>
            <w:r w:rsidRPr="00BE00C7">
              <w:rPr>
                <w:rFonts w:cs="Arial"/>
                <w:lang w:eastAsia="en-NZ"/>
              </w:rPr>
              <w:t>The service identified a gap relating to previous antimicrobial practices, where antibiotics were frequently initiated empirically by nursing staff (RN-initiated antibiotics) without consistent use of diagnostic testing or adherence to AMS guidelines. This contributed to variation in prescribing practices, potential overtreatment (including asymptomatic bacteriuria), and limited utilisation of microbiology results to guide therapy.</w:t>
            </w:r>
          </w:p>
          <w:p w14:paraId="42E6E0B0" w14:textId="77777777" w:rsidR="00DC122C" w:rsidRPr="00BE00C7" w:rsidRDefault="00DC122C" w:rsidP="00BE00C7">
            <w:pPr>
              <w:pStyle w:val="OutcomeDescription"/>
              <w:spacing w:before="120" w:after="120"/>
              <w:rPr>
                <w:rFonts w:cs="Arial"/>
                <w:lang w:eastAsia="en-NZ"/>
              </w:rPr>
            </w:pPr>
          </w:p>
          <w:p w14:paraId="2E4689E5" w14:textId="77777777" w:rsidR="00DC122C" w:rsidRPr="00BE00C7" w:rsidRDefault="00DC122C" w:rsidP="00BE00C7">
            <w:pPr>
              <w:pStyle w:val="OutcomeDescription"/>
              <w:spacing w:before="120" w:after="120"/>
              <w:rPr>
                <w:rFonts w:cs="Arial"/>
                <w:lang w:eastAsia="en-NZ"/>
              </w:rPr>
            </w:pPr>
            <w:r w:rsidRPr="00BE00C7">
              <w:rPr>
                <w:rFonts w:cs="Arial"/>
                <w:lang w:eastAsia="en-NZ"/>
              </w:rPr>
              <w:t xml:space="preserve">A quality improvement project was implemented to </w:t>
            </w:r>
            <w:r w:rsidRPr="00BE00C7">
              <w:rPr>
                <w:rFonts w:cs="Arial"/>
                <w:lang w:eastAsia="en-NZ"/>
              </w:rPr>
              <w:lastRenderedPageBreak/>
              <w:t>address the identified gap. Targeted antimicrobial stewardship (AMS) interventions implemented included staff education in management of urinary tract infection, collection of specimen and competency assessment, implementation of clinical decision support tools, and improved documentation practices that have strengthened assessment and management of suspected UTIs. In parallel, proactive strategies addressing hydration, hygiene, continence, and bowel management have contributed to a reduction and stabilisat</w:t>
            </w:r>
            <w:r w:rsidRPr="00BE00C7">
              <w:rPr>
                <w:rFonts w:cs="Arial"/>
                <w:lang w:eastAsia="en-NZ"/>
              </w:rPr>
              <w:t>ion of UTI incidence, particularly among high-risk residents.</w:t>
            </w:r>
          </w:p>
          <w:p w14:paraId="6324D461" w14:textId="77777777" w:rsidR="00DC122C" w:rsidRPr="00BE00C7" w:rsidRDefault="00DC122C" w:rsidP="00BE00C7">
            <w:pPr>
              <w:pStyle w:val="OutcomeDescription"/>
              <w:spacing w:before="120" w:after="120"/>
              <w:rPr>
                <w:rFonts w:cs="Arial"/>
                <w:lang w:eastAsia="en-NZ"/>
              </w:rPr>
            </w:pPr>
          </w:p>
          <w:p w14:paraId="16F4844D" w14:textId="77777777" w:rsidR="00DC122C" w:rsidRPr="00BE00C7" w:rsidRDefault="00DC122C" w:rsidP="00BE00C7">
            <w:pPr>
              <w:pStyle w:val="OutcomeDescription"/>
              <w:spacing w:before="120" w:after="120"/>
              <w:rPr>
                <w:rFonts w:cs="Arial"/>
                <w:lang w:eastAsia="en-NZ"/>
              </w:rPr>
            </w:pPr>
            <w:r w:rsidRPr="00BE00C7">
              <w:rPr>
                <w:rFonts w:cs="Arial"/>
                <w:lang w:eastAsia="en-NZ"/>
              </w:rPr>
              <w:t>Antibiotic use numbers peaked in May and June 2025 (9 and 8 users respectively). Following the implementation of strengthened AMS interventions—including increased microscopy, culture and sensitivity (MC&amp;S) testing, structured review of RN-initiated antibiotics, and improved clinical decision-making—a consistent downward trend is evident from July 2025 onward. The rolling average peaked mid-2025 and progressively declined through late 2025, reaching significantly lower levels by January and February 2026. B</w:t>
            </w:r>
            <w:r w:rsidRPr="00BE00C7">
              <w:rPr>
                <w:rFonts w:cs="Arial"/>
                <w:lang w:eastAsia="en-NZ"/>
              </w:rPr>
              <w:t>y early 2026, monthly antibiotic use numbers reduced to 2 in January and 1 in February, representing a substantial reduction compared with mid-2025 levels. This improvement is supported by increased use of microscopy, culture and sensitivity (MC&amp;S) testing prior to antibiotic initiation, reduced RN-initiated antibiotic use, improved clinical decision-making, and strengthened governance oversight. The use of rolling averages confirmed that these changes reflect embedded and sustained improvements in prescrib</w:t>
            </w:r>
            <w:r w:rsidRPr="00BE00C7">
              <w:rPr>
                <w:rFonts w:cs="Arial"/>
                <w:lang w:eastAsia="en-NZ"/>
              </w:rPr>
              <w:t xml:space="preserve">ing behaviour, rather than short-term variation. Monthly antimicrobial surveillance </w:t>
            </w:r>
            <w:r w:rsidRPr="00BE00C7">
              <w:rPr>
                <w:rFonts w:cs="Arial"/>
                <w:lang w:eastAsia="en-NZ"/>
              </w:rPr>
              <w:lastRenderedPageBreak/>
              <w:t>demonstrates a sustained reduction in antibiotic use.</w:t>
            </w:r>
          </w:p>
          <w:p w14:paraId="3D844980" w14:textId="77777777" w:rsidR="00DC122C" w:rsidRPr="00BE00C7" w:rsidRDefault="00DC122C" w:rsidP="00BE00C7">
            <w:pPr>
              <w:pStyle w:val="OutcomeDescription"/>
              <w:spacing w:before="120" w:after="120"/>
              <w:rPr>
                <w:rFonts w:cs="Arial"/>
                <w:lang w:eastAsia="en-NZ"/>
              </w:rPr>
            </w:pPr>
          </w:p>
          <w:p w14:paraId="170490F0" w14:textId="77777777" w:rsidR="00DC122C" w:rsidRPr="00BE00C7" w:rsidRDefault="00DC122C" w:rsidP="00BE00C7">
            <w:pPr>
              <w:pStyle w:val="OutcomeDescription"/>
              <w:spacing w:before="120" w:after="120"/>
              <w:rPr>
                <w:rFonts w:cs="Arial"/>
                <w:lang w:eastAsia="en-NZ"/>
              </w:rPr>
            </w:pPr>
            <w:r w:rsidRPr="00BE00C7">
              <w:rPr>
                <w:rFonts w:cs="Arial"/>
                <w:lang w:eastAsia="en-NZ"/>
              </w:rPr>
              <w:t>Surveillance data is now consistently collected, analysed, and reviewed at the governance level, supporting informed clinical oversight. Compliance with MC&amp;S testing prior to antibiotic initiation has significantly increased, and there has been a marked reduction in antibiotics commenced without testing or continued despite negative results.</w:t>
            </w:r>
          </w:p>
          <w:p w14:paraId="25390E12" w14:textId="77777777" w:rsidR="00DC122C" w:rsidRPr="00BE00C7" w:rsidRDefault="00DC122C" w:rsidP="00BE00C7">
            <w:pPr>
              <w:pStyle w:val="OutcomeDescription"/>
              <w:spacing w:before="120" w:after="120"/>
              <w:rPr>
                <w:rFonts w:cs="Arial"/>
                <w:lang w:eastAsia="en-NZ"/>
              </w:rPr>
            </w:pPr>
          </w:p>
        </w:tc>
        <w:tc>
          <w:tcPr>
            <w:tcW w:w="0" w:type="auto"/>
          </w:tcPr>
          <w:p w14:paraId="18DD9BF0" w14:textId="77777777" w:rsidR="00DC122C" w:rsidRPr="00BE00C7" w:rsidRDefault="00DC122C" w:rsidP="00BE00C7">
            <w:pPr>
              <w:pStyle w:val="OutcomeDescription"/>
              <w:spacing w:before="120" w:after="120"/>
              <w:rPr>
                <w:rFonts w:cs="Arial"/>
                <w:lang w:eastAsia="en-NZ"/>
              </w:rPr>
            </w:pPr>
            <w:r w:rsidRPr="00BE00C7">
              <w:rPr>
                <w:rFonts w:cs="Arial"/>
                <w:lang w:eastAsia="en-NZ"/>
              </w:rPr>
              <w:lastRenderedPageBreak/>
              <w:t>Monthly antimicrobial surveillance demonstrates a sustained reduction in antibiotic use following implementation of targeted antimicrobial stewardship (AMS) interventions. A continuous improvement rating has been awarded, as the AMS programme is assessed as effective and embedded, demonstrating measurable and sustained improvement in clinical practice and resident outcomes.</w:t>
            </w:r>
          </w:p>
          <w:p w14:paraId="08B40009" w14:textId="77777777" w:rsidR="00DC122C" w:rsidRPr="00BE00C7" w:rsidRDefault="00DC122C" w:rsidP="00BE00C7">
            <w:pPr>
              <w:pStyle w:val="OutcomeDescription"/>
              <w:spacing w:before="120" w:after="120"/>
              <w:rPr>
                <w:rFonts w:cs="Arial"/>
                <w:lang w:eastAsia="en-NZ"/>
              </w:rPr>
            </w:pPr>
          </w:p>
        </w:tc>
      </w:tr>
    </w:tbl>
    <w:p w14:paraId="3FAD3E0F" w14:textId="77777777" w:rsidR="00DC122C" w:rsidRPr="00BE00C7" w:rsidRDefault="00DC122C" w:rsidP="00BE00C7">
      <w:pPr>
        <w:pStyle w:val="OutcomeDescription"/>
        <w:spacing w:before="120" w:after="120"/>
        <w:rPr>
          <w:rFonts w:cs="Arial"/>
          <w:lang w:eastAsia="en-NZ"/>
        </w:rPr>
      </w:pPr>
      <w:bookmarkStart w:id="58" w:name="AuditSummaryCAMImprovment"/>
      <w:bookmarkEnd w:id="58"/>
    </w:p>
    <w:p w14:paraId="74328D4D" w14:textId="77777777" w:rsidR="00DC122C" w:rsidRDefault="00DC122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4025" w14:textId="77777777" w:rsidR="00DC122C" w:rsidRDefault="00DC122C">
      <w:r>
        <w:separator/>
      </w:r>
    </w:p>
  </w:endnote>
  <w:endnote w:type="continuationSeparator" w:id="0">
    <w:p w14:paraId="2E1372CB" w14:textId="77777777" w:rsidR="00DC122C" w:rsidRDefault="00DC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2E28" w14:textId="77777777" w:rsidR="00DC122C" w:rsidRDefault="00DC122C">
    <w:pPr>
      <w:pStyle w:val="Footer"/>
    </w:pPr>
  </w:p>
  <w:p w14:paraId="75ED7B56" w14:textId="77777777" w:rsidR="00DC122C" w:rsidRDefault="00DC122C"/>
  <w:p w14:paraId="32A18509" w14:textId="77777777" w:rsidR="00DC122C" w:rsidRDefault="00DC122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A7F4" w14:textId="77777777" w:rsidR="00DC122C" w:rsidRPr="000B00BC" w:rsidRDefault="00DC122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Te Ata </w:t>
    </w:r>
    <w:proofErr w:type="spellStart"/>
    <w:r>
      <w:rPr>
        <w:rFonts w:cs="Arial"/>
        <w:sz w:val="16"/>
        <w:szCs w:val="20"/>
      </w:rPr>
      <w:t>Resthome</w:t>
    </w:r>
    <w:proofErr w:type="spellEnd"/>
    <w:r>
      <w:rPr>
        <w:rFonts w:cs="Arial"/>
        <w:sz w:val="16"/>
        <w:szCs w:val="20"/>
      </w:rPr>
      <w:t xml:space="preserve"> Limited - Te Ata Rest Home</w:t>
    </w:r>
    <w:bookmarkEnd w:id="59"/>
    <w:r>
      <w:rPr>
        <w:rFonts w:cs="Arial"/>
        <w:sz w:val="16"/>
        <w:szCs w:val="20"/>
      </w:rPr>
      <w:tab/>
      <w:t xml:space="preserve">Date of Audit: </w:t>
    </w:r>
    <w:bookmarkStart w:id="60" w:name="AuditStartDate1"/>
    <w:r>
      <w:rPr>
        <w:rFonts w:cs="Arial"/>
        <w:sz w:val="16"/>
        <w:szCs w:val="20"/>
      </w:rPr>
      <w:t>26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5813AE" w14:textId="77777777" w:rsidR="00DC122C" w:rsidRDefault="00DC12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2442" w14:textId="77777777" w:rsidR="00DC122C" w:rsidRDefault="00DC1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FA5D" w14:textId="77777777" w:rsidR="00DC122C" w:rsidRDefault="00DC122C">
      <w:r>
        <w:separator/>
      </w:r>
    </w:p>
  </w:footnote>
  <w:footnote w:type="continuationSeparator" w:id="0">
    <w:p w14:paraId="7FC20B55" w14:textId="77777777" w:rsidR="00DC122C" w:rsidRDefault="00DC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384E" w14:textId="77777777" w:rsidR="00DC122C" w:rsidRDefault="00DC122C">
    <w:pPr>
      <w:pStyle w:val="Header"/>
    </w:pPr>
  </w:p>
  <w:p w14:paraId="581D13DA" w14:textId="77777777" w:rsidR="00DC122C" w:rsidRDefault="00DC12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5876" w14:textId="77777777" w:rsidR="00DC122C" w:rsidRDefault="00DC122C">
    <w:pPr>
      <w:pStyle w:val="Header"/>
    </w:pPr>
  </w:p>
  <w:p w14:paraId="0DB858D9" w14:textId="77777777" w:rsidR="00DC122C" w:rsidRDefault="00DC12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4C13" w14:textId="77777777" w:rsidR="00DC122C" w:rsidRDefault="00DC1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DC46732">
      <w:start w:val="1"/>
      <w:numFmt w:val="decimal"/>
      <w:lvlText w:val="%1."/>
      <w:lvlJc w:val="left"/>
      <w:pPr>
        <w:ind w:left="360" w:hanging="360"/>
      </w:pPr>
    </w:lvl>
    <w:lvl w:ilvl="1" w:tplc="4FE0D0A4" w:tentative="1">
      <w:start w:val="1"/>
      <w:numFmt w:val="lowerLetter"/>
      <w:lvlText w:val="%2."/>
      <w:lvlJc w:val="left"/>
      <w:pPr>
        <w:ind w:left="1080" w:hanging="360"/>
      </w:pPr>
    </w:lvl>
    <w:lvl w:ilvl="2" w:tplc="BC00BD74" w:tentative="1">
      <w:start w:val="1"/>
      <w:numFmt w:val="lowerRoman"/>
      <w:lvlText w:val="%3."/>
      <w:lvlJc w:val="right"/>
      <w:pPr>
        <w:ind w:left="1800" w:hanging="180"/>
      </w:pPr>
    </w:lvl>
    <w:lvl w:ilvl="3" w:tplc="97AAF6D0" w:tentative="1">
      <w:start w:val="1"/>
      <w:numFmt w:val="decimal"/>
      <w:lvlText w:val="%4."/>
      <w:lvlJc w:val="left"/>
      <w:pPr>
        <w:ind w:left="2520" w:hanging="360"/>
      </w:pPr>
    </w:lvl>
    <w:lvl w:ilvl="4" w:tplc="30C0C35A" w:tentative="1">
      <w:start w:val="1"/>
      <w:numFmt w:val="lowerLetter"/>
      <w:lvlText w:val="%5."/>
      <w:lvlJc w:val="left"/>
      <w:pPr>
        <w:ind w:left="3240" w:hanging="360"/>
      </w:pPr>
    </w:lvl>
    <w:lvl w:ilvl="5" w:tplc="CBF643C4" w:tentative="1">
      <w:start w:val="1"/>
      <w:numFmt w:val="lowerRoman"/>
      <w:lvlText w:val="%6."/>
      <w:lvlJc w:val="right"/>
      <w:pPr>
        <w:ind w:left="3960" w:hanging="180"/>
      </w:pPr>
    </w:lvl>
    <w:lvl w:ilvl="6" w:tplc="24AE6D76" w:tentative="1">
      <w:start w:val="1"/>
      <w:numFmt w:val="decimal"/>
      <w:lvlText w:val="%7."/>
      <w:lvlJc w:val="left"/>
      <w:pPr>
        <w:ind w:left="4680" w:hanging="360"/>
      </w:pPr>
    </w:lvl>
    <w:lvl w:ilvl="7" w:tplc="E4F080F4" w:tentative="1">
      <w:start w:val="1"/>
      <w:numFmt w:val="lowerLetter"/>
      <w:lvlText w:val="%8."/>
      <w:lvlJc w:val="left"/>
      <w:pPr>
        <w:ind w:left="5400" w:hanging="360"/>
      </w:pPr>
    </w:lvl>
    <w:lvl w:ilvl="8" w:tplc="801AC8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1349AF4">
      <w:start w:val="1"/>
      <w:numFmt w:val="bullet"/>
      <w:lvlText w:val=""/>
      <w:lvlJc w:val="left"/>
      <w:pPr>
        <w:ind w:left="720" w:hanging="360"/>
      </w:pPr>
      <w:rPr>
        <w:rFonts w:ascii="Symbol" w:hAnsi="Symbol" w:hint="default"/>
      </w:rPr>
    </w:lvl>
    <w:lvl w:ilvl="1" w:tplc="03C604CE" w:tentative="1">
      <w:start w:val="1"/>
      <w:numFmt w:val="bullet"/>
      <w:lvlText w:val="o"/>
      <w:lvlJc w:val="left"/>
      <w:pPr>
        <w:ind w:left="1440" w:hanging="360"/>
      </w:pPr>
      <w:rPr>
        <w:rFonts w:ascii="Courier New" w:hAnsi="Courier New" w:cs="Courier New" w:hint="default"/>
      </w:rPr>
    </w:lvl>
    <w:lvl w:ilvl="2" w:tplc="A4B05CF2" w:tentative="1">
      <w:start w:val="1"/>
      <w:numFmt w:val="bullet"/>
      <w:lvlText w:val=""/>
      <w:lvlJc w:val="left"/>
      <w:pPr>
        <w:ind w:left="2160" w:hanging="360"/>
      </w:pPr>
      <w:rPr>
        <w:rFonts w:ascii="Wingdings" w:hAnsi="Wingdings" w:hint="default"/>
      </w:rPr>
    </w:lvl>
    <w:lvl w:ilvl="3" w:tplc="41DAC3DA" w:tentative="1">
      <w:start w:val="1"/>
      <w:numFmt w:val="bullet"/>
      <w:lvlText w:val=""/>
      <w:lvlJc w:val="left"/>
      <w:pPr>
        <w:ind w:left="2880" w:hanging="360"/>
      </w:pPr>
      <w:rPr>
        <w:rFonts w:ascii="Symbol" w:hAnsi="Symbol" w:hint="default"/>
      </w:rPr>
    </w:lvl>
    <w:lvl w:ilvl="4" w:tplc="02F6CF26" w:tentative="1">
      <w:start w:val="1"/>
      <w:numFmt w:val="bullet"/>
      <w:lvlText w:val="o"/>
      <w:lvlJc w:val="left"/>
      <w:pPr>
        <w:ind w:left="3600" w:hanging="360"/>
      </w:pPr>
      <w:rPr>
        <w:rFonts w:ascii="Courier New" w:hAnsi="Courier New" w:cs="Courier New" w:hint="default"/>
      </w:rPr>
    </w:lvl>
    <w:lvl w:ilvl="5" w:tplc="66AEB2EC" w:tentative="1">
      <w:start w:val="1"/>
      <w:numFmt w:val="bullet"/>
      <w:lvlText w:val=""/>
      <w:lvlJc w:val="left"/>
      <w:pPr>
        <w:ind w:left="4320" w:hanging="360"/>
      </w:pPr>
      <w:rPr>
        <w:rFonts w:ascii="Wingdings" w:hAnsi="Wingdings" w:hint="default"/>
      </w:rPr>
    </w:lvl>
    <w:lvl w:ilvl="6" w:tplc="BDCE415A" w:tentative="1">
      <w:start w:val="1"/>
      <w:numFmt w:val="bullet"/>
      <w:lvlText w:val=""/>
      <w:lvlJc w:val="left"/>
      <w:pPr>
        <w:ind w:left="5040" w:hanging="360"/>
      </w:pPr>
      <w:rPr>
        <w:rFonts w:ascii="Symbol" w:hAnsi="Symbol" w:hint="default"/>
      </w:rPr>
    </w:lvl>
    <w:lvl w:ilvl="7" w:tplc="747E679C" w:tentative="1">
      <w:start w:val="1"/>
      <w:numFmt w:val="bullet"/>
      <w:lvlText w:val="o"/>
      <w:lvlJc w:val="left"/>
      <w:pPr>
        <w:ind w:left="5760" w:hanging="360"/>
      </w:pPr>
      <w:rPr>
        <w:rFonts w:ascii="Courier New" w:hAnsi="Courier New" w:cs="Courier New" w:hint="default"/>
      </w:rPr>
    </w:lvl>
    <w:lvl w:ilvl="8" w:tplc="4ECA3208" w:tentative="1">
      <w:start w:val="1"/>
      <w:numFmt w:val="bullet"/>
      <w:lvlText w:val=""/>
      <w:lvlJc w:val="left"/>
      <w:pPr>
        <w:ind w:left="6480" w:hanging="360"/>
      </w:pPr>
      <w:rPr>
        <w:rFonts w:ascii="Wingdings" w:hAnsi="Wingdings" w:hint="default"/>
      </w:rPr>
    </w:lvl>
  </w:abstractNum>
  <w:num w:numId="1" w16cid:durableId="1108768949">
    <w:abstractNumId w:val="1"/>
  </w:num>
  <w:num w:numId="2" w16cid:durableId="181417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D5"/>
    <w:rsid w:val="004B38D1"/>
    <w:rsid w:val="008E7DF4"/>
    <w:rsid w:val="009E3AD5"/>
    <w:rsid w:val="00D67FA3"/>
    <w:rsid w:val="00DC1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83A2"/>
  <w15:docId w15:val="{C64F7F74-E683-4F87-B3B4-C3A22414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10643</Words>
  <Characters>63011</Characters>
  <Application>Microsoft Office Word</Application>
  <DocSecurity>0</DocSecurity>
  <Lines>1500</Lines>
  <Paragraphs>472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2026-05-05T19:27:00Z</dcterms:created>
  <dcterms:modified xsi:type="dcterms:W3CDTF">2026-05-05T19:27:00Z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