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F475" w14:textId="77777777" w:rsidR="00E946A5" w:rsidRDefault="00E946A5">
      <w:pPr>
        <w:pStyle w:val="Heading1"/>
        <w:rPr>
          <w:rFonts w:cs="Arial"/>
        </w:rPr>
      </w:pPr>
      <w:bookmarkStart w:id="0" w:name="PRMS_RIName"/>
      <w:r>
        <w:rPr>
          <w:rFonts w:cs="Arial"/>
        </w:rPr>
        <w:t>Oakwoods Lifecare (2012) Limited - Oakwoods Retirement Village</w:t>
      </w:r>
      <w:bookmarkEnd w:id="0"/>
    </w:p>
    <w:p w14:paraId="121E09CB" w14:textId="77777777" w:rsidR="00E946A5" w:rsidRDefault="00E946A5">
      <w:pPr>
        <w:pStyle w:val="Heading2"/>
        <w:spacing w:after="0"/>
        <w:rPr>
          <w:rFonts w:cs="Arial"/>
        </w:rPr>
      </w:pPr>
      <w:r>
        <w:rPr>
          <w:rFonts w:cs="Arial"/>
        </w:rPr>
        <w:t>Introduction</w:t>
      </w:r>
    </w:p>
    <w:p w14:paraId="256A69B2" w14:textId="77777777" w:rsidR="00E946A5" w:rsidRDefault="00E946A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E6586EF" w14:textId="77777777" w:rsidR="00E946A5" w:rsidRDefault="00E946A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7F684A6" w14:textId="77777777" w:rsidR="00E946A5" w:rsidRDefault="00E946A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4B97AA" w14:textId="77777777" w:rsidR="00E946A5" w:rsidRDefault="00E946A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A0639E9" w14:textId="77777777" w:rsidR="00E946A5" w:rsidRDefault="00E946A5">
      <w:pPr>
        <w:spacing w:before="240" w:after="240"/>
        <w:rPr>
          <w:rFonts w:cs="Arial"/>
          <w:lang w:eastAsia="en-NZ"/>
        </w:rPr>
      </w:pPr>
      <w:r>
        <w:rPr>
          <w:rFonts w:cs="Arial"/>
          <w:lang w:eastAsia="en-NZ"/>
        </w:rPr>
        <w:t>The specifics of this audit included:</w:t>
      </w:r>
    </w:p>
    <w:p w14:paraId="3BE881BA" w14:textId="77777777" w:rsidR="00E946A5" w:rsidRPr="009D18F5" w:rsidRDefault="00E946A5" w:rsidP="009D18F5">
      <w:pPr>
        <w:pBdr>
          <w:top w:val="single" w:sz="4" w:space="1" w:color="auto"/>
          <w:left w:val="single" w:sz="4" w:space="4" w:color="auto"/>
          <w:bottom w:val="single" w:sz="4" w:space="1" w:color="auto"/>
          <w:right w:val="single" w:sz="4" w:space="4" w:color="auto"/>
        </w:pBdr>
        <w:rPr>
          <w:rFonts w:cs="Arial"/>
        </w:rPr>
      </w:pPr>
    </w:p>
    <w:p w14:paraId="61C58D7E" w14:textId="77777777" w:rsidR="00E946A5" w:rsidRPr="009418D4" w:rsidRDefault="00E946A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Oakwoods Lifecare (2012) Limited</w:t>
      </w:r>
      <w:bookmarkEnd w:id="4"/>
    </w:p>
    <w:p w14:paraId="72D1FB34" w14:textId="77777777" w:rsidR="00E946A5" w:rsidRPr="009418D4" w:rsidRDefault="00E946A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Oakwoods Retirement Village</w:t>
      </w:r>
      <w:bookmarkEnd w:id="5"/>
    </w:p>
    <w:p w14:paraId="7C9EF153" w14:textId="77777777" w:rsidR="00E946A5" w:rsidRPr="009418D4" w:rsidRDefault="00E946A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89CEBAB" w14:textId="77777777" w:rsidR="00E946A5" w:rsidRPr="009418D4" w:rsidRDefault="00E946A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March 2026</w:t>
      </w:r>
      <w:bookmarkEnd w:id="7"/>
      <w:r w:rsidRPr="009418D4">
        <w:rPr>
          <w:rFonts w:cs="Arial"/>
        </w:rPr>
        <w:tab/>
        <w:t xml:space="preserve">End date: </w:t>
      </w:r>
      <w:bookmarkStart w:id="8" w:name="AuditEndDate"/>
      <w:r>
        <w:rPr>
          <w:rFonts w:cs="Arial"/>
        </w:rPr>
        <w:t>20 March 2026</w:t>
      </w:r>
      <w:bookmarkEnd w:id="8"/>
    </w:p>
    <w:p w14:paraId="3709FC54" w14:textId="77777777" w:rsidR="00E946A5" w:rsidRPr="009418D4" w:rsidRDefault="00E946A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521EA13" w14:textId="77777777" w:rsidR="00722B0C" w:rsidRPr="009418D4" w:rsidRDefault="00E946A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511DA049" w14:textId="77777777" w:rsidR="00E946A5" w:rsidRDefault="00E946A5" w:rsidP="009D18F5">
      <w:pPr>
        <w:pBdr>
          <w:top w:val="single" w:sz="4" w:space="1" w:color="auto"/>
          <w:left w:val="single" w:sz="4" w:space="4" w:color="auto"/>
          <w:bottom w:val="single" w:sz="4" w:space="1" w:color="auto"/>
          <w:right w:val="single" w:sz="4" w:space="4" w:color="auto"/>
        </w:pBdr>
        <w:rPr>
          <w:rFonts w:cs="Arial"/>
          <w:lang w:eastAsia="en-NZ"/>
        </w:rPr>
      </w:pPr>
    </w:p>
    <w:p w14:paraId="789AF200" w14:textId="77777777" w:rsidR="00E946A5" w:rsidRDefault="00E946A5">
      <w:pPr>
        <w:pStyle w:val="Heading1"/>
        <w:rPr>
          <w:rFonts w:cs="Arial"/>
        </w:rPr>
      </w:pPr>
      <w:r>
        <w:rPr>
          <w:rFonts w:cs="Arial"/>
        </w:rPr>
        <w:lastRenderedPageBreak/>
        <w:t>Executive summary of the audit</w:t>
      </w:r>
    </w:p>
    <w:p w14:paraId="6B42CFE6" w14:textId="77777777" w:rsidR="00E946A5" w:rsidRDefault="00E946A5">
      <w:pPr>
        <w:pStyle w:val="Heading2"/>
        <w:rPr>
          <w:rFonts w:cs="Arial"/>
        </w:rPr>
      </w:pPr>
      <w:r>
        <w:rPr>
          <w:rFonts w:cs="Arial"/>
        </w:rPr>
        <w:t>Introduction</w:t>
      </w:r>
    </w:p>
    <w:p w14:paraId="7D2EABF4" w14:textId="77777777" w:rsidR="00E946A5" w:rsidRDefault="00E946A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287A428" w14:textId="77777777" w:rsidR="00E946A5" w:rsidRDefault="00E946A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B15764" w14:textId="77777777" w:rsidR="00E946A5" w:rsidRDefault="00E946A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6726E66" w14:textId="77777777" w:rsidR="00E946A5" w:rsidRDefault="00E946A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F020C14" w14:textId="77777777" w:rsidR="00E946A5" w:rsidRDefault="00E946A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6C9650FA" w14:textId="77777777" w:rsidR="00E946A5" w:rsidRDefault="00E946A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DAD6E5F" w14:textId="77777777" w:rsidR="00E946A5" w:rsidRDefault="00E946A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700D8C" w14:textId="77777777" w:rsidR="00E946A5" w:rsidRDefault="00E946A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2C4A84D" w14:textId="77777777" w:rsidR="00E946A5" w:rsidRDefault="00E946A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22B0C" w14:paraId="20B9AAD5" w14:textId="77777777">
        <w:trPr>
          <w:cantSplit/>
          <w:tblHeader/>
        </w:trPr>
        <w:tc>
          <w:tcPr>
            <w:tcW w:w="1260" w:type="dxa"/>
            <w:tcBorders>
              <w:bottom w:val="single" w:sz="4" w:space="0" w:color="000000"/>
            </w:tcBorders>
            <w:vAlign w:val="center"/>
          </w:tcPr>
          <w:p w14:paraId="6D794FC9" w14:textId="77777777" w:rsidR="00E946A5" w:rsidRDefault="00E946A5">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1F6CC9A" w14:textId="77777777" w:rsidR="00E946A5" w:rsidRDefault="00E946A5">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4141014" w14:textId="77777777" w:rsidR="00E946A5" w:rsidRDefault="00E946A5">
            <w:pPr>
              <w:spacing w:before="60" w:after="60"/>
              <w:rPr>
                <w:rFonts w:eastAsia="Calibri"/>
                <w:b/>
                <w:szCs w:val="24"/>
              </w:rPr>
            </w:pPr>
            <w:r>
              <w:rPr>
                <w:rFonts w:eastAsia="Calibri"/>
                <w:b/>
                <w:szCs w:val="24"/>
              </w:rPr>
              <w:t>Definition</w:t>
            </w:r>
          </w:p>
        </w:tc>
      </w:tr>
      <w:tr w:rsidR="00722B0C" w14:paraId="5C44943A" w14:textId="77777777">
        <w:trPr>
          <w:cantSplit/>
          <w:trHeight w:val="964"/>
        </w:trPr>
        <w:tc>
          <w:tcPr>
            <w:tcW w:w="1260" w:type="dxa"/>
            <w:tcBorders>
              <w:bottom w:val="single" w:sz="4" w:space="0" w:color="000000"/>
            </w:tcBorders>
            <w:shd w:val="clear" w:color="0066FF" w:fill="0000FF"/>
            <w:vAlign w:val="center"/>
          </w:tcPr>
          <w:p w14:paraId="0DDB5F82" w14:textId="77777777" w:rsidR="00E946A5" w:rsidRDefault="00E946A5">
            <w:pPr>
              <w:spacing w:before="60" w:after="60"/>
              <w:rPr>
                <w:rFonts w:eastAsia="Calibri"/>
                <w:szCs w:val="24"/>
              </w:rPr>
            </w:pPr>
          </w:p>
        </w:tc>
        <w:tc>
          <w:tcPr>
            <w:tcW w:w="7095" w:type="dxa"/>
            <w:tcBorders>
              <w:bottom w:val="single" w:sz="4" w:space="0" w:color="000000"/>
            </w:tcBorders>
            <w:vAlign w:val="center"/>
          </w:tcPr>
          <w:p w14:paraId="33EBC58F" w14:textId="77777777" w:rsidR="00E946A5" w:rsidRDefault="00E946A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706D5CA" w14:textId="28E43A48" w:rsidR="00E946A5" w:rsidRDefault="00E946A5">
            <w:pPr>
              <w:spacing w:before="60" w:after="60"/>
              <w:ind w:left="50"/>
              <w:rPr>
                <w:rFonts w:eastAsia="Calibri"/>
                <w:szCs w:val="24"/>
              </w:rPr>
            </w:pPr>
            <w:r w:rsidRPr="00FB778F">
              <w:rPr>
                <w:rFonts w:eastAsia="Calibri"/>
                <w:szCs w:val="24"/>
              </w:rPr>
              <w:t xml:space="preserve">All subsections applicable to this service </w:t>
            </w:r>
            <w:r w:rsidR="00A80C51">
              <w:rPr>
                <w:rFonts w:eastAsia="Calibri"/>
                <w:szCs w:val="24"/>
              </w:rPr>
              <w:t xml:space="preserve">are </w:t>
            </w:r>
            <w:r w:rsidRPr="00FB778F">
              <w:rPr>
                <w:rFonts w:eastAsia="Calibri"/>
                <w:szCs w:val="24"/>
              </w:rPr>
              <w:t>fully attained with some subsections exceeded</w:t>
            </w:r>
          </w:p>
        </w:tc>
      </w:tr>
      <w:tr w:rsidR="00722B0C" w14:paraId="6FD12C28" w14:textId="77777777">
        <w:trPr>
          <w:cantSplit/>
          <w:trHeight w:val="964"/>
        </w:trPr>
        <w:tc>
          <w:tcPr>
            <w:tcW w:w="1260" w:type="dxa"/>
            <w:shd w:val="clear" w:color="33CC33" w:fill="00FF00"/>
            <w:vAlign w:val="center"/>
          </w:tcPr>
          <w:p w14:paraId="4DF75A00" w14:textId="77777777" w:rsidR="00E946A5" w:rsidRDefault="00E946A5">
            <w:pPr>
              <w:spacing w:before="60" w:after="60"/>
              <w:rPr>
                <w:rFonts w:eastAsia="Calibri"/>
                <w:szCs w:val="24"/>
              </w:rPr>
            </w:pPr>
          </w:p>
        </w:tc>
        <w:tc>
          <w:tcPr>
            <w:tcW w:w="7095" w:type="dxa"/>
            <w:vAlign w:val="center"/>
          </w:tcPr>
          <w:p w14:paraId="25447F2E" w14:textId="77777777" w:rsidR="00E946A5" w:rsidRDefault="00E946A5">
            <w:pPr>
              <w:spacing w:before="60" w:after="60"/>
              <w:ind w:left="50"/>
              <w:rPr>
                <w:rFonts w:eastAsia="Calibri"/>
                <w:szCs w:val="24"/>
              </w:rPr>
            </w:pPr>
            <w:r>
              <w:rPr>
                <w:rFonts w:eastAsia="Calibri"/>
                <w:szCs w:val="24"/>
              </w:rPr>
              <w:t>No short falls</w:t>
            </w:r>
          </w:p>
        </w:tc>
        <w:tc>
          <w:tcPr>
            <w:tcW w:w="7096" w:type="dxa"/>
            <w:vAlign w:val="center"/>
          </w:tcPr>
          <w:p w14:paraId="4FCFBEA2" w14:textId="71FD128E" w:rsidR="00E946A5" w:rsidRDefault="00E946A5">
            <w:pPr>
              <w:spacing w:before="60" w:after="60"/>
              <w:ind w:left="50"/>
              <w:rPr>
                <w:rFonts w:eastAsia="Calibri"/>
                <w:szCs w:val="24"/>
              </w:rPr>
            </w:pPr>
            <w:r w:rsidRPr="00FB778F">
              <w:rPr>
                <w:rFonts w:eastAsia="Calibri"/>
                <w:szCs w:val="24"/>
              </w:rPr>
              <w:t xml:space="preserve">Subsections applicable to this service </w:t>
            </w:r>
            <w:r w:rsidR="00A80C51">
              <w:rPr>
                <w:rFonts w:eastAsia="Calibri"/>
                <w:szCs w:val="24"/>
              </w:rPr>
              <w:t xml:space="preserve">are </w:t>
            </w:r>
            <w:r w:rsidRPr="00FB778F">
              <w:rPr>
                <w:rFonts w:eastAsia="Calibri"/>
                <w:szCs w:val="24"/>
              </w:rPr>
              <w:t>fully attained</w:t>
            </w:r>
          </w:p>
        </w:tc>
      </w:tr>
      <w:tr w:rsidR="00722B0C" w14:paraId="2969F008" w14:textId="77777777">
        <w:trPr>
          <w:cantSplit/>
          <w:trHeight w:val="964"/>
        </w:trPr>
        <w:tc>
          <w:tcPr>
            <w:tcW w:w="1260" w:type="dxa"/>
            <w:tcBorders>
              <w:bottom w:val="single" w:sz="4" w:space="0" w:color="000000"/>
            </w:tcBorders>
            <w:shd w:val="clear" w:color="auto" w:fill="FFFF00"/>
            <w:vAlign w:val="center"/>
          </w:tcPr>
          <w:p w14:paraId="4697FC88" w14:textId="77777777" w:rsidR="00E946A5" w:rsidRDefault="00E946A5">
            <w:pPr>
              <w:spacing w:before="60" w:after="60"/>
              <w:rPr>
                <w:rFonts w:eastAsia="Calibri"/>
                <w:szCs w:val="24"/>
              </w:rPr>
            </w:pPr>
          </w:p>
        </w:tc>
        <w:tc>
          <w:tcPr>
            <w:tcW w:w="7095" w:type="dxa"/>
            <w:vAlign w:val="center"/>
          </w:tcPr>
          <w:p w14:paraId="4FBFCCF0" w14:textId="77777777" w:rsidR="00E946A5" w:rsidRDefault="00E946A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C2603BC" w14:textId="27A346DF" w:rsidR="00E946A5" w:rsidRDefault="00E946A5">
            <w:pPr>
              <w:spacing w:before="60" w:after="60"/>
              <w:ind w:left="50"/>
              <w:rPr>
                <w:rFonts w:eastAsia="Calibri"/>
                <w:szCs w:val="24"/>
              </w:rPr>
            </w:pPr>
            <w:r w:rsidRPr="00FB778F">
              <w:rPr>
                <w:rFonts w:eastAsia="Calibri"/>
                <w:szCs w:val="24"/>
              </w:rPr>
              <w:t xml:space="preserve">Some subsections applicable to this service </w:t>
            </w:r>
            <w:r w:rsidR="00A80C51">
              <w:rPr>
                <w:rFonts w:eastAsia="Calibri"/>
                <w:szCs w:val="24"/>
              </w:rPr>
              <w:t xml:space="preserve">are </w:t>
            </w:r>
            <w:r w:rsidRPr="00FB778F">
              <w:rPr>
                <w:rFonts w:eastAsia="Calibri"/>
                <w:szCs w:val="24"/>
              </w:rPr>
              <w:t>partially attained and of low risk</w:t>
            </w:r>
          </w:p>
        </w:tc>
      </w:tr>
      <w:tr w:rsidR="00722B0C" w14:paraId="0954B924" w14:textId="77777777">
        <w:trPr>
          <w:cantSplit/>
          <w:trHeight w:val="964"/>
        </w:trPr>
        <w:tc>
          <w:tcPr>
            <w:tcW w:w="1260" w:type="dxa"/>
            <w:tcBorders>
              <w:bottom w:val="single" w:sz="4" w:space="0" w:color="000000"/>
            </w:tcBorders>
            <w:shd w:val="clear" w:color="auto" w:fill="FFC800"/>
            <w:vAlign w:val="center"/>
          </w:tcPr>
          <w:p w14:paraId="602A273D" w14:textId="77777777" w:rsidR="00E946A5" w:rsidRDefault="00E946A5">
            <w:pPr>
              <w:spacing w:before="60" w:after="60"/>
              <w:rPr>
                <w:rFonts w:eastAsia="Calibri"/>
                <w:szCs w:val="24"/>
              </w:rPr>
            </w:pPr>
          </w:p>
        </w:tc>
        <w:tc>
          <w:tcPr>
            <w:tcW w:w="7095" w:type="dxa"/>
            <w:tcBorders>
              <w:bottom w:val="single" w:sz="4" w:space="0" w:color="000000"/>
            </w:tcBorders>
            <w:vAlign w:val="center"/>
          </w:tcPr>
          <w:p w14:paraId="4C30422D" w14:textId="77777777" w:rsidR="00E946A5" w:rsidRDefault="00E946A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2678B37" w14:textId="754EC4F8" w:rsidR="00E946A5" w:rsidRDefault="00E946A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w:t>
            </w:r>
            <w:r w:rsidR="00A80C51">
              <w:rPr>
                <w:rFonts w:eastAsia="Calibri"/>
                <w:szCs w:val="24"/>
              </w:rPr>
              <w:t xml:space="preserve"> are</w:t>
            </w:r>
            <w:r>
              <w:rPr>
                <w:rFonts w:eastAsia="Calibri"/>
                <w:szCs w:val="24"/>
              </w:rPr>
              <w:t xml:space="preserve"> partially attained and of medium or high risk and/or unattained and of low risk</w:t>
            </w:r>
          </w:p>
        </w:tc>
      </w:tr>
      <w:tr w:rsidR="00722B0C" w14:paraId="195F8D59" w14:textId="77777777">
        <w:trPr>
          <w:cantSplit/>
          <w:trHeight w:val="964"/>
        </w:trPr>
        <w:tc>
          <w:tcPr>
            <w:tcW w:w="1260" w:type="dxa"/>
            <w:shd w:val="clear" w:color="auto" w:fill="FF0000"/>
            <w:vAlign w:val="center"/>
          </w:tcPr>
          <w:p w14:paraId="124F4CCF" w14:textId="77777777" w:rsidR="00E946A5" w:rsidRDefault="00E946A5">
            <w:pPr>
              <w:spacing w:before="60" w:after="60"/>
              <w:rPr>
                <w:rFonts w:eastAsia="Calibri"/>
                <w:szCs w:val="24"/>
              </w:rPr>
            </w:pPr>
          </w:p>
        </w:tc>
        <w:tc>
          <w:tcPr>
            <w:tcW w:w="7095" w:type="dxa"/>
            <w:vAlign w:val="center"/>
          </w:tcPr>
          <w:p w14:paraId="0742538E" w14:textId="77777777" w:rsidR="00E946A5" w:rsidRDefault="00E946A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68C2476" w14:textId="066B8C5D" w:rsidR="00E946A5" w:rsidRDefault="00E946A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A80C51">
              <w:rPr>
                <w:rFonts w:eastAsia="Calibri"/>
                <w:szCs w:val="24"/>
              </w:rPr>
              <w:t xml:space="preserve">are </w:t>
            </w:r>
            <w:r>
              <w:rPr>
                <w:rFonts w:eastAsia="Calibri"/>
                <w:szCs w:val="24"/>
              </w:rPr>
              <w:t>unattained and of moderate or high risk</w:t>
            </w:r>
          </w:p>
        </w:tc>
      </w:tr>
    </w:tbl>
    <w:p w14:paraId="01BE57F1" w14:textId="77777777" w:rsidR="00E946A5" w:rsidRDefault="00E946A5">
      <w:pPr>
        <w:pStyle w:val="Heading2"/>
        <w:spacing w:after="0"/>
        <w:rPr>
          <w:rFonts w:cs="Arial"/>
        </w:rPr>
      </w:pPr>
      <w:r>
        <w:rPr>
          <w:rFonts w:cs="Arial"/>
        </w:rPr>
        <w:t>General overview of the audit</w:t>
      </w:r>
    </w:p>
    <w:p w14:paraId="7E406C66" w14:textId="77777777" w:rsidR="00E946A5" w:rsidRDefault="00E946A5">
      <w:pPr>
        <w:spacing w:before="240" w:line="276" w:lineRule="auto"/>
        <w:rPr>
          <w:rFonts w:eastAsia="Calibri"/>
        </w:rPr>
      </w:pPr>
      <w:bookmarkStart w:id="13" w:name="GeneralOverview"/>
      <w:r w:rsidRPr="00A4268A">
        <w:rPr>
          <w:rFonts w:eastAsia="Calibri"/>
        </w:rPr>
        <w:t xml:space="preserve">Oakwoods Retirement Village is part of the Arvida Group. Oakwoods Retirement Village provides hospital and rest home level of care for up to 48 residents in the care facility, and 43 apartments that are certified for rest home level care. On the day of audit there were 45 residents, including one resident in the serviced apartments. </w:t>
      </w:r>
    </w:p>
    <w:p w14:paraId="088B7993" w14:textId="77777777" w:rsidR="00722B0C" w:rsidRPr="00A4268A" w:rsidRDefault="00E946A5">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staff, and a general practitioner.</w:t>
      </w:r>
    </w:p>
    <w:p w14:paraId="69C3B1D3" w14:textId="77777777" w:rsidR="00722B0C" w:rsidRPr="00A4268A" w:rsidRDefault="00E946A5">
      <w:pPr>
        <w:spacing w:before="240" w:line="276" w:lineRule="auto"/>
        <w:rPr>
          <w:rFonts w:eastAsia="Calibri"/>
        </w:rPr>
      </w:pPr>
      <w:r w:rsidRPr="00A4268A">
        <w:rPr>
          <w:rFonts w:eastAsia="Calibri"/>
        </w:rPr>
        <w:t>The village manager is appropriately qualified, they are supported by a clinical manager, and a team of experienced care and support staff. There have been changes made to the management team since the previous audit. There are quality systems and processes being implemented. Feedback from residents and families/whānau is positive about the care and the services provided. An induction and in-service training programme are in place to provide staff with appropriate knowledge and skills to deliver care.</w:t>
      </w:r>
    </w:p>
    <w:p w14:paraId="1389D90D" w14:textId="77777777" w:rsidR="00722B0C" w:rsidRPr="00A4268A" w:rsidRDefault="00E946A5">
      <w:pPr>
        <w:spacing w:before="240" w:line="276" w:lineRule="auto"/>
        <w:rPr>
          <w:rFonts w:eastAsia="Calibri"/>
        </w:rPr>
      </w:pPr>
      <w:r w:rsidRPr="00A4268A">
        <w:rPr>
          <w:rFonts w:eastAsia="Calibri"/>
        </w:rPr>
        <w:t>The shortfalls identified at the previous audit relating to care plan timeframes; care plan interventions; monitoring the effectiveness of medication; and self-administration of medication process, have all been addressed.</w:t>
      </w:r>
    </w:p>
    <w:p w14:paraId="2A5882B1" w14:textId="77777777" w:rsidR="00722B0C" w:rsidRPr="00A4268A" w:rsidRDefault="00E946A5">
      <w:pPr>
        <w:spacing w:before="240" w:line="276" w:lineRule="auto"/>
        <w:rPr>
          <w:rFonts w:eastAsia="Calibri"/>
        </w:rPr>
      </w:pPr>
      <w:r w:rsidRPr="00A4268A">
        <w:rPr>
          <w:rFonts w:eastAsia="Calibri"/>
        </w:rPr>
        <w:t>This surveillance audit identified a shortfall pertaining to maintenance.</w:t>
      </w:r>
    </w:p>
    <w:bookmarkEnd w:id="13"/>
    <w:p w14:paraId="209A9845" w14:textId="77777777" w:rsidR="00722B0C" w:rsidRPr="00A4268A" w:rsidRDefault="00722B0C">
      <w:pPr>
        <w:spacing w:before="240" w:line="276" w:lineRule="auto"/>
        <w:rPr>
          <w:rFonts w:eastAsia="Calibri"/>
        </w:rPr>
      </w:pPr>
    </w:p>
    <w:p w14:paraId="65D04BFB" w14:textId="77777777" w:rsidR="00E946A5" w:rsidRDefault="00E946A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2B0C" w14:paraId="3B490A33" w14:textId="77777777" w:rsidTr="00A4268A">
        <w:trPr>
          <w:cantSplit/>
        </w:trPr>
        <w:tc>
          <w:tcPr>
            <w:tcW w:w="10206" w:type="dxa"/>
            <w:vAlign w:val="center"/>
          </w:tcPr>
          <w:p w14:paraId="02FFCFE0" w14:textId="77777777" w:rsidR="00E946A5" w:rsidRPr="00FB778F" w:rsidRDefault="00E946A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AD6893C" w14:textId="77777777" w:rsidR="00E946A5" w:rsidRPr="00621629" w:rsidRDefault="00E946A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35B99DF" w14:textId="77777777" w:rsidR="00E946A5" w:rsidRPr="00621629" w:rsidRDefault="00E946A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C2AA6AC" w14:textId="010771EC" w:rsidR="00E946A5" w:rsidRPr="00621629" w:rsidRDefault="00E946A5" w:rsidP="008F3634">
            <w:pPr>
              <w:spacing w:before="60" w:after="60" w:line="276" w:lineRule="auto"/>
              <w:rPr>
                <w:rFonts w:eastAsia="Calibri"/>
              </w:rPr>
            </w:pPr>
            <w:bookmarkStart w:id="15" w:name="IndicatorDescription1_1"/>
            <w:bookmarkEnd w:id="15"/>
            <w:r>
              <w:t xml:space="preserve">Subsections applicable to this service </w:t>
            </w:r>
            <w:r w:rsidR="00A80C51">
              <w:t xml:space="preserve">are </w:t>
            </w:r>
            <w:r>
              <w:t>fully attained.</w:t>
            </w:r>
          </w:p>
        </w:tc>
      </w:tr>
    </w:tbl>
    <w:p w14:paraId="7C1907C9" w14:textId="77777777" w:rsidR="00E946A5" w:rsidRDefault="00E946A5">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w:t>
      </w:r>
    </w:p>
    <w:p w14:paraId="674CB23D" w14:textId="77777777" w:rsidR="00722B0C" w:rsidRPr="00A4268A" w:rsidRDefault="00E946A5">
      <w:pPr>
        <w:spacing w:before="240" w:line="276" w:lineRule="auto"/>
        <w:rPr>
          <w:rFonts w:eastAsia="Calibri"/>
        </w:rPr>
      </w:pPr>
      <w:r w:rsidRPr="00A4268A">
        <w:rPr>
          <w:rFonts w:eastAsia="Calibri"/>
        </w:rPr>
        <w:t>There was no evidence of abuse, neglect, or discrimination. Staff are aware of professional boundaries. There are established systems to facilitate informed consent, and to protect resident’s property and finances. The complaints process is responsive, fair, and equitable. Complaints are managed in accordance with the Code of Health and Disability Services Consumers’ Rights, and complainants are kept fully informed.</w:t>
      </w:r>
    </w:p>
    <w:bookmarkEnd w:id="16"/>
    <w:p w14:paraId="045EB0B2" w14:textId="77777777" w:rsidR="00722B0C" w:rsidRPr="00A4268A" w:rsidRDefault="00722B0C">
      <w:pPr>
        <w:spacing w:before="240" w:line="276" w:lineRule="auto"/>
        <w:rPr>
          <w:rFonts w:eastAsia="Calibri"/>
        </w:rPr>
      </w:pPr>
    </w:p>
    <w:p w14:paraId="3FAD4AAC" w14:textId="77777777" w:rsidR="00E946A5" w:rsidRDefault="00E946A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2B0C" w14:paraId="6AB3CE26" w14:textId="77777777" w:rsidTr="00A4268A">
        <w:trPr>
          <w:cantSplit/>
        </w:trPr>
        <w:tc>
          <w:tcPr>
            <w:tcW w:w="10206" w:type="dxa"/>
            <w:vAlign w:val="center"/>
          </w:tcPr>
          <w:p w14:paraId="76167030" w14:textId="77777777" w:rsidR="00E946A5" w:rsidRPr="00621629" w:rsidRDefault="00E946A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5DADB1F" w14:textId="77777777" w:rsidR="00E946A5" w:rsidRPr="00621629" w:rsidRDefault="00E946A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8150D80" w14:textId="6243EB51" w:rsidR="00E946A5" w:rsidRPr="00621629" w:rsidRDefault="00E946A5" w:rsidP="00621629">
            <w:pPr>
              <w:spacing w:before="60" w:after="60" w:line="276" w:lineRule="auto"/>
              <w:rPr>
                <w:rFonts w:eastAsia="Calibri"/>
              </w:rPr>
            </w:pPr>
            <w:bookmarkStart w:id="18" w:name="IndicatorDescription1_2"/>
            <w:bookmarkEnd w:id="18"/>
            <w:r>
              <w:t xml:space="preserve">Subsections applicable to this service </w:t>
            </w:r>
            <w:r w:rsidR="00A80C51">
              <w:t xml:space="preserve">are </w:t>
            </w:r>
            <w:r>
              <w:t>fully attained.</w:t>
            </w:r>
          </w:p>
        </w:tc>
      </w:tr>
    </w:tbl>
    <w:p w14:paraId="0EF8822A" w14:textId="77777777" w:rsidR="00E946A5" w:rsidRDefault="00E946A5">
      <w:pPr>
        <w:spacing w:before="240" w:line="276" w:lineRule="auto"/>
        <w:rPr>
          <w:rFonts w:eastAsia="Calibri"/>
        </w:rPr>
      </w:pPr>
      <w:bookmarkStart w:id="19" w:name="OrganisationalManagement"/>
      <w:r w:rsidRPr="00A4268A">
        <w:rPr>
          <w:rFonts w:eastAsia="Calibri"/>
        </w:rPr>
        <w:t xml:space="preserve">Oakwoods Retirement Village business plan includes mission and values statements and operational objectives that are regularly reviewed. Barriers to health equity are identified, addressed, and services delivered that improve outcomes for Māori. The service has established quality and risk management systems that take a risk-based approach, to meet the needs of residents and their </w:t>
      </w:r>
      <w:r w:rsidRPr="00A4268A">
        <w:rPr>
          <w:rFonts w:eastAsia="Calibri"/>
        </w:rPr>
        <w:lastRenderedPageBreak/>
        <w:t xml:space="preserve">staff. There is process for following the National Adverse Event reporting policy, and management have an understanding, and comply with statutory and regulatory obligations in relation to essential notification reporting. </w:t>
      </w:r>
    </w:p>
    <w:p w14:paraId="6EA6507C" w14:textId="77777777" w:rsidR="00722B0C" w:rsidRPr="00A4268A" w:rsidRDefault="00E946A5">
      <w:pPr>
        <w:spacing w:before="240" w:line="276" w:lineRule="auto"/>
        <w:rPr>
          <w:rFonts w:eastAsia="Calibri"/>
        </w:rPr>
      </w:pPr>
      <w:r w:rsidRPr="00A4268A">
        <w:rPr>
          <w:rFonts w:eastAsia="Calibri"/>
        </w:rPr>
        <w:t>Quality improvement projects are implemented. Internal audits are documented as taking place as scheduled, with corrective actions as indicated. There is a staffing and rostering policy. Human resources are managed in accordance with good employment practice. A role specific orientation programme and regular staff education and training are in place.</w:t>
      </w:r>
    </w:p>
    <w:bookmarkEnd w:id="19"/>
    <w:p w14:paraId="7D6A8CF8" w14:textId="77777777" w:rsidR="00722B0C" w:rsidRPr="00A4268A" w:rsidRDefault="00722B0C">
      <w:pPr>
        <w:spacing w:before="240" w:line="276" w:lineRule="auto"/>
        <w:rPr>
          <w:rFonts w:eastAsia="Calibri"/>
        </w:rPr>
      </w:pPr>
    </w:p>
    <w:p w14:paraId="7BAF03E5" w14:textId="77777777" w:rsidR="00E946A5" w:rsidRDefault="00E946A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2B0C" w14:paraId="32B8D508" w14:textId="77777777" w:rsidTr="00A4268A">
        <w:trPr>
          <w:cantSplit/>
        </w:trPr>
        <w:tc>
          <w:tcPr>
            <w:tcW w:w="10206" w:type="dxa"/>
            <w:vAlign w:val="center"/>
          </w:tcPr>
          <w:p w14:paraId="04356780" w14:textId="77777777" w:rsidR="00E946A5" w:rsidRPr="00621629" w:rsidRDefault="00E946A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FD03DFE" w14:textId="77777777" w:rsidR="00E946A5" w:rsidRPr="00621629" w:rsidRDefault="00E946A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2E6FE5C" w14:textId="4B2D8899" w:rsidR="00E946A5" w:rsidRPr="00621629" w:rsidRDefault="00E946A5" w:rsidP="00621629">
            <w:pPr>
              <w:spacing w:before="60" w:after="60" w:line="276" w:lineRule="auto"/>
              <w:rPr>
                <w:rFonts w:eastAsia="Calibri"/>
              </w:rPr>
            </w:pPr>
            <w:bookmarkStart w:id="21" w:name="IndicatorDescription1_3"/>
            <w:bookmarkEnd w:id="21"/>
            <w:r>
              <w:t xml:space="preserve">Subsections applicable to this service </w:t>
            </w:r>
            <w:r w:rsidR="00A80C51">
              <w:t xml:space="preserve">are </w:t>
            </w:r>
            <w:r>
              <w:t>fully attained.</w:t>
            </w:r>
          </w:p>
        </w:tc>
      </w:tr>
    </w:tbl>
    <w:p w14:paraId="77D163ED" w14:textId="77777777" w:rsidR="00E946A5" w:rsidRPr="005E14A4" w:rsidRDefault="00E946A5"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36F37B00" w14:textId="77777777" w:rsidR="00722B0C" w:rsidRPr="00A4268A" w:rsidRDefault="00E946A5"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35C28B3D" w14:textId="77777777" w:rsidR="00722B0C" w:rsidRPr="00A4268A" w:rsidRDefault="00E946A5"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were available 24/7.</w:t>
      </w:r>
    </w:p>
    <w:p w14:paraId="03646DA5" w14:textId="77777777" w:rsidR="00722B0C" w:rsidRPr="00A4268A" w:rsidRDefault="00E946A5"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3ECEF52F" w14:textId="77777777" w:rsidR="00722B0C" w:rsidRPr="00A4268A" w:rsidRDefault="00722B0C" w:rsidP="00621629">
      <w:pPr>
        <w:spacing w:before="240" w:line="276" w:lineRule="auto"/>
        <w:rPr>
          <w:rFonts w:eastAsia="Calibri"/>
        </w:rPr>
      </w:pPr>
    </w:p>
    <w:p w14:paraId="24A0E64A" w14:textId="77777777" w:rsidR="00E946A5" w:rsidRDefault="00E946A5"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2B0C" w14:paraId="07955D96" w14:textId="77777777" w:rsidTr="00A4268A">
        <w:trPr>
          <w:cantSplit/>
        </w:trPr>
        <w:tc>
          <w:tcPr>
            <w:tcW w:w="10206" w:type="dxa"/>
            <w:vAlign w:val="center"/>
          </w:tcPr>
          <w:p w14:paraId="4BAF7308" w14:textId="77777777" w:rsidR="00E946A5" w:rsidRPr="00621629" w:rsidRDefault="00E946A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4DCE50E" w14:textId="77777777" w:rsidR="00E946A5" w:rsidRPr="00621629" w:rsidRDefault="00E946A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4C1A2F" w14:textId="2E5DD4D7" w:rsidR="00E946A5" w:rsidRPr="00621629" w:rsidRDefault="00E946A5" w:rsidP="00621629">
            <w:pPr>
              <w:spacing w:before="60" w:after="60" w:line="276" w:lineRule="auto"/>
              <w:rPr>
                <w:rFonts w:eastAsia="Calibri"/>
              </w:rPr>
            </w:pPr>
            <w:bookmarkStart w:id="24" w:name="IndicatorDescription1_4"/>
            <w:bookmarkEnd w:id="24"/>
            <w:r>
              <w:t xml:space="preserve">Some subsections applicable to this service </w:t>
            </w:r>
            <w:r w:rsidR="00A80C51">
              <w:t xml:space="preserve">are </w:t>
            </w:r>
            <w:r>
              <w:t>partially attained and of low risk.</w:t>
            </w:r>
          </w:p>
        </w:tc>
      </w:tr>
    </w:tbl>
    <w:p w14:paraId="0833F52C" w14:textId="77777777" w:rsidR="00E946A5" w:rsidRDefault="00E946A5">
      <w:pPr>
        <w:spacing w:before="240" w:line="276" w:lineRule="auto"/>
        <w:rPr>
          <w:rFonts w:eastAsia="Calibri"/>
        </w:rPr>
      </w:pPr>
      <w:bookmarkStart w:id="25" w:name="SafeAndAppropriateEnvironment"/>
      <w:r w:rsidRPr="00A4268A">
        <w:rPr>
          <w:rFonts w:eastAsia="Calibri"/>
        </w:rPr>
        <w:t>The building holds a current building warrant of fitness. The environment is inclusive of people’s cultures and supports cultural practices. All equipment has been tested, tagged and calibrated as scheduled. There have been no changes to the facility since the previous audit.</w:t>
      </w:r>
    </w:p>
    <w:bookmarkEnd w:id="25"/>
    <w:p w14:paraId="4C515CDE" w14:textId="77777777" w:rsidR="00722B0C" w:rsidRPr="00A4268A" w:rsidRDefault="00722B0C">
      <w:pPr>
        <w:spacing w:before="240" w:line="276" w:lineRule="auto"/>
        <w:rPr>
          <w:rFonts w:eastAsia="Calibri"/>
        </w:rPr>
      </w:pPr>
    </w:p>
    <w:p w14:paraId="6864A037" w14:textId="77777777" w:rsidR="00E946A5" w:rsidRDefault="00E946A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2B0C" w14:paraId="167882A2" w14:textId="77777777" w:rsidTr="00A4268A">
        <w:trPr>
          <w:cantSplit/>
        </w:trPr>
        <w:tc>
          <w:tcPr>
            <w:tcW w:w="10206" w:type="dxa"/>
            <w:vAlign w:val="center"/>
          </w:tcPr>
          <w:p w14:paraId="77634993" w14:textId="77777777" w:rsidR="00E946A5" w:rsidRPr="00621629" w:rsidRDefault="00E946A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70A8650" w14:textId="77777777" w:rsidR="00E946A5" w:rsidRPr="00621629" w:rsidRDefault="00E946A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9CF72EC" w14:textId="5ECC32CD" w:rsidR="00E946A5" w:rsidRPr="00621629" w:rsidRDefault="00E946A5" w:rsidP="00621629">
            <w:pPr>
              <w:spacing w:before="60" w:after="60" w:line="276" w:lineRule="auto"/>
              <w:rPr>
                <w:rFonts w:eastAsia="Calibri"/>
              </w:rPr>
            </w:pPr>
            <w:bookmarkStart w:id="27" w:name="IndicatorDescription2"/>
            <w:bookmarkEnd w:id="27"/>
            <w:r>
              <w:t xml:space="preserve">Subsections applicable to this service </w:t>
            </w:r>
            <w:r w:rsidR="00A80C51">
              <w:t xml:space="preserve">are </w:t>
            </w:r>
            <w:r>
              <w:t>fully attained.</w:t>
            </w:r>
          </w:p>
        </w:tc>
      </w:tr>
    </w:tbl>
    <w:p w14:paraId="28382B7D" w14:textId="77777777" w:rsidR="00E946A5" w:rsidRDefault="00E946A5">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 </w:t>
      </w:r>
    </w:p>
    <w:p w14:paraId="0DE91B74" w14:textId="77777777" w:rsidR="00722B0C" w:rsidRPr="00A4268A" w:rsidRDefault="00E946A5">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w:t>
      </w:r>
    </w:p>
    <w:bookmarkEnd w:id="28"/>
    <w:p w14:paraId="42CED7BB" w14:textId="77777777" w:rsidR="00722B0C" w:rsidRPr="00A4268A" w:rsidRDefault="00722B0C">
      <w:pPr>
        <w:spacing w:before="240" w:line="276" w:lineRule="auto"/>
        <w:rPr>
          <w:rFonts w:eastAsia="Calibri"/>
        </w:rPr>
      </w:pPr>
    </w:p>
    <w:p w14:paraId="1436E951" w14:textId="77777777" w:rsidR="00E946A5" w:rsidRDefault="00E946A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2B0C" w14:paraId="0378AF60" w14:textId="77777777" w:rsidTr="00A4268A">
        <w:trPr>
          <w:cantSplit/>
        </w:trPr>
        <w:tc>
          <w:tcPr>
            <w:tcW w:w="10206" w:type="dxa"/>
            <w:vAlign w:val="center"/>
          </w:tcPr>
          <w:p w14:paraId="19A18DBD" w14:textId="77777777" w:rsidR="00E946A5" w:rsidRPr="00621629" w:rsidRDefault="00E946A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5C73FCF" w14:textId="77777777" w:rsidR="00E946A5" w:rsidRPr="00621629" w:rsidRDefault="00E946A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7E7D239" w14:textId="7EF07F43" w:rsidR="00E946A5" w:rsidRPr="00621629" w:rsidRDefault="00E946A5" w:rsidP="00621629">
            <w:pPr>
              <w:spacing w:before="60" w:after="60" w:line="276" w:lineRule="auto"/>
              <w:rPr>
                <w:rFonts w:eastAsia="Calibri"/>
              </w:rPr>
            </w:pPr>
            <w:bookmarkStart w:id="30" w:name="IndicatorDescription3"/>
            <w:bookmarkEnd w:id="30"/>
            <w:r>
              <w:t>Subsections applicable to this service</w:t>
            </w:r>
            <w:r w:rsidR="00A80C51">
              <w:t xml:space="preserve"> are</w:t>
            </w:r>
            <w:r>
              <w:t xml:space="preserve"> fully attained.</w:t>
            </w:r>
          </w:p>
        </w:tc>
      </w:tr>
    </w:tbl>
    <w:p w14:paraId="47ECA11C" w14:textId="77777777" w:rsidR="00E946A5" w:rsidRDefault="00E946A5">
      <w:pPr>
        <w:spacing w:before="240" w:line="276" w:lineRule="auto"/>
        <w:rPr>
          <w:rFonts w:eastAsia="Calibri"/>
        </w:rPr>
      </w:pPr>
      <w:bookmarkStart w:id="31" w:name="InfectionPreventionAndControl"/>
      <w:r w:rsidRPr="00A4268A">
        <w:rPr>
          <w:rFonts w:eastAsia="Calibri"/>
        </w:rPr>
        <w:t xml:space="preserve">The service aims for a restraint-free service, and this is supported by the governing body and policies and procedures. The provider has not used any type of restraint long term now. Elimination of restraint use is included as part of the care staff orientation education and is included as part of the mandatory annual training plan. Staff demonstrated sound knowledge and understanding of providing the least restrictive practice, de-escalation techniques, and alternative solutions. </w:t>
      </w:r>
    </w:p>
    <w:bookmarkEnd w:id="31"/>
    <w:p w14:paraId="5BED8197" w14:textId="77777777" w:rsidR="00722B0C" w:rsidRPr="00A4268A" w:rsidRDefault="00722B0C">
      <w:pPr>
        <w:spacing w:before="240" w:line="276" w:lineRule="auto"/>
        <w:rPr>
          <w:rFonts w:eastAsia="Calibri"/>
        </w:rPr>
      </w:pPr>
    </w:p>
    <w:p w14:paraId="41917691" w14:textId="77777777" w:rsidR="00E946A5" w:rsidRDefault="00E946A5" w:rsidP="000E6E02">
      <w:pPr>
        <w:pStyle w:val="Heading2"/>
        <w:spacing w:before="0"/>
        <w:rPr>
          <w:rFonts w:cs="Arial"/>
        </w:rPr>
      </w:pPr>
      <w:r>
        <w:rPr>
          <w:rFonts w:cs="Arial"/>
        </w:rPr>
        <w:lastRenderedPageBreak/>
        <w:t>Summary of attainment</w:t>
      </w:r>
    </w:p>
    <w:p w14:paraId="047E640F" w14:textId="77777777" w:rsidR="00E946A5" w:rsidRDefault="00E946A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22B0C" w14:paraId="27A22318" w14:textId="77777777">
        <w:tc>
          <w:tcPr>
            <w:tcW w:w="1384" w:type="dxa"/>
            <w:vAlign w:val="center"/>
          </w:tcPr>
          <w:p w14:paraId="7FD13C95" w14:textId="77777777" w:rsidR="00E946A5" w:rsidRDefault="00E946A5">
            <w:pPr>
              <w:keepNext/>
              <w:spacing w:before="60" w:after="60"/>
              <w:rPr>
                <w:rFonts w:cs="Arial"/>
                <w:b/>
                <w:sz w:val="20"/>
                <w:szCs w:val="20"/>
              </w:rPr>
            </w:pPr>
            <w:r>
              <w:rPr>
                <w:rFonts w:cs="Arial"/>
                <w:b/>
                <w:sz w:val="20"/>
                <w:szCs w:val="20"/>
              </w:rPr>
              <w:t>Attainment Rating</w:t>
            </w:r>
          </w:p>
        </w:tc>
        <w:tc>
          <w:tcPr>
            <w:tcW w:w="1701" w:type="dxa"/>
            <w:vAlign w:val="center"/>
          </w:tcPr>
          <w:p w14:paraId="190E159F" w14:textId="77777777" w:rsidR="00E946A5" w:rsidRDefault="00E946A5">
            <w:pPr>
              <w:keepNext/>
              <w:spacing w:before="60" w:after="60"/>
              <w:jc w:val="center"/>
              <w:rPr>
                <w:rFonts w:cs="Arial"/>
                <w:b/>
                <w:sz w:val="20"/>
                <w:szCs w:val="20"/>
              </w:rPr>
            </w:pPr>
            <w:r>
              <w:rPr>
                <w:rFonts w:cs="Arial"/>
                <w:b/>
                <w:sz w:val="20"/>
                <w:szCs w:val="20"/>
              </w:rPr>
              <w:t>Continuous Improvement</w:t>
            </w:r>
          </w:p>
          <w:p w14:paraId="4C60210B" w14:textId="77777777" w:rsidR="00E946A5" w:rsidRDefault="00E946A5">
            <w:pPr>
              <w:keepNext/>
              <w:spacing w:before="60" w:after="60"/>
              <w:jc w:val="center"/>
              <w:rPr>
                <w:rFonts w:cs="Arial"/>
                <w:b/>
                <w:sz w:val="20"/>
                <w:szCs w:val="20"/>
              </w:rPr>
            </w:pPr>
            <w:r>
              <w:rPr>
                <w:rFonts w:cs="Arial"/>
                <w:b/>
                <w:sz w:val="20"/>
                <w:szCs w:val="20"/>
              </w:rPr>
              <w:t>(CI)</w:t>
            </w:r>
          </w:p>
        </w:tc>
        <w:tc>
          <w:tcPr>
            <w:tcW w:w="1843" w:type="dxa"/>
            <w:vAlign w:val="center"/>
          </w:tcPr>
          <w:p w14:paraId="1EE08A40" w14:textId="77777777" w:rsidR="00E946A5" w:rsidRDefault="00E946A5">
            <w:pPr>
              <w:keepNext/>
              <w:spacing w:before="60" w:after="60"/>
              <w:jc w:val="center"/>
              <w:rPr>
                <w:rFonts w:cs="Arial"/>
                <w:b/>
                <w:sz w:val="20"/>
                <w:szCs w:val="20"/>
              </w:rPr>
            </w:pPr>
            <w:r>
              <w:rPr>
                <w:rFonts w:cs="Arial"/>
                <w:b/>
                <w:sz w:val="20"/>
                <w:szCs w:val="20"/>
              </w:rPr>
              <w:t>Fully Attained</w:t>
            </w:r>
          </w:p>
          <w:p w14:paraId="27247844" w14:textId="77777777" w:rsidR="00E946A5" w:rsidRDefault="00E946A5">
            <w:pPr>
              <w:keepNext/>
              <w:spacing w:before="60" w:after="60"/>
              <w:jc w:val="center"/>
              <w:rPr>
                <w:rFonts w:cs="Arial"/>
                <w:b/>
                <w:sz w:val="20"/>
                <w:szCs w:val="20"/>
              </w:rPr>
            </w:pPr>
            <w:r>
              <w:rPr>
                <w:rFonts w:cs="Arial"/>
                <w:b/>
                <w:sz w:val="20"/>
                <w:szCs w:val="20"/>
              </w:rPr>
              <w:t>(FA)</w:t>
            </w:r>
          </w:p>
        </w:tc>
        <w:tc>
          <w:tcPr>
            <w:tcW w:w="1843" w:type="dxa"/>
            <w:vAlign w:val="center"/>
          </w:tcPr>
          <w:p w14:paraId="3D269954" w14:textId="77777777" w:rsidR="00E946A5" w:rsidRDefault="00E946A5">
            <w:pPr>
              <w:keepNext/>
              <w:spacing w:before="60" w:after="60"/>
              <w:jc w:val="center"/>
              <w:rPr>
                <w:rFonts w:cs="Arial"/>
                <w:b/>
                <w:sz w:val="20"/>
                <w:szCs w:val="20"/>
              </w:rPr>
            </w:pPr>
            <w:r>
              <w:rPr>
                <w:rFonts w:cs="Arial"/>
                <w:b/>
                <w:sz w:val="20"/>
                <w:szCs w:val="20"/>
              </w:rPr>
              <w:t>Partially Attained Negligible Risk</w:t>
            </w:r>
          </w:p>
          <w:p w14:paraId="0CD4F014" w14:textId="77777777" w:rsidR="00E946A5" w:rsidRDefault="00E946A5">
            <w:pPr>
              <w:keepNext/>
              <w:spacing w:before="60" w:after="60"/>
              <w:jc w:val="center"/>
              <w:rPr>
                <w:rFonts w:cs="Arial"/>
                <w:b/>
                <w:sz w:val="20"/>
                <w:szCs w:val="20"/>
              </w:rPr>
            </w:pPr>
            <w:r>
              <w:rPr>
                <w:rFonts w:cs="Arial"/>
                <w:b/>
                <w:sz w:val="20"/>
                <w:szCs w:val="20"/>
              </w:rPr>
              <w:t>(PA Negligible)</w:t>
            </w:r>
          </w:p>
        </w:tc>
        <w:tc>
          <w:tcPr>
            <w:tcW w:w="1842" w:type="dxa"/>
            <w:vAlign w:val="center"/>
          </w:tcPr>
          <w:p w14:paraId="600AEA75" w14:textId="77777777" w:rsidR="00E946A5" w:rsidRDefault="00E946A5">
            <w:pPr>
              <w:keepNext/>
              <w:spacing w:before="60" w:after="60"/>
              <w:jc w:val="center"/>
              <w:rPr>
                <w:rFonts w:cs="Arial"/>
                <w:b/>
                <w:sz w:val="20"/>
                <w:szCs w:val="20"/>
              </w:rPr>
            </w:pPr>
            <w:r>
              <w:rPr>
                <w:rFonts w:cs="Arial"/>
                <w:b/>
                <w:sz w:val="20"/>
                <w:szCs w:val="20"/>
              </w:rPr>
              <w:t>Partially Attained Low Risk</w:t>
            </w:r>
          </w:p>
          <w:p w14:paraId="1DD17761" w14:textId="77777777" w:rsidR="00E946A5" w:rsidRDefault="00E946A5">
            <w:pPr>
              <w:keepNext/>
              <w:spacing w:before="60" w:after="60"/>
              <w:jc w:val="center"/>
              <w:rPr>
                <w:rFonts w:cs="Arial"/>
                <w:b/>
                <w:sz w:val="20"/>
                <w:szCs w:val="20"/>
              </w:rPr>
            </w:pPr>
            <w:r>
              <w:rPr>
                <w:rFonts w:cs="Arial"/>
                <w:b/>
                <w:sz w:val="20"/>
                <w:szCs w:val="20"/>
              </w:rPr>
              <w:t>(PA Low)</w:t>
            </w:r>
          </w:p>
        </w:tc>
        <w:tc>
          <w:tcPr>
            <w:tcW w:w="1843" w:type="dxa"/>
            <w:vAlign w:val="center"/>
          </w:tcPr>
          <w:p w14:paraId="07DD74CC" w14:textId="77777777" w:rsidR="00E946A5" w:rsidRDefault="00E946A5">
            <w:pPr>
              <w:keepNext/>
              <w:spacing w:before="60" w:after="60"/>
              <w:jc w:val="center"/>
              <w:rPr>
                <w:rFonts w:cs="Arial"/>
                <w:b/>
                <w:sz w:val="20"/>
                <w:szCs w:val="20"/>
              </w:rPr>
            </w:pPr>
            <w:r>
              <w:rPr>
                <w:rFonts w:cs="Arial"/>
                <w:b/>
                <w:sz w:val="20"/>
                <w:szCs w:val="20"/>
              </w:rPr>
              <w:t>Partially Attained Moderate Risk</w:t>
            </w:r>
          </w:p>
          <w:p w14:paraId="55D65E32" w14:textId="77777777" w:rsidR="00E946A5" w:rsidRDefault="00E946A5">
            <w:pPr>
              <w:keepNext/>
              <w:spacing w:before="60" w:after="60"/>
              <w:jc w:val="center"/>
              <w:rPr>
                <w:rFonts w:cs="Arial"/>
                <w:b/>
                <w:sz w:val="20"/>
                <w:szCs w:val="20"/>
              </w:rPr>
            </w:pPr>
            <w:r>
              <w:rPr>
                <w:rFonts w:cs="Arial"/>
                <w:b/>
                <w:sz w:val="20"/>
                <w:szCs w:val="20"/>
              </w:rPr>
              <w:t>(PA Moderate)</w:t>
            </w:r>
          </w:p>
        </w:tc>
        <w:tc>
          <w:tcPr>
            <w:tcW w:w="1843" w:type="dxa"/>
            <w:vAlign w:val="center"/>
          </w:tcPr>
          <w:p w14:paraId="1BE884D3" w14:textId="77777777" w:rsidR="00E946A5" w:rsidRDefault="00E946A5">
            <w:pPr>
              <w:keepNext/>
              <w:spacing w:before="60" w:after="60"/>
              <w:jc w:val="center"/>
              <w:rPr>
                <w:rFonts w:cs="Arial"/>
                <w:b/>
                <w:sz w:val="20"/>
                <w:szCs w:val="20"/>
              </w:rPr>
            </w:pPr>
            <w:r>
              <w:rPr>
                <w:rFonts w:cs="Arial"/>
                <w:b/>
                <w:sz w:val="20"/>
                <w:szCs w:val="20"/>
              </w:rPr>
              <w:t>Partially Attained High Risk</w:t>
            </w:r>
          </w:p>
          <w:p w14:paraId="423C5244" w14:textId="77777777" w:rsidR="00E946A5" w:rsidRDefault="00E946A5">
            <w:pPr>
              <w:keepNext/>
              <w:spacing w:before="60" w:after="60"/>
              <w:jc w:val="center"/>
              <w:rPr>
                <w:rFonts w:cs="Arial"/>
                <w:b/>
                <w:sz w:val="20"/>
                <w:szCs w:val="20"/>
              </w:rPr>
            </w:pPr>
            <w:r>
              <w:rPr>
                <w:rFonts w:cs="Arial"/>
                <w:b/>
                <w:sz w:val="20"/>
                <w:szCs w:val="20"/>
              </w:rPr>
              <w:t>(PA High)</w:t>
            </w:r>
          </w:p>
        </w:tc>
        <w:tc>
          <w:tcPr>
            <w:tcW w:w="1843" w:type="dxa"/>
            <w:vAlign w:val="center"/>
          </w:tcPr>
          <w:p w14:paraId="1F2CDCB6" w14:textId="77777777" w:rsidR="00E946A5" w:rsidRDefault="00E946A5">
            <w:pPr>
              <w:keepNext/>
              <w:spacing w:before="60" w:after="60"/>
              <w:jc w:val="center"/>
              <w:rPr>
                <w:rFonts w:cs="Arial"/>
                <w:b/>
                <w:sz w:val="20"/>
                <w:szCs w:val="20"/>
              </w:rPr>
            </w:pPr>
            <w:r>
              <w:rPr>
                <w:rFonts w:cs="Arial"/>
                <w:b/>
                <w:sz w:val="20"/>
                <w:szCs w:val="20"/>
              </w:rPr>
              <w:t>Partially Attained Critical Risk</w:t>
            </w:r>
          </w:p>
          <w:p w14:paraId="171BFC13" w14:textId="77777777" w:rsidR="00E946A5" w:rsidRDefault="00E946A5">
            <w:pPr>
              <w:keepNext/>
              <w:spacing w:before="60" w:after="60"/>
              <w:jc w:val="center"/>
              <w:rPr>
                <w:rFonts w:cs="Arial"/>
                <w:b/>
                <w:sz w:val="20"/>
                <w:szCs w:val="20"/>
              </w:rPr>
            </w:pPr>
            <w:r>
              <w:rPr>
                <w:rFonts w:cs="Arial"/>
                <w:b/>
                <w:sz w:val="20"/>
                <w:szCs w:val="20"/>
              </w:rPr>
              <w:t>(PA Critical)</w:t>
            </w:r>
          </w:p>
        </w:tc>
      </w:tr>
      <w:tr w:rsidR="00722B0C" w14:paraId="3C72EBE5" w14:textId="77777777">
        <w:tc>
          <w:tcPr>
            <w:tcW w:w="1384" w:type="dxa"/>
            <w:vAlign w:val="center"/>
          </w:tcPr>
          <w:p w14:paraId="1229206B" w14:textId="77777777" w:rsidR="00E946A5" w:rsidRDefault="00E946A5">
            <w:pPr>
              <w:keepNext/>
              <w:spacing w:before="60" w:after="60"/>
              <w:rPr>
                <w:rFonts w:cs="Arial"/>
                <w:b/>
                <w:sz w:val="20"/>
                <w:szCs w:val="20"/>
              </w:rPr>
            </w:pPr>
            <w:r>
              <w:rPr>
                <w:rFonts w:cs="Arial"/>
                <w:b/>
                <w:sz w:val="20"/>
                <w:szCs w:val="20"/>
              </w:rPr>
              <w:t>Subsection</w:t>
            </w:r>
          </w:p>
        </w:tc>
        <w:tc>
          <w:tcPr>
            <w:tcW w:w="1701" w:type="dxa"/>
            <w:vAlign w:val="center"/>
          </w:tcPr>
          <w:p w14:paraId="4ECD7466" w14:textId="77777777" w:rsidR="00E946A5" w:rsidRDefault="00E946A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F74A7E" w14:textId="77777777" w:rsidR="00E946A5" w:rsidRDefault="00E946A5"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BF18AA8" w14:textId="77777777" w:rsidR="00E946A5" w:rsidRDefault="00E946A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C61226D" w14:textId="77777777" w:rsidR="00E946A5" w:rsidRDefault="00E946A5"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5728FCD" w14:textId="77777777" w:rsidR="00E946A5" w:rsidRDefault="00E946A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703B45E" w14:textId="77777777" w:rsidR="00E946A5" w:rsidRDefault="00E946A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2B4E97" w14:textId="77777777" w:rsidR="00E946A5" w:rsidRDefault="00E946A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22B0C" w14:paraId="06A2A7C3" w14:textId="77777777">
        <w:tc>
          <w:tcPr>
            <w:tcW w:w="1384" w:type="dxa"/>
            <w:vAlign w:val="center"/>
          </w:tcPr>
          <w:p w14:paraId="1FD07F8B" w14:textId="77777777" w:rsidR="00E946A5" w:rsidRDefault="00E946A5">
            <w:pPr>
              <w:keepNext/>
              <w:spacing w:before="60" w:after="60"/>
              <w:rPr>
                <w:rFonts w:cs="Arial"/>
                <w:b/>
                <w:sz w:val="20"/>
                <w:szCs w:val="20"/>
              </w:rPr>
            </w:pPr>
            <w:r>
              <w:rPr>
                <w:rFonts w:cs="Arial"/>
                <w:b/>
                <w:sz w:val="20"/>
                <w:szCs w:val="20"/>
              </w:rPr>
              <w:t>Criteria</w:t>
            </w:r>
          </w:p>
        </w:tc>
        <w:tc>
          <w:tcPr>
            <w:tcW w:w="1701" w:type="dxa"/>
            <w:vAlign w:val="center"/>
          </w:tcPr>
          <w:p w14:paraId="1CB9B8B0" w14:textId="77777777" w:rsidR="00E946A5" w:rsidRDefault="00E946A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BEEEC77" w14:textId="77777777" w:rsidR="00E946A5" w:rsidRDefault="00E946A5"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7F2515F" w14:textId="77777777" w:rsidR="00E946A5" w:rsidRDefault="00E946A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6286F91" w14:textId="77777777" w:rsidR="00E946A5" w:rsidRDefault="00E946A5"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84D0783" w14:textId="77777777" w:rsidR="00E946A5" w:rsidRDefault="00E946A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E25ED66" w14:textId="77777777" w:rsidR="00E946A5" w:rsidRDefault="00E946A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1166D5" w14:textId="77777777" w:rsidR="00E946A5" w:rsidRDefault="00E946A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90AA807" w14:textId="77777777" w:rsidR="00E946A5" w:rsidRDefault="00E946A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22B0C" w14:paraId="111E39F0" w14:textId="77777777">
        <w:tc>
          <w:tcPr>
            <w:tcW w:w="1384" w:type="dxa"/>
            <w:vAlign w:val="center"/>
          </w:tcPr>
          <w:p w14:paraId="18DCD343" w14:textId="77777777" w:rsidR="00E946A5" w:rsidRDefault="00E946A5">
            <w:pPr>
              <w:keepNext/>
              <w:spacing w:before="60" w:after="60"/>
              <w:rPr>
                <w:rFonts w:cs="Arial"/>
                <w:b/>
                <w:sz w:val="20"/>
                <w:szCs w:val="20"/>
              </w:rPr>
            </w:pPr>
            <w:r>
              <w:rPr>
                <w:rFonts w:cs="Arial"/>
                <w:b/>
                <w:sz w:val="20"/>
                <w:szCs w:val="20"/>
              </w:rPr>
              <w:t>Attainment Rating</w:t>
            </w:r>
          </w:p>
        </w:tc>
        <w:tc>
          <w:tcPr>
            <w:tcW w:w="1701" w:type="dxa"/>
            <w:vAlign w:val="center"/>
          </w:tcPr>
          <w:p w14:paraId="6AA16616" w14:textId="77777777" w:rsidR="00E946A5" w:rsidRDefault="00E946A5">
            <w:pPr>
              <w:keepNext/>
              <w:spacing w:before="60" w:after="60"/>
              <w:jc w:val="center"/>
              <w:rPr>
                <w:rFonts w:cs="Arial"/>
                <w:b/>
                <w:sz w:val="20"/>
                <w:szCs w:val="20"/>
              </w:rPr>
            </w:pPr>
            <w:r>
              <w:rPr>
                <w:rFonts w:cs="Arial"/>
                <w:b/>
                <w:sz w:val="20"/>
                <w:szCs w:val="20"/>
              </w:rPr>
              <w:t>Unattained Negligible Risk</w:t>
            </w:r>
          </w:p>
          <w:p w14:paraId="4CD65566" w14:textId="77777777" w:rsidR="00E946A5" w:rsidRDefault="00E946A5">
            <w:pPr>
              <w:keepNext/>
              <w:spacing w:before="60" w:after="60"/>
              <w:jc w:val="center"/>
              <w:rPr>
                <w:rFonts w:cs="Arial"/>
                <w:b/>
                <w:sz w:val="20"/>
                <w:szCs w:val="20"/>
              </w:rPr>
            </w:pPr>
            <w:r>
              <w:rPr>
                <w:rFonts w:cs="Arial"/>
                <w:b/>
                <w:sz w:val="20"/>
                <w:szCs w:val="20"/>
              </w:rPr>
              <w:t>(UA Negligible)</w:t>
            </w:r>
          </w:p>
        </w:tc>
        <w:tc>
          <w:tcPr>
            <w:tcW w:w="1843" w:type="dxa"/>
            <w:vAlign w:val="center"/>
          </w:tcPr>
          <w:p w14:paraId="55970A1D" w14:textId="77777777" w:rsidR="00E946A5" w:rsidRDefault="00E946A5">
            <w:pPr>
              <w:keepNext/>
              <w:spacing w:before="60" w:after="60"/>
              <w:jc w:val="center"/>
              <w:rPr>
                <w:rFonts w:cs="Arial"/>
                <w:b/>
                <w:sz w:val="20"/>
                <w:szCs w:val="20"/>
              </w:rPr>
            </w:pPr>
            <w:r>
              <w:rPr>
                <w:rFonts w:cs="Arial"/>
                <w:b/>
                <w:sz w:val="20"/>
                <w:szCs w:val="20"/>
              </w:rPr>
              <w:t>Unattained Low Risk</w:t>
            </w:r>
          </w:p>
          <w:p w14:paraId="1E6BCF22" w14:textId="77777777" w:rsidR="00E946A5" w:rsidRDefault="00E946A5">
            <w:pPr>
              <w:keepNext/>
              <w:spacing w:before="60" w:after="60"/>
              <w:jc w:val="center"/>
              <w:rPr>
                <w:rFonts w:cs="Arial"/>
                <w:b/>
                <w:sz w:val="20"/>
                <w:szCs w:val="20"/>
              </w:rPr>
            </w:pPr>
            <w:r>
              <w:rPr>
                <w:rFonts w:cs="Arial"/>
                <w:b/>
                <w:sz w:val="20"/>
                <w:szCs w:val="20"/>
              </w:rPr>
              <w:t>(UA Low)</w:t>
            </w:r>
          </w:p>
        </w:tc>
        <w:tc>
          <w:tcPr>
            <w:tcW w:w="1843" w:type="dxa"/>
            <w:vAlign w:val="center"/>
          </w:tcPr>
          <w:p w14:paraId="28F6019A" w14:textId="77777777" w:rsidR="00E946A5" w:rsidRDefault="00E946A5">
            <w:pPr>
              <w:keepNext/>
              <w:spacing w:before="60" w:after="60"/>
              <w:jc w:val="center"/>
              <w:rPr>
                <w:rFonts w:cs="Arial"/>
                <w:b/>
                <w:sz w:val="20"/>
                <w:szCs w:val="20"/>
              </w:rPr>
            </w:pPr>
            <w:r>
              <w:rPr>
                <w:rFonts w:cs="Arial"/>
                <w:b/>
                <w:sz w:val="20"/>
                <w:szCs w:val="20"/>
              </w:rPr>
              <w:t>Unattained Moderate Risk</w:t>
            </w:r>
          </w:p>
          <w:p w14:paraId="00A837E8" w14:textId="77777777" w:rsidR="00E946A5" w:rsidRDefault="00E946A5">
            <w:pPr>
              <w:keepNext/>
              <w:spacing w:before="60" w:after="60"/>
              <w:jc w:val="center"/>
              <w:rPr>
                <w:rFonts w:cs="Arial"/>
                <w:b/>
                <w:sz w:val="20"/>
                <w:szCs w:val="20"/>
              </w:rPr>
            </w:pPr>
            <w:r>
              <w:rPr>
                <w:rFonts w:cs="Arial"/>
                <w:b/>
                <w:sz w:val="20"/>
                <w:szCs w:val="20"/>
              </w:rPr>
              <w:t>(UA Moderate)</w:t>
            </w:r>
          </w:p>
        </w:tc>
        <w:tc>
          <w:tcPr>
            <w:tcW w:w="1842" w:type="dxa"/>
            <w:vAlign w:val="center"/>
          </w:tcPr>
          <w:p w14:paraId="50757348" w14:textId="77777777" w:rsidR="00E946A5" w:rsidRDefault="00E946A5">
            <w:pPr>
              <w:keepNext/>
              <w:spacing w:before="60" w:after="60"/>
              <w:jc w:val="center"/>
              <w:rPr>
                <w:rFonts w:cs="Arial"/>
                <w:b/>
                <w:sz w:val="20"/>
                <w:szCs w:val="20"/>
              </w:rPr>
            </w:pPr>
            <w:r>
              <w:rPr>
                <w:rFonts w:cs="Arial"/>
                <w:b/>
                <w:sz w:val="20"/>
                <w:szCs w:val="20"/>
              </w:rPr>
              <w:t>Unattained High Risk</w:t>
            </w:r>
          </w:p>
          <w:p w14:paraId="44D46D3F" w14:textId="77777777" w:rsidR="00E946A5" w:rsidRDefault="00E946A5">
            <w:pPr>
              <w:keepNext/>
              <w:spacing w:before="60" w:after="60"/>
              <w:jc w:val="center"/>
              <w:rPr>
                <w:rFonts w:cs="Arial"/>
                <w:b/>
                <w:sz w:val="20"/>
                <w:szCs w:val="20"/>
              </w:rPr>
            </w:pPr>
            <w:r>
              <w:rPr>
                <w:rFonts w:cs="Arial"/>
                <w:b/>
                <w:sz w:val="20"/>
                <w:szCs w:val="20"/>
              </w:rPr>
              <w:t>(UA High)</w:t>
            </w:r>
          </w:p>
        </w:tc>
        <w:tc>
          <w:tcPr>
            <w:tcW w:w="1843" w:type="dxa"/>
            <w:vAlign w:val="center"/>
          </w:tcPr>
          <w:p w14:paraId="246FD1E5" w14:textId="77777777" w:rsidR="00E946A5" w:rsidRDefault="00E946A5">
            <w:pPr>
              <w:keepNext/>
              <w:spacing w:before="60" w:after="60"/>
              <w:jc w:val="center"/>
              <w:rPr>
                <w:rFonts w:cs="Arial"/>
                <w:b/>
                <w:sz w:val="20"/>
                <w:szCs w:val="20"/>
              </w:rPr>
            </w:pPr>
            <w:r>
              <w:rPr>
                <w:rFonts w:cs="Arial"/>
                <w:b/>
                <w:sz w:val="20"/>
                <w:szCs w:val="20"/>
              </w:rPr>
              <w:t>Unattained Critical Risk</w:t>
            </w:r>
          </w:p>
          <w:p w14:paraId="70D40705" w14:textId="77777777" w:rsidR="00E946A5" w:rsidRDefault="00E946A5">
            <w:pPr>
              <w:keepNext/>
              <w:spacing w:before="60" w:after="60"/>
              <w:jc w:val="center"/>
              <w:rPr>
                <w:rFonts w:cs="Arial"/>
                <w:b/>
                <w:sz w:val="20"/>
                <w:szCs w:val="20"/>
              </w:rPr>
            </w:pPr>
            <w:r>
              <w:rPr>
                <w:rFonts w:cs="Arial"/>
                <w:b/>
                <w:sz w:val="20"/>
                <w:szCs w:val="20"/>
              </w:rPr>
              <w:t>(UA Critical)</w:t>
            </w:r>
          </w:p>
        </w:tc>
      </w:tr>
      <w:tr w:rsidR="00722B0C" w14:paraId="0E7DEDB6" w14:textId="77777777">
        <w:tc>
          <w:tcPr>
            <w:tcW w:w="1384" w:type="dxa"/>
            <w:vAlign w:val="center"/>
          </w:tcPr>
          <w:p w14:paraId="4FA16E0D" w14:textId="77777777" w:rsidR="00E946A5" w:rsidRDefault="00E946A5">
            <w:pPr>
              <w:keepNext/>
              <w:spacing w:before="60" w:after="60"/>
              <w:rPr>
                <w:rFonts w:cs="Arial"/>
                <w:b/>
                <w:sz w:val="20"/>
                <w:szCs w:val="20"/>
              </w:rPr>
            </w:pPr>
            <w:r>
              <w:rPr>
                <w:rFonts w:cs="Arial"/>
                <w:b/>
                <w:sz w:val="20"/>
                <w:szCs w:val="20"/>
              </w:rPr>
              <w:t>Subsection</w:t>
            </w:r>
          </w:p>
        </w:tc>
        <w:tc>
          <w:tcPr>
            <w:tcW w:w="1701" w:type="dxa"/>
            <w:vAlign w:val="center"/>
          </w:tcPr>
          <w:p w14:paraId="7F07B598" w14:textId="77777777" w:rsidR="00E946A5" w:rsidRDefault="00E946A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5CE965B" w14:textId="77777777" w:rsidR="00E946A5" w:rsidRDefault="00E946A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6B10ED" w14:textId="77777777" w:rsidR="00E946A5" w:rsidRDefault="00E946A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3753534" w14:textId="77777777" w:rsidR="00E946A5" w:rsidRDefault="00E946A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286F552" w14:textId="77777777" w:rsidR="00E946A5" w:rsidRDefault="00E946A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22B0C" w14:paraId="66204304" w14:textId="77777777">
        <w:tc>
          <w:tcPr>
            <w:tcW w:w="1384" w:type="dxa"/>
            <w:vAlign w:val="center"/>
          </w:tcPr>
          <w:p w14:paraId="101504F6" w14:textId="77777777" w:rsidR="00E946A5" w:rsidRDefault="00E946A5">
            <w:pPr>
              <w:spacing w:before="60" w:after="60"/>
              <w:rPr>
                <w:rFonts w:cs="Arial"/>
                <w:b/>
                <w:sz w:val="20"/>
                <w:szCs w:val="20"/>
              </w:rPr>
            </w:pPr>
            <w:r>
              <w:rPr>
                <w:rFonts w:cs="Arial"/>
                <w:b/>
                <w:sz w:val="20"/>
                <w:szCs w:val="20"/>
              </w:rPr>
              <w:t>Criteria</w:t>
            </w:r>
          </w:p>
        </w:tc>
        <w:tc>
          <w:tcPr>
            <w:tcW w:w="1701" w:type="dxa"/>
            <w:vAlign w:val="center"/>
          </w:tcPr>
          <w:p w14:paraId="116C116F" w14:textId="77777777" w:rsidR="00E946A5" w:rsidRDefault="00E946A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E58E69" w14:textId="77777777" w:rsidR="00E946A5" w:rsidRDefault="00E946A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6955019" w14:textId="77777777" w:rsidR="00E946A5" w:rsidRDefault="00E946A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92EB5F5" w14:textId="77777777" w:rsidR="00E946A5" w:rsidRDefault="00E946A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00760FA" w14:textId="77777777" w:rsidR="00E946A5" w:rsidRDefault="00E946A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EB7D561" w14:textId="77777777" w:rsidR="00E946A5" w:rsidRDefault="00E946A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D81DDC6" w14:textId="77777777" w:rsidR="00E946A5" w:rsidRDefault="00E946A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25F8BB" w14:textId="77777777" w:rsidR="00E946A5" w:rsidRDefault="00E946A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C3E4E5" w14:textId="77777777" w:rsidR="00E946A5" w:rsidRDefault="00E946A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722B0C" w14:paraId="1B6E405D" w14:textId="77777777">
        <w:tc>
          <w:tcPr>
            <w:tcW w:w="0" w:type="auto"/>
          </w:tcPr>
          <w:p w14:paraId="2F30D931" w14:textId="77777777" w:rsidR="00E946A5" w:rsidRPr="00BE00C7" w:rsidRDefault="00E946A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0908E4" w14:textId="77777777" w:rsidR="00E946A5" w:rsidRPr="00BE00C7" w:rsidRDefault="00E946A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A6CF5E" w14:textId="77777777" w:rsidR="00E946A5" w:rsidRPr="00BE00C7" w:rsidRDefault="00E946A5" w:rsidP="00BE00C7">
            <w:pPr>
              <w:pStyle w:val="OutcomeDescription"/>
              <w:spacing w:before="120" w:after="120"/>
              <w:rPr>
                <w:rFonts w:cs="Arial"/>
                <w:b/>
                <w:lang w:eastAsia="en-NZ"/>
              </w:rPr>
            </w:pPr>
            <w:r w:rsidRPr="00BE00C7">
              <w:rPr>
                <w:rFonts w:cs="Arial"/>
                <w:b/>
                <w:lang w:eastAsia="en-NZ"/>
              </w:rPr>
              <w:t>Audit Evidence</w:t>
            </w:r>
          </w:p>
        </w:tc>
      </w:tr>
      <w:tr w:rsidR="00722B0C" w14:paraId="62AAF8EF" w14:textId="77777777">
        <w:tc>
          <w:tcPr>
            <w:tcW w:w="0" w:type="auto"/>
          </w:tcPr>
          <w:p w14:paraId="6FA7F098"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1.1: Pae ora healthy futures</w:t>
            </w:r>
          </w:p>
          <w:p w14:paraId="18C5FBFF" w14:textId="77777777" w:rsidR="00E946A5" w:rsidRPr="00BE00C7" w:rsidRDefault="00E946A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E611404" w14:textId="77777777" w:rsidR="00E946A5" w:rsidRPr="00BE00C7" w:rsidRDefault="00E946A5" w:rsidP="00BE00C7">
            <w:pPr>
              <w:pStyle w:val="OutcomeDescription"/>
              <w:spacing w:before="120" w:after="120"/>
              <w:rPr>
                <w:rFonts w:cs="Arial"/>
                <w:lang w:eastAsia="en-NZ"/>
              </w:rPr>
            </w:pPr>
          </w:p>
        </w:tc>
        <w:tc>
          <w:tcPr>
            <w:tcW w:w="0" w:type="auto"/>
          </w:tcPr>
          <w:p w14:paraId="6D49C800"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428A8D3A" w14:textId="77777777" w:rsidR="00E946A5" w:rsidRPr="00BE00C7" w:rsidRDefault="00E946A5" w:rsidP="00BE00C7">
            <w:pPr>
              <w:pStyle w:val="OutcomeDescription"/>
              <w:spacing w:before="120" w:after="120"/>
              <w:rPr>
                <w:rFonts w:cs="Arial"/>
                <w:lang w:eastAsia="en-NZ"/>
              </w:rPr>
            </w:pPr>
            <w:r w:rsidRPr="00BE00C7">
              <w:rPr>
                <w:rFonts w:cs="Arial"/>
                <w:lang w:eastAsia="en-NZ"/>
              </w:rPr>
              <w:t>A Māori health plan is documented for the organisation, which Oakwoods Retirement Village utilise as part of their strategy to embed and enact Te Tiriti o Waitangi in all aspects of service delivery. At time of audit there were no residents who identified as Māori. Staff are employed that identify as Māori. Review of documentation and discussion with staff confirmed how they ensure services are delivered in a culturally supportive manner, and how any future Māori residents will be supported within the envir</w:t>
            </w:r>
            <w:r w:rsidRPr="00BE00C7">
              <w:rPr>
                <w:rFonts w:cs="Arial"/>
                <w:lang w:eastAsia="en-NZ"/>
              </w:rPr>
              <w:t>onment.</w:t>
            </w:r>
          </w:p>
          <w:p w14:paraId="5858D332" w14:textId="77777777" w:rsidR="00E946A5" w:rsidRPr="00BE00C7" w:rsidRDefault="00E946A5" w:rsidP="00BE00C7">
            <w:pPr>
              <w:pStyle w:val="OutcomeDescription"/>
              <w:spacing w:before="120" w:after="120"/>
              <w:rPr>
                <w:rFonts w:cs="Arial"/>
                <w:lang w:eastAsia="en-NZ"/>
              </w:rPr>
            </w:pPr>
          </w:p>
        </w:tc>
      </w:tr>
      <w:tr w:rsidR="00722B0C" w14:paraId="237F00FF" w14:textId="77777777">
        <w:tc>
          <w:tcPr>
            <w:tcW w:w="0" w:type="auto"/>
          </w:tcPr>
          <w:p w14:paraId="541CC582"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ED20083"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6A9E33" w14:textId="77777777" w:rsidR="00E946A5" w:rsidRPr="00BE00C7" w:rsidRDefault="00E946A5" w:rsidP="00BE00C7">
            <w:pPr>
              <w:pStyle w:val="OutcomeDescription"/>
              <w:spacing w:before="120" w:after="120"/>
              <w:rPr>
                <w:rFonts w:cs="Arial"/>
                <w:lang w:eastAsia="en-NZ"/>
              </w:rPr>
            </w:pPr>
          </w:p>
        </w:tc>
        <w:tc>
          <w:tcPr>
            <w:tcW w:w="0" w:type="auto"/>
          </w:tcPr>
          <w:p w14:paraId="5A43C0B3"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447960" w14:textId="77777777" w:rsidR="00E946A5" w:rsidRPr="00BE00C7" w:rsidRDefault="00E946A5" w:rsidP="00BE00C7">
            <w:pPr>
              <w:pStyle w:val="OutcomeDescription"/>
              <w:spacing w:before="120" w:after="120"/>
              <w:rPr>
                <w:rFonts w:cs="Arial"/>
                <w:lang w:eastAsia="en-NZ"/>
              </w:rPr>
            </w:pPr>
            <w:r w:rsidRPr="00BE00C7">
              <w:rPr>
                <w:rFonts w:cs="Arial"/>
                <w:lang w:eastAsia="en-NZ"/>
              </w:rPr>
              <w:t>Oakwoods Retirement Village uses a model of care that reflects the values and beliefs which underpin the health service provision to Pacific people. At time of audit there were residents residing in the facility who identified as Pasifika. Staff who identified as Pasifika were employed at time of audit. Staff confirmed an awareness of and understanding of Pacific culture, values, beliefs and were knowledgeable about how to access community support for Pacific individuals when required.</w:t>
            </w:r>
          </w:p>
          <w:p w14:paraId="01F15CBA" w14:textId="77777777" w:rsidR="00E946A5" w:rsidRPr="00BE00C7" w:rsidRDefault="00E946A5" w:rsidP="00BE00C7">
            <w:pPr>
              <w:pStyle w:val="OutcomeDescription"/>
              <w:spacing w:before="120" w:after="120"/>
              <w:rPr>
                <w:rFonts w:cs="Arial"/>
                <w:lang w:eastAsia="en-NZ"/>
              </w:rPr>
            </w:pPr>
          </w:p>
        </w:tc>
      </w:tr>
      <w:tr w:rsidR="00722B0C" w14:paraId="584999AB" w14:textId="77777777">
        <w:tc>
          <w:tcPr>
            <w:tcW w:w="0" w:type="auto"/>
          </w:tcPr>
          <w:p w14:paraId="5A55FDAB"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1.3: My rights during service delivery</w:t>
            </w:r>
          </w:p>
          <w:p w14:paraId="2FF18175"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003467" w14:textId="77777777" w:rsidR="00E946A5" w:rsidRPr="00BE00C7" w:rsidRDefault="00E946A5" w:rsidP="00BE00C7">
            <w:pPr>
              <w:pStyle w:val="OutcomeDescription"/>
              <w:spacing w:before="120" w:after="120"/>
              <w:rPr>
                <w:rFonts w:cs="Arial"/>
                <w:lang w:eastAsia="en-NZ"/>
              </w:rPr>
            </w:pPr>
          </w:p>
        </w:tc>
        <w:tc>
          <w:tcPr>
            <w:tcW w:w="0" w:type="auto"/>
          </w:tcPr>
          <w:p w14:paraId="25E73786"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3249DCEF" w14:textId="77777777" w:rsidR="00E946A5" w:rsidRPr="00BE00C7" w:rsidRDefault="00E946A5"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(the village manager, clinical manager, six wellness partners, three registered nurses (including the clinical coordinator and infection prevention coordinator), one food services manager, one property ma</w:t>
            </w:r>
            <w:r w:rsidRPr="00BE00C7">
              <w:rPr>
                <w:rFonts w:cs="Arial"/>
                <w:lang w:eastAsia="en-NZ"/>
              </w:rPr>
              <w:t>nager, and the senior administrator) understood their responsibilities in relation to the Code. The residents interviewed (three rest home), were aware of their rights and confirmed that staff upheld these.</w:t>
            </w:r>
          </w:p>
          <w:p w14:paraId="56AD7AB7" w14:textId="77777777" w:rsidR="00E946A5" w:rsidRPr="00BE00C7" w:rsidRDefault="00E946A5" w:rsidP="00BE00C7">
            <w:pPr>
              <w:pStyle w:val="OutcomeDescription"/>
              <w:spacing w:before="120" w:after="120"/>
              <w:rPr>
                <w:rFonts w:cs="Arial"/>
                <w:lang w:eastAsia="en-NZ"/>
              </w:rPr>
            </w:pPr>
          </w:p>
        </w:tc>
      </w:tr>
      <w:tr w:rsidR="00722B0C" w14:paraId="66ADC327" w14:textId="77777777">
        <w:tc>
          <w:tcPr>
            <w:tcW w:w="0" w:type="auto"/>
          </w:tcPr>
          <w:p w14:paraId="1A991123"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1.5: I am protected from abuse</w:t>
            </w:r>
          </w:p>
          <w:p w14:paraId="7D332149"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90E8DA" w14:textId="77777777" w:rsidR="00E946A5" w:rsidRPr="00BE00C7" w:rsidRDefault="00E946A5" w:rsidP="00BE00C7">
            <w:pPr>
              <w:pStyle w:val="OutcomeDescription"/>
              <w:spacing w:before="120" w:after="120"/>
              <w:rPr>
                <w:rFonts w:cs="Arial"/>
                <w:lang w:eastAsia="en-NZ"/>
              </w:rPr>
            </w:pPr>
          </w:p>
        </w:tc>
        <w:tc>
          <w:tcPr>
            <w:tcW w:w="0" w:type="auto"/>
          </w:tcPr>
          <w:p w14:paraId="2B41CC70"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164CA4FB" w14:textId="77777777" w:rsidR="00E946A5" w:rsidRPr="00BE00C7" w:rsidRDefault="00E946A5" w:rsidP="00BE00C7">
            <w:pPr>
              <w:pStyle w:val="OutcomeDescription"/>
              <w:spacing w:before="120" w:after="120"/>
              <w:rPr>
                <w:rFonts w:cs="Arial"/>
                <w:lang w:eastAsia="en-NZ"/>
              </w:rPr>
            </w:pPr>
            <w:r w:rsidRPr="00BE00C7">
              <w:rPr>
                <w:rFonts w:cs="Arial"/>
                <w:lang w:eastAsia="en-NZ"/>
              </w:rPr>
              <w:t>Oakwoods Retirement Village policies guide staff to prevent any form of discrimination, harassment, or any other exploitation. There are established policies, and protocols to respect resident’s property, including an established process to manage residents’ finances (electronic), as confirmed by an administrator. All staff are trained in and are aware of professional boundaries, as evidenced in orientation documents and ongoing education records. Staff demonstrated an understanding of professional boundari</w:t>
            </w:r>
            <w:r w:rsidRPr="00BE00C7">
              <w:rPr>
                <w:rFonts w:cs="Arial"/>
                <w:lang w:eastAsia="en-NZ"/>
              </w:rPr>
              <w:t>es when interviewed.</w:t>
            </w:r>
          </w:p>
          <w:p w14:paraId="1561DED1" w14:textId="77777777" w:rsidR="00E946A5" w:rsidRPr="00BE00C7" w:rsidRDefault="00E946A5" w:rsidP="00BE00C7">
            <w:pPr>
              <w:pStyle w:val="OutcomeDescription"/>
              <w:spacing w:before="120" w:after="120"/>
              <w:rPr>
                <w:rFonts w:cs="Arial"/>
                <w:lang w:eastAsia="en-NZ"/>
              </w:rPr>
            </w:pPr>
          </w:p>
        </w:tc>
      </w:tr>
      <w:tr w:rsidR="00722B0C" w14:paraId="02FD267C" w14:textId="77777777">
        <w:tc>
          <w:tcPr>
            <w:tcW w:w="0" w:type="auto"/>
          </w:tcPr>
          <w:p w14:paraId="33249718"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1.7: I am informed and able to make choices</w:t>
            </w:r>
          </w:p>
          <w:p w14:paraId="1DC54B16"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34DE5CE4" w14:textId="77777777" w:rsidR="00E946A5" w:rsidRPr="00BE00C7" w:rsidRDefault="00E946A5" w:rsidP="00BE00C7">
            <w:pPr>
              <w:pStyle w:val="OutcomeDescription"/>
              <w:spacing w:before="120" w:after="120"/>
              <w:rPr>
                <w:rFonts w:cs="Arial"/>
                <w:lang w:eastAsia="en-NZ"/>
              </w:rPr>
            </w:pPr>
          </w:p>
        </w:tc>
        <w:tc>
          <w:tcPr>
            <w:tcW w:w="0" w:type="auto"/>
          </w:tcPr>
          <w:p w14:paraId="519E5EC2"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A620B4"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general consent forms and consents for influenza vaccinations. Consent forms were appropriately signed by the activated enduring power of attorney (EPOA) where this has been activated. All documentation regarding EPO</w:t>
            </w:r>
            <w:r w:rsidRPr="00BE00C7">
              <w:rPr>
                <w:rFonts w:cs="Arial"/>
                <w:lang w:eastAsia="en-NZ"/>
              </w:rPr>
              <w:t>A and activation is on file. Interviews with resident’s family/whānau confirmed their choices regarding decisions and their wellbeing is respected.</w:t>
            </w:r>
          </w:p>
          <w:p w14:paraId="57416644" w14:textId="77777777" w:rsidR="00E946A5" w:rsidRPr="00BE00C7" w:rsidRDefault="00E946A5" w:rsidP="00BE00C7">
            <w:pPr>
              <w:pStyle w:val="OutcomeDescription"/>
              <w:spacing w:before="120" w:after="120"/>
              <w:rPr>
                <w:rFonts w:cs="Arial"/>
                <w:lang w:eastAsia="en-NZ"/>
              </w:rPr>
            </w:pPr>
          </w:p>
        </w:tc>
      </w:tr>
      <w:tr w:rsidR="00722B0C" w14:paraId="7B13E6C6" w14:textId="77777777">
        <w:tc>
          <w:tcPr>
            <w:tcW w:w="0" w:type="auto"/>
          </w:tcPr>
          <w:p w14:paraId="44BA061D"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1.8: I have the right to complain</w:t>
            </w:r>
          </w:p>
          <w:p w14:paraId="2F8960AD"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44EAB08" w14:textId="77777777" w:rsidR="00E946A5" w:rsidRPr="00BE00C7" w:rsidRDefault="00E946A5" w:rsidP="00BE00C7">
            <w:pPr>
              <w:pStyle w:val="OutcomeDescription"/>
              <w:spacing w:before="120" w:after="120"/>
              <w:rPr>
                <w:rFonts w:cs="Arial"/>
                <w:lang w:eastAsia="en-NZ"/>
              </w:rPr>
            </w:pPr>
          </w:p>
        </w:tc>
        <w:tc>
          <w:tcPr>
            <w:tcW w:w="0" w:type="auto"/>
          </w:tcPr>
          <w:p w14:paraId="1904381C"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51E95AB8" w14:textId="77777777" w:rsidR="00E946A5" w:rsidRPr="00BE00C7" w:rsidRDefault="00E946A5" w:rsidP="00BE00C7">
            <w:pPr>
              <w:pStyle w:val="OutcomeDescription"/>
              <w:spacing w:before="120" w:after="120"/>
              <w:rPr>
                <w:rFonts w:cs="Arial"/>
                <w:lang w:eastAsia="en-NZ"/>
              </w:rPr>
            </w:pPr>
            <w:r w:rsidRPr="00BE00C7">
              <w:rPr>
                <w:rFonts w:cs="Arial"/>
                <w:lang w:eastAsia="en-NZ"/>
              </w:rPr>
              <w:t>The service had a complaints policy/procedure in place that was available to staff, residents, family/whānau and visitors. The complaints policy provided information related to complaints information, processes and timeframes required to identify, manage and respectfully respond to complaints in keeping with right 10 of Code. There had been 13 internal complaints since the previous audit. All internal complaints had been addressed following policy and procedure and were closed. There has been one external c</w:t>
            </w:r>
            <w:r w:rsidRPr="00BE00C7">
              <w:rPr>
                <w:rFonts w:cs="Arial"/>
                <w:lang w:eastAsia="en-NZ"/>
              </w:rPr>
              <w:t xml:space="preserve">omplaint which was lodged with Health and Disability Commissioner (HDC) in 2022. The provider has supplied all the information requested regarding the HDC complaint, but at time of audit, the HDC were yet to advise the provider of the outcome. </w:t>
            </w:r>
          </w:p>
          <w:p w14:paraId="004A28CD" w14:textId="77777777" w:rsidR="00E946A5" w:rsidRPr="00BE00C7" w:rsidRDefault="00E946A5" w:rsidP="00BE00C7">
            <w:pPr>
              <w:pStyle w:val="OutcomeDescription"/>
              <w:spacing w:before="120" w:after="120"/>
              <w:rPr>
                <w:rFonts w:cs="Arial"/>
                <w:lang w:eastAsia="en-NZ"/>
              </w:rPr>
            </w:pPr>
            <w:r w:rsidRPr="00BE00C7">
              <w:rPr>
                <w:rFonts w:cs="Arial"/>
                <w:lang w:eastAsia="en-NZ"/>
              </w:rPr>
              <w:t>Solid processes are well entrenched and all staff cognisant of the importance of following up on and escalating any concerns or negative feedback received. Residents and family/whānau (three rest home level) interviewed confirmed the facility takes a reactive response to any issues raised and their response was swift. Complaint forms are located at the entrance and in visible places throughout the facility, or on request from staff. Residents or relatives making a complaint can involve an independent suppor</w:t>
            </w:r>
            <w:r w:rsidRPr="00BE00C7">
              <w:rPr>
                <w:rFonts w:cs="Arial"/>
                <w:lang w:eastAsia="en-NZ"/>
              </w:rPr>
              <w:t>t person in the process if they choose. The complaints process is linked to advocacy services.</w:t>
            </w:r>
          </w:p>
          <w:p w14:paraId="380BFFCA" w14:textId="77777777" w:rsidR="00E946A5" w:rsidRPr="00BE00C7" w:rsidRDefault="00E946A5" w:rsidP="00BE00C7">
            <w:pPr>
              <w:pStyle w:val="OutcomeDescription"/>
              <w:spacing w:before="120" w:after="120"/>
              <w:rPr>
                <w:rFonts w:cs="Arial"/>
                <w:lang w:eastAsia="en-NZ"/>
              </w:rPr>
            </w:pPr>
            <w:r w:rsidRPr="00BE00C7">
              <w:rPr>
                <w:rFonts w:cs="Arial"/>
                <w:lang w:eastAsia="en-NZ"/>
              </w:rPr>
              <w:t>The Code of Health and Disability Services Consumers’ Rights and complaints process is visible, and available in te reo Māori and English. Information about the support resources for Māori is available to staff to assist Māori in the complaints process. Interpreters contact details are available. The village manager acknowledged their understanding that for Māori, there is preference for face-to-face communication and to include whānau.</w:t>
            </w:r>
          </w:p>
          <w:p w14:paraId="3F60AE84" w14:textId="77777777" w:rsidR="00E946A5" w:rsidRPr="00BE00C7" w:rsidRDefault="00E946A5" w:rsidP="00BE00C7">
            <w:pPr>
              <w:pStyle w:val="OutcomeDescription"/>
              <w:spacing w:before="120" w:after="120"/>
              <w:rPr>
                <w:rFonts w:cs="Arial"/>
                <w:lang w:eastAsia="en-NZ"/>
              </w:rPr>
            </w:pPr>
          </w:p>
        </w:tc>
      </w:tr>
      <w:tr w:rsidR="00722B0C" w14:paraId="3BFBD2EC" w14:textId="77777777">
        <w:tc>
          <w:tcPr>
            <w:tcW w:w="0" w:type="auto"/>
          </w:tcPr>
          <w:p w14:paraId="45893E8E"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2.1: Governance</w:t>
            </w:r>
          </w:p>
          <w:p w14:paraId="3D31948B"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w:t>
            </w:r>
            <w:r w:rsidRPr="00BE00C7">
              <w:rPr>
                <w:rFonts w:cs="Arial"/>
                <w:lang w:eastAsia="en-NZ"/>
              </w:rPr>
              <w:lastRenderedPageBreak/>
              <w:t>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1C72DC" w14:textId="77777777" w:rsidR="00E946A5" w:rsidRPr="00BE00C7" w:rsidRDefault="00E946A5" w:rsidP="00BE00C7">
            <w:pPr>
              <w:pStyle w:val="OutcomeDescription"/>
              <w:spacing w:before="120" w:after="120"/>
              <w:rPr>
                <w:rFonts w:cs="Arial"/>
                <w:lang w:eastAsia="en-NZ"/>
              </w:rPr>
            </w:pPr>
          </w:p>
        </w:tc>
        <w:tc>
          <w:tcPr>
            <w:tcW w:w="0" w:type="auto"/>
          </w:tcPr>
          <w:p w14:paraId="086F3E03"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AAB5A2"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Oakwoods Retirement Village is part of the Arvida Group. The service is certified to provide rest home, and hospital (medical and geriatric) level care for up to 48 residents in the care facility (dual purpose beds), and 43 apartments that are certified for rest home level of care. At the time of audit there were 45 residents. There were 27 rest home residents (including one </w:t>
            </w:r>
            <w:r w:rsidRPr="00BE00C7">
              <w:rPr>
                <w:rFonts w:cs="Arial"/>
                <w:lang w:eastAsia="en-NZ"/>
              </w:rPr>
              <w:lastRenderedPageBreak/>
              <w:t>receiving respite care in the care centre, and one resident residing in the serviced apartments), and 18 hospital level residents (including one receiving accident compensation corporation (ACC) funding and one receiving respite care). The remaining residents were on the age-related residential care ARRC contract. There are no double rooms within the facility.</w:t>
            </w:r>
          </w:p>
          <w:p w14:paraId="6606D8B2"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are several governance bodies within the Arvida Group. The Arvida Group Limited Board of Directors consist of five professionals, each bringing their own skills and expertise. This group provides strategic guidance and oversight for the executive team. The Arvida executive team comprises of ten experienced executives who oversee the implementation of the business strategy and day to day management of the Arvida Group business. Confirmation of the company’s compliance with legislative, contractual, and</w:t>
            </w:r>
            <w:r w:rsidRPr="00BE00C7">
              <w:rPr>
                <w:rFonts w:cs="Arial"/>
                <w:lang w:eastAsia="en-NZ"/>
              </w:rPr>
              <w:t xml:space="preserve"> regulatory requirements was provided. The organisation’s vision and values are posted in visible locations throughout the facility and are reviewed annually. The directors receive progress updates on various topics, including staff and resident incidents, human resource matters, and escalated complaints. The current business plan reflects links with Māori, aligns with the Ministry of Health strategies, and addresses barriers to equitable service delivery. </w:t>
            </w:r>
          </w:p>
          <w:p w14:paraId="2FB4247E"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 service has identified external and internal risks and opportunities that include addressing possible inequities, and how these inequities plan to be addressed. Goals are regularly reviewed, with evidence of sign off when met. </w:t>
            </w:r>
          </w:p>
          <w:p w14:paraId="2CE8CAF8" w14:textId="77777777" w:rsidR="00E946A5" w:rsidRPr="00BE00C7" w:rsidRDefault="00E946A5" w:rsidP="00BE00C7">
            <w:pPr>
              <w:pStyle w:val="OutcomeDescription"/>
              <w:spacing w:before="120" w:after="120"/>
              <w:rPr>
                <w:rFonts w:cs="Arial"/>
                <w:lang w:eastAsia="en-NZ"/>
              </w:rPr>
            </w:pPr>
            <w:r w:rsidRPr="00BE00C7">
              <w:rPr>
                <w:rFonts w:cs="Arial"/>
                <w:lang w:eastAsia="en-NZ"/>
              </w:rPr>
              <w:t>Clinical governance structure was developed in 2023 and was approved by the Board. The group includes resident representatives, “touchpoints” across different areas of expertise, and clear links to Māori, clinical governance groups, and the clinical indicator steering groups. Clinical governance at Oakwoods Retirement Village is led by the clinical manager. There are weekly updates given at handover and these talks focus on current clinical focus areas, and the implementation of core values within the servi</w:t>
            </w:r>
            <w:r w:rsidRPr="00BE00C7">
              <w:rPr>
                <w:rFonts w:cs="Arial"/>
                <w:lang w:eastAsia="en-NZ"/>
              </w:rPr>
              <w:t>ce. Monthly reports to the directors reflect evidence of communicating quality and risk activities.</w:t>
            </w:r>
          </w:p>
          <w:p w14:paraId="79BF53B9" w14:textId="77777777" w:rsidR="00E946A5" w:rsidRPr="00BE00C7" w:rsidRDefault="00E946A5" w:rsidP="00BE00C7">
            <w:pPr>
              <w:pStyle w:val="OutcomeDescription"/>
              <w:spacing w:before="120" w:after="120"/>
              <w:rPr>
                <w:rFonts w:cs="Arial"/>
                <w:lang w:eastAsia="en-NZ"/>
              </w:rPr>
            </w:pPr>
          </w:p>
        </w:tc>
      </w:tr>
      <w:tr w:rsidR="00722B0C" w14:paraId="58EEA96C" w14:textId="77777777">
        <w:tc>
          <w:tcPr>
            <w:tcW w:w="0" w:type="auto"/>
          </w:tcPr>
          <w:p w14:paraId="46D7852B"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1CAFDE"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lastRenderedPageBreak/>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893AB0B" w14:textId="77777777" w:rsidR="00E946A5" w:rsidRPr="00BE00C7" w:rsidRDefault="00E946A5" w:rsidP="00BE00C7">
            <w:pPr>
              <w:pStyle w:val="OutcomeDescription"/>
              <w:spacing w:before="120" w:after="120"/>
              <w:rPr>
                <w:rFonts w:cs="Arial"/>
                <w:lang w:eastAsia="en-NZ"/>
              </w:rPr>
            </w:pPr>
          </w:p>
        </w:tc>
        <w:tc>
          <w:tcPr>
            <w:tcW w:w="0" w:type="auto"/>
          </w:tcPr>
          <w:p w14:paraId="6415A534"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6F9E6C"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Oakwoods Retirement Village is implementing the organisational quality and risk management programme. The quality and risk management systems include performance monitoring through internal audits and through collection </w:t>
            </w:r>
            <w:r w:rsidRPr="00BE00C7">
              <w:rPr>
                <w:rFonts w:cs="Arial"/>
                <w:lang w:eastAsia="en-NZ"/>
              </w:rPr>
              <w:lastRenderedPageBreak/>
              <w:t>of clinical indicator data. The village manager, clinical manager and clinical coordinator lead and implement the quality programme. The programme involves all staff, with every staff member expected to be active in implementing a quality approach when at work, and participating in the quality programme.</w:t>
            </w:r>
          </w:p>
          <w:p w14:paraId="2E1D699B" w14:textId="77777777" w:rsidR="00E946A5" w:rsidRPr="00BE00C7" w:rsidRDefault="00E946A5" w:rsidP="00BE00C7">
            <w:pPr>
              <w:pStyle w:val="OutcomeDescription"/>
              <w:spacing w:before="120" w:after="120"/>
              <w:rPr>
                <w:rFonts w:cs="Arial"/>
                <w:lang w:eastAsia="en-NZ"/>
              </w:rPr>
            </w:pPr>
            <w:r w:rsidRPr="00BE00C7">
              <w:rPr>
                <w:rFonts w:cs="Arial"/>
                <w:lang w:eastAsia="en-NZ"/>
              </w:rPr>
              <w:t>The service is implementing the organisation’s internal audit programme that includes all aspects of clinical care. Relevant corrective actions are developed and implemented to address any short falls. Progress against quality outcomes is evaluated. Reports are completed for each incident or accident, with immediate action noted and any follow up action(s) required, evidenced in four accident/incident forms reviewed (behaviour, unwitnessed falls, and skin tears).</w:t>
            </w:r>
          </w:p>
          <w:p w14:paraId="39692704" w14:textId="77777777" w:rsidR="00E946A5" w:rsidRPr="00BE00C7" w:rsidRDefault="00E946A5" w:rsidP="00BE00C7">
            <w:pPr>
              <w:pStyle w:val="OutcomeDescription"/>
              <w:spacing w:before="120" w:after="120"/>
              <w:rPr>
                <w:rFonts w:cs="Arial"/>
                <w:lang w:eastAsia="en-NZ"/>
              </w:rPr>
            </w:pPr>
            <w:r w:rsidRPr="00BE00C7">
              <w:rPr>
                <w:rFonts w:cs="Arial"/>
                <w:lang w:eastAsia="en-NZ"/>
              </w:rPr>
              <w:t>Each event involving a resident reflected a clinical assessment and follow up by a registered nurse. Opportunities to minimise future risks are identified by the clinical coordinator and clinical manager. Relatives are informed following incidents. The clinical coordinator collates all the data and completes a monthly and annual analysis of results which is provided to staff. Results are discussed in staff meetings, with meeting minutes displayed on staff noticeboards.</w:t>
            </w:r>
          </w:p>
          <w:p w14:paraId="120A97C7" w14:textId="77777777" w:rsidR="00E946A5" w:rsidRPr="00BE00C7" w:rsidRDefault="00E946A5" w:rsidP="00BE00C7">
            <w:pPr>
              <w:pStyle w:val="OutcomeDescription"/>
              <w:spacing w:before="120" w:after="120"/>
              <w:rPr>
                <w:rFonts w:cs="Arial"/>
                <w:lang w:eastAsia="en-NZ"/>
              </w:rPr>
            </w:pPr>
            <w:r w:rsidRPr="00BE00C7">
              <w:rPr>
                <w:rFonts w:cs="Arial"/>
                <w:lang w:eastAsia="en-NZ"/>
              </w:rPr>
              <w:t>Monthly staff, and clinical/quality meetings provide an avenue for discussions in relation to quality data; health and safety; infection prevention; benchmarking, complaints received; staff; and education. Discussion with the clinical coordinator and review of documentation evidenced that the provider uses the plan, do, study, act (PDSA) framework to guide staff to implement and evaluate improvements made to service delivery. The outcomes of which are shared within the appropriate staff meeting. Meeting min</w:t>
            </w:r>
            <w:r w:rsidRPr="00BE00C7">
              <w:rPr>
                <w:rFonts w:cs="Arial"/>
                <w:lang w:eastAsia="en-NZ"/>
              </w:rPr>
              <w:t>utes sighted evidenced that meetings are occurring as scheduled. Resident family/whānau meetings are occurring as per schedule, with resident’s family/whānau interviewed stating they find the meetings helpful to find out what is happening within the home, and have an opportunity to give feedback. The last resident and family/whānau satisfaction survey results were completed in February (2026). The results are due to be shared with the team shortly. The village manager confirmed the 2025 survey results evide</w:t>
            </w:r>
            <w:r w:rsidRPr="00BE00C7">
              <w:rPr>
                <w:rFonts w:cs="Arial"/>
                <w:lang w:eastAsia="en-NZ"/>
              </w:rPr>
              <w:t xml:space="preserve">nced high satisfaction with all key areas of service delivery. Where results were less than optimal, a corrective action plan was implemented and the issue addressed. </w:t>
            </w:r>
          </w:p>
          <w:p w14:paraId="3B6D602B"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w:t>
            </w:r>
            <w:r w:rsidRPr="00BE00C7">
              <w:rPr>
                <w:rFonts w:cs="Arial"/>
                <w:lang w:eastAsia="en-NZ"/>
              </w:rPr>
              <w:lastRenderedPageBreak/>
              <w:t xml:space="preserve">completed, and up-to-date register was reviewed. Health and safety is discussed at staff meetings. Staff have completed training related to health and safety. Staff are kept informed on health and safety issues through the handover process and staff meetings. Discussion with the village manager evidenced their awareness of their requirement to notify relevant authorities in relation to essential notifications. A S31 notification was completed when the clinical nurse manager commenced their role in November </w:t>
            </w:r>
            <w:r w:rsidRPr="00BE00C7">
              <w:rPr>
                <w:rFonts w:cs="Arial"/>
                <w:lang w:eastAsia="en-NZ"/>
              </w:rPr>
              <w:t xml:space="preserve">2025. Additional S31 notifications have been completed for resident events, and the nationwide electronic medication management system outage. The provider implements the Severity Assessment Code (SAC) rating and triage tool to assess the severity of adverse events, determine the requested reporting levels, and guide review processes. There is an outstanding coroner’s enquiry at time of audit. Oakwoods Retirement Village has provided all information requested and are awaiting the outcome. </w:t>
            </w:r>
          </w:p>
          <w:p w14:paraId="6E0F3845" w14:textId="77777777" w:rsidR="00E946A5" w:rsidRPr="00BE00C7" w:rsidRDefault="00E946A5" w:rsidP="00BE00C7">
            <w:pPr>
              <w:pStyle w:val="OutcomeDescription"/>
              <w:spacing w:before="120" w:after="120"/>
              <w:rPr>
                <w:rFonts w:cs="Arial"/>
                <w:lang w:eastAsia="en-NZ"/>
              </w:rPr>
            </w:pPr>
          </w:p>
        </w:tc>
      </w:tr>
      <w:tr w:rsidR="00722B0C" w14:paraId="56D67A15" w14:textId="77777777">
        <w:tc>
          <w:tcPr>
            <w:tcW w:w="0" w:type="auto"/>
          </w:tcPr>
          <w:p w14:paraId="56E685E6"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4ABB772"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AA98A06" w14:textId="77777777" w:rsidR="00E946A5" w:rsidRPr="00BE00C7" w:rsidRDefault="00E946A5" w:rsidP="00BE00C7">
            <w:pPr>
              <w:pStyle w:val="OutcomeDescription"/>
              <w:spacing w:before="120" w:after="120"/>
              <w:rPr>
                <w:rFonts w:cs="Arial"/>
                <w:lang w:eastAsia="en-NZ"/>
              </w:rPr>
            </w:pPr>
          </w:p>
        </w:tc>
        <w:tc>
          <w:tcPr>
            <w:tcW w:w="0" w:type="auto"/>
          </w:tcPr>
          <w:p w14:paraId="4520DA73"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1869588E" w14:textId="77777777" w:rsidR="00E946A5" w:rsidRPr="00BE00C7" w:rsidRDefault="00E946A5"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village manager works full time Monday to Friday. They take overall responsibility for the facility 24/7. After-hours support is shared with the senior administrator. The clinical manager works full time Monday to Friday. They provide after hours on-call clinical support in tandem with the clinical coordinator. Senior wellness p</w:t>
            </w:r>
            <w:r w:rsidRPr="00BE00C7">
              <w:rPr>
                <w:rFonts w:cs="Arial"/>
                <w:lang w:eastAsia="en-NZ"/>
              </w:rPr>
              <w:t>artners are spread over the morning, afternoon and night shifts. Separate cleaning and laundry staff are rostered. Staff on duty on the days of the audit were visible and were attending to call bells in a timely manner, as confirmed by all residents and family/whānau interviewed. Staff interviewed stated that the staffing levels are adequate for the resident needs, and that the management team are very supportive. The organisation has recently completed a “Blueprint” review of staffing, with the aim to ensu</w:t>
            </w:r>
            <w:r w:rsidRPr="00BE00C7">
              <w:rPr>
                <w:rFonts w:cs="Arial"/>
                <w:lang w:eastAsia="en-NZ"/>
              </w:rPr>
              <w:t>re a consistent staffing model is in operation across all facilities. Staff interviewed stated that after an initial concern regarding what the outcome would be, they advised it was a well-managed process and believe the staffing structure is now more appropriate. Residents and family/whānau members interviewed reported that they believe that staff numbers were adequate.</w:t>
            </w:r>
          </w:p>
          <w:p w14:paraId="1C76ECD8"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2025 - 2026. The education programme exceeds eight hours annually. The education and training schedule lists compulsory training, which includes </w:t>
            </w:r>
            <w:r w:rsidRPr="00BE00C7">
              <w:rPr>
                <w:rFonts w:cs="Arial"/>
                <w:lang w:eastAsia="en-NZ"/>
              </w:rPr>
              <w:lastRenderedPageBreak/>
              <w:t>Code of Rights; informed consent; restraint; challenging behaviour; Pacific values; Māori health (values, beliefs, tapu, noa, and end of life); wound management; and medication management. There is an attendance register for each training session and an individual staff member record of training electronically. Educational courses offered include in-services, online, and competency questionnaires.</w:t>
            </w:r>
          </w:p>
          <w:p w14:paraId="1968E939" w14:textId="77777777" w:rsidR="00E946A5" w:rsidRPr="00BE00C7" w:rsidRDefault="00E946A5" w:rsidP="00BE00C7">
            <w:pPr>
              <w:pStyle w:val="OutcomeDescription"/>
              <w:spacing w:before="120" w:after="120"/>
              <w:rPr>
                <w:rFonts w:cs="Arial"/>
                <w:lang w:eastAsia="en-NZ"/>
              </w:rPr>
            </w:pPr>
            <w:r w:rsidRPr="00BE00C7">
              <w:rPr>
                <w:rFonts w:cs="Arial"/>
                <w:lang w:eastAsia="en-NZ"/>
              </w:rPr>
              <w:t>All wellness partners are encouraged to complete New Zealand Qualification Authority (NZQA) qualifications. Of the current wellness partners, 13 have achieved a level four NZQA qualification, 14 have achieved level three, and four have achieved level two. Twenty-three (23) wellness partners have current medication competency and work across the care centre and serviced apartments. The registered nurses are supported to maintain their professional competency. There are implemented competencies for registered</w:t>
            </w:r>
            <w:r w:rsidRPr="00BE00C7">
              <w:rPr>
                <w:rFonts w:cs="Arial"/>
                <w:lang w:eastAsia="en-NZ"/>
              </w:rPr>
              <w:t xml:space="preserve"> nurses related to specialised procedures and treatments medication, controlled drugs, restraint, and emergencies. Additional registered nurse specific competencies include an interRAI assessment competency. At the time of audit, there were eight registered nurses who have completed interRAI training, including the clinical manager. All but the most recently employed registered nurses have current competency with syringe driver management.</w:t>
            </w:r>
          </w:p>
          <w:p w14:paraId="68C7DF82" w14:textId="77777777" w:rsidR="00E946A5" w:rsidRPr="00BE00C7" w:rsidRDefault="00E946A5" w:rsidP="00BE00C7">
            <w:pPr>
              <w:pStyle w:val="OutcomeDescription"/>
              <w:spacing w:before="120" w:after="120"/>
              <w:rPr>
                <w:rFonts w:cs="Arial"/>
                <w:lang w:eastAsia="en-NZ"/>
              </w:rPr>
            </w:pPr>
          </w:p>
        </w:tc>
      </w:tr>
      <w:tr w:rsidR="00722B0C" w14:paraId="0A6DCCF9" w14:textId="77777777">
        <w:tc>
          <w:tcPr>
            <w:tcW w:w="0" w:type="auto"/>
          </w:tcPr>
          <w:p w14:paraId="7D165B21"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DB30995"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8837810" w14:textId="77777777" w:rsidR="00E946A5" w:rsidRPr="00BE00C7" w:rsidRDefault="00E946A5" w:rsidP="00BE00C7">
            <w:pPr>
              <w:pStyle w:val="OutcomeDescription"/>
              <w:spacing w:before="120" w:after="120"/>
              <w:rPr>
                <w:rFonts w:cs="Arial"/>
                <w:lang w:eastAsia="en-NZ"/>
              </w:rPr>
            </w:pPr>
          </w:p>
        </w:tc>
        <w:tc>
          <w:tcPr>
            <w:tcW w:w="0" w:type="auto"/>
          </w:tcPr>
          <w:p w14:paraId="26A1DCF9"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2AA70A29"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Six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Practising certificates and qualifications are validated prior to employment for all health professionals. Annual practising certificates are then monitored for compliance thereafter.  </w:t>
            </w:r>
          </w:p>
          <w:p w14:paraId="653D883B" w14:textId="77777777" w:rsidR="00E946A5" w:rsidRPr="00BE00C7" w:rsidRDefault="00E946A5"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wellness partners to provide a culturally safe environment to Māori. Staff interviewed confirmed the orientation programme was adequate to familiarise themselves with their role, the service, and the org</w:t>
            </w:r>
            <w:r w:rsidRPr="00BE00C7">
              <w:rPr>
                <w:rFonts w:cs="Arial"/>
                <w:lang w:eastAsia="en-NZ"/>
              </w:rPr>
              <w:t>anisation.</w:t>
            </w:r>
          </w:p>
          <w:p w14:paraId="04A02843"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Review of staff records, discussion with the administrator, review of the staff appraisal schedule, and discussion with staff evidenced that all staff who have been employed for a year or more, have a current performance appraisal on record.</w:t>
            </w:r>
          </w:p>
          <w:p w14:paraId="0F354A3D" w14:textId="77777777" w:rsidR="00E946A5" w:rsidRPr="00BE00C7" w:rsidRDefault="00E946A5" w:rsidP="00BE00C7">
            <w:pPr>
              <w:pStyle w:val="OutcomeDescription"/>
              <w:spacing w:before="120" w:after="120"/>
              <w:rPr>
                <w:rFonts w:cs="Arial"/>
                <w:lang w:eastAsia="en-NZ"/>
              </w:rPr>
            </w:pPr>
          </w:p>
        </w:tc>
      </w:tr>
      <w:tr w:rsidR="00722B0C" w14:paraId="0FF7C1AA" w14:textId="77777777">
        <w:tc>
          <w:tcPr>
            <w:tcW w:w="0" w:type="auto"/>
          </w:tcPr>
          <w:p w14:paraId="315D1286"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A9C5CA5"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B9B0819" w14:textId="77777777" w:rsidR="00E946A5" w:rsidRPr="00BE00C7" w:rsidRDefault="00E946A5" w:rsidP="00BE00C7">
            <w:pPr>
              <w:pStyle w:val="OutcomeDescription"/>
              <w:spacing w:before="120" w:after="120"/>
              <w:rPr>
                <w:rFonts w:cs="Arial"/>
                <w:lang w:eastAsia="en-NZ"/>
              </w:rPr>
            </w:pPr>
          </w:p>
        </w:tc>
        <w:tc>
          <w:tcPr>
            <w:tcW w:w="0" w:type="auto"/>
          </w:tcPr>
          <w:p w14:paraId="45927EF9"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201DF2C5"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Five resident records were reviewed: three rest home level (including one respite resident), and two hospital level. The clinical coordinator, and registered nurses are responsible for all resident’s assessments, care planning and evaluation of care. All initial assessments and long-term care plans were completed for residents, detailing needs, and preferences. The individualised electronic long-term care plans (LTCPs) are developed, with information gathered during the initial assessments and the interRAI </w:t>
            </w:r>
            <w:r w:rsidRPr="00BE00C7">
              <w:rPr>
                <w:rFonts w:cs="Arial"/>
                <w:lang w:eastAsia="en-NZ"/>
              </w:rPr>
              <w:t>assessment. The respite resident had all required assessments completed, including falls risk.</w:t>
            </w:r>
          </w:p>
          <w:p w14:paraId="37F74104" w14:textId="77777777" w:rsidR="00E946A5" w:rsidRPr="00BE00C7" w:rsidRDefault="00E946A5" w:rsidP="00BE00C7">
            <w:pPr>
              <w:pStyle w:val="OutcomeDescription"/>
              <w:spacing w:before="120" w:after="120"/>
              <w:rPr>
                <w:rFonts w:cs="Arial"/>
                <w:lang w:eastAsia="en-NZ"/>
              </w:rPr>
            </w:pPr>
            <w:r w:rsidRPr="00BE00C7">
              <w:rPr>
                <w:rFonts w:cs="Arial"/>
                <w:lang w:eastAsia="en-NZ"/>
              </w:rPr>
              <w:t>All LTCP and interRAI sampled had been completed within three weeks of the residents’ admission to the facility. Documented interventions and early warning signs (EWS) meet the residents’ assessed needs, and provide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Short-term ca</w:t>
            </w:r>
            <w:r w:rsidRPr="00BE00C7">
              <w:rPr>
                <w:rFonts w:cs="Arial"/>
                <w:lang w:eastAsia="en-NZ"/>
              </w:rPr>
              <w:t>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senior registered nurse and include the degree of achievement t</w:t>
            </w:r>
            <w:r w:rsidRPr="00BE00C7">
              <w:rPr>
                <w:rFonts w:cs="Arial"/>
                <w:lang w:eastAsia="en-NZ"/>
              </w:rPr>
              <w:t>owards meeting the desired goals and outcomes. Residents interviewed confirmed assessments are completed according to their needs and in the privacy of their bedrooms. There was evidence of family/whānau involvement in care planning and documented ongoing communication of health status updates. Family/whānau interviews and resident records evidenced that family/whānau are informed where there is a change in health status.</w:t>
            </w:r>
          </w:p>
          <w:p w14:paraId="2385FAF1"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 service has policies and procedures in place to support all residents to access services and information. The initial medical assessment is </w:t>
            </w:r>
            <w:r w:rsidRPr="00BE00C7">
              <w:rPr>
                <w:rFonts w:cs="Arial"/>
                <w:lang w:eastAsia="en-NZ"/>
              </w:rPr>
              <w:lastRenderedPageBreak/>
              <w:t>undertaken by the general practitioner within the required timeframe following admission. Residents have ongoing reviews by the general practitioner within required timeframes and when their health status changes.</w:t>
            </w:r>
          </w:p>
          <w:p w14:paraId="65F8A3C6"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is one general practitioner (who has most residents under their care) who visits weekly and as required. The remaining residents have retained their general practitioners from another local medical practice. Medical documentation and records reviewed were current. When interviewed the general practitioner was complimentary regarding the standard of care and clinical/operational leadership. After-hours care is provided by the contracted medical practice and the local public hospital when needed. A phys</w:t>
            </w:r>
            <w:r w:rsidRPr="00BE00C7">
              <w:rPr>
                <w:rFonts w:cs="Arial"/>
                <w:lang w:eastAsia="en-NZ"/>
              </w:rPr>
              <w:t>iotherapist is contracted to the service and provides one clinic per week. As part of their remit, they provide moving and handling training for staff and have trained moving and handling champions to support the training programme for staff. A podiatrist provides monthly clinics. Additionally, a nail technician attends to basic resident nail needs on a regular basis. Other health professionals are available by referral when required.</w:t>
            </w:r>
          </w:p>
          <w:p w14:paraId="0EAFD3ED" w14:textId="77777777" w:rsidR="00E946A5" w:rsidRPr="00BE00C7" w:rsidRDefault="00E946A5" w:rsidP="00BE00C7">
            <w:pPr>
              <w:pStyle w:val="OutcomeDescription"/>
              <w:spacing w:before="120" w:after="120"/>
              <w:rPr>
                <w:rFonts w:cs="Arial"/>
                <w:lang w:eastAsia="en-NZ"/>
              </w:rPr>
            </w:pPr>
            <w:r w:rsidRPr="00BE00C7">
              <w:rPr>
                <w:rFonts w:cs="Arial"/>
                <w:lang w:eastAsia="en-NZ"/>
              </w:rPr>
              <w:t>An adequate supply of wound care products is available at the facility. A review of the wound care plans evidenced that wounds are assessed in a timely manner and reviewed at appropriate intervals. Photos are taken when required. Where wounds require additional specialist input, a wound nurse specialist is consulted. At the time of audit there was one stage II pressure injury, and a small number of minor wounds. Where required, a referral is sent to the wound specialist at Health New Zealand. Reviews of the</w:t>
            </w:r>
            <w:r w:rsidRPr="00BE00C7">
              <w:rPr>
                <w:rFonts w:cs="Arial"/>
                <w:lang w:eastAsia="en-NZ"/>
              </w:rPr>
              <w:t xml:space="preserve"> documentation pertaining to the stage II pressure injury confirmed this is regularly reviewed and evaluated. Photos are taken to track progress or decline. The progress notes are recorded and maintained in the integrated records.</w:t>
            </w:r>
          </w:p>
          <w:p w14:paraId="0A61DB48"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Monthly observations such as weight and blood pressure are completed and are up to date. Neurological observations are recorded following un-witnessed falls as per policy. A range of monitoring charts are available for the care staff to utilise. These include monthly blood pressure and weight monitoring, and bowel records. Staff interviews confirm they are familiar with the needs of all residents in the facility, and that they have access to the supplies and products they require to meet those needs. Staff </w:t>
            </w:r>
            <w:r w:rsidRPr="00BE00C7">
              <w:rPr>
                <w:rFonts w:cs="Arial"/>
                <w:lang w:eastAsia="en-NZ"/>
              </w:rPr>
              <w:t xml:space="preserve">receive a written and verbal handover (witnessed) at the beginning of each shift. </w:t>
            </w:r>
          </w:p>
          <w:p w14:paraId="672604C3"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Review of documentation, discussion with the clinical manager and clinical coordinator confirmed i) all initial care plans sampled for hospital level care residents are completed within the required timeframes; ii) all rest home and </w:t>
            </w:r>
            <w:r w:rsidRPr="00BE00C7">
              <w:rPr>
                <w:rFonts w:cs="Arial"/>
                <w:lang w:eastAsia="en-NZ"/>
              </w:rPr>
              <w:lastRenderedPageBreak/>
              <w:t xml:space="preserve">hospital level resident files sampled all have an initial care plan completed on admission; iii) all rest home and hospital level resident files reviewed had interRAI assessments completed within three weeks of admission. The shortfall identified at the previous audit is now closed. </w:t>
            </w:r>
          </w:p>
          <w:p w14:paraId="3891A21A"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Review of documentation, and interview with the clinical manager and clinical coordinator evidenced that i) behaviour care plans are implemented when required ii) behaviour management issues identified within the interRAI assessment are documented within the LTCP, iii) diabetes management strategies are documented that include signs and symptoms of hypo and hyperglycaemia and management of same. The shortfall identified at the previous audit is now closed. </w:t>
            </w:r>
          </w:p>
          <w:p w14:paraId="0E5C8F72" w14:textId="77777777" w:rsidR="00E946A5" w:rsidRPr="00BE00C7" w:rsidRDefault="00E946A5" w:rsidP="00A80C51">
            <w:pPr>
              <w:pStyle w:val="OutcomeDescription"/>
              <w:spacing w:before="120" w:after="120"/>
              <w:rPr>
                <w:rFonts w:cs="Arial"/>
                <w:lang w:eastAsia="en-NZ"/>
              </w:rPr>
            </w:pPr>
          </w:p>
        </w:tc>
      </w:tr>
      <w:tr w:rsidR="00722B0C" w14:paraId="2B732E13" w14:textId="77777777">
        <w:tc>
          <w:tcPr>
            <w:tcW w:w="0" w:type="auto"/>
          </w:tcPr>
          <w:p w14:paraId="2ECD418B"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Subsection 3.4: My medication</w:t>
            </w:r>
          </w:p>
          <w:p w14:paraId="13584079"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BAE26AB" w14:textId="77777777" w:rsidR="00E946A5" w:rsidRPr="00BE00C7" w:rsidRDefault="00E946A5" w:rsidP="00BE00C7">
            <w:pPr>
              <w:pStyle w:val="OutcomeDescription"/>
              <w:spacing w:before="120" w:after="120"/>
              <w:rPr>
                <w:rFonts w:cs="Arial"/>
                <w:lang w:eastAsia="en-NZ"/>
              </w:rPr>
            </w:pPr>
          </w:p>
        </w:tc>
        <w:tc>
          <w:tcPr>
            <w:tcW w:w="0" w:type="auto"/>
          </w:tcPr>
          <w:p w14:paraId="230E3741"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736A76E0"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registered nurses have completed syringe driver training. Staff were observed to be safely administering medications. The registered nurse and medication competent wellness partners interviewed could describe their role re</w:t>
            </w:r>
            <w:r w:rsidRPr="00BE00C7">
              <w:rPr>
                <w:rFonts w:cs="Arial"/>
                <w:lang w:eastAsia="en-NZ"/>
              </w:rPr>
              <w:t>garding medication administration.</w:t>
            </w:r>
          </w:p>
          <w:p w14:paraId="565F6D67" w14:textId="77777777" w:rsidR="00E946A5" w:rsidRPr="00BE00C7" w:rsidRDefault="00E946A5" w:rsidP="00BE00C7">
            <w:pPr>
              <w:pStyle w:val="OutcomeDescription"/>
              <w:spacing w:before="120" w:after="120"/>
              <w:rPr>
                <w:rFonts w:cs="Arial"/>
                <w:lang w:eastAsia="en-NZ"/>
              </w:rPr>
            </w:pPr>
            <w:r w:rsidRPr="00BE00C7">
              <w:rPr>
                <w:rFonts w:cs="Arial"/>
                <w:lang w:eastAsia="en-NZ"/>
              </w:rPr>
              <w:t>The service currently uses blister packs for medication. All medications are checked on delivery against the medication chart, and any discrepancies are fed back to the supplying pharmacy. Medications were appropriately stored in locked cupboards and the medication trolley in the medication room. The medication fridge and room temperatures are monitored daily, with policy and procedure to guide staff to effectively address any anomalies. All stored medications are checked weekly. Eyedrops are dated on openi</w:t>
            </w:r>
            <w:r w:rsidRPr="00BE00C7">
              <w:rPr>
                <w:rFonts w:cs="Arial"/>
                <w:lang w:eastAsia="en-NZ"/>
              </w:rPr>
              <w:t>ng.</w:t>
            </w:r>
          </w:p>
          <w:p w14:paraId="25F4F657" w14:textId="77777777" w:rsidR="00E946A5" w:rsidRPr="00BE00C7" w:rsidRDefault="00E946A5" w:rsidP="00BE00C7">
            <w:pPr>
              <w:pStyle w:val="OutcomeDescription"/>
              <w:spacing w:before="120" w:after="120"/>
              <w:rPr>
                <w:rFonts w:cs="Arial"/>
                <w:lang w:eastAsia="en-NZ"/>
              </w:rPr>
            </w:pPr>
            <w:r w:rsidRPr="00BE00C7">
              <w:rPr>
                <w:rFonts w:cs="Arial"/>
                <w:lang w:eastAsia="en-NZ"/>
              </w:rPr>
              <w:t>Ten medication charts were reviewed. Each chart sampled had photo identification and allergy status identified. Indications were noted for ‘as required’ medications, and the effectiveness of ‘as required’ medication was consistently documented in the electronic medication system and progress notes. No vaccines are kept on site. There are no standing orders in use. There is documented evidence in the clinical files that residents and relatives are updated around medication changes, including the reason for c</w:t>
            </w:r>
            <w:r w:rsidRPr="00BE00C7">
              <w:rPr>
                <w:rFonts w:cs="Arial"/>
                <w:lang w:eastAsia="en-NZ"/>
              </w:rPr>
              <w:t xml:space="preserve">hanging medications and side effects. When medication related incidents occurred, </w:t>
            </w:r>
            <w:r w:rsidRPr="00BE00C7">
              <w:rPr>
                <w:rFonts w:cs="Arial"/>
                <w:lang w:eastAsia="en-NZ"/>
              </w:rPr>
              <w:lastRenderedPageBreak/>
              <w:t>these have been investigated and followed up.</w:t>
            </w:r>
          </w:p>
          <w:p w14:paraId="419B2CFD"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Review of resident medication records, and discussion with the clinical manager and clinical coordinator evidence that the effectiveness outcomes of ‘as required’ medications have been consistently documented. The shortfall identified at the previous audit is now closed. </w:t>
            </w:r>
          </w:p>
          <w:p w14:paraId="7919C764"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There were no residents self-administering medications. Staff interview and review of documentation confirm appropriate policy and procedure are in place to guide staff for safe management of any residents in the future who wish to self-administer their medications. Registered nurses interviewed confirmed their knowledge of the policy and procedure in place for the safe management of resident self-administration process. The shortfall identified at the previous audit is now closed. </w:t>
            </w:r>
          </w:p>
          <w:p w14:paraId="38302E76" w14:textId="77777777" w:rsidR="00E946A5" w:rsidRPr="00BE00C7" w:rsidRDefault="00E946A5" w:rsidP="00BE00C7">
            <w:pPr>
              <w:pStyle w:val="OutcomeDescription"/>
              <w:spacing w:before="120" w:after="120"/>
              <w:rPr>
                <w:rFonts w:cs="Arial"/>
                <w:lang w:eastAsia="en-NZ"/>
              </w:rPr>
            </w:pPr>
          </w:p>
        </w:tc>
      </w:tr>
      <w:tr w:rsidR="00722B0C" w14:paraId="41470FB2" w14:textId="77777777">
        <w:tc>
          <w:tcPr>
            <w:tcW w:w="0" w:type="auto"/>
          </w:tcPr>
          <w:p w14:paraId="7CBB5422"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979643"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76C5033" w14:textId="77777777" w:rsidR="00E946A5" w:rsidRPr="00BE00C7" w:rsidRDefault="00E946A5" w:rsidP="00BE00C7">
            <w:pPr>
              <w:pStyle w:val="OutcomeDescription"/>
              <w:spacing w:before="120" w:after="120"/>
              <w:rPr>
                <w:rFonts w:cs="Arial"/>
                <w:lang w:eastAsia="en-NZ"/>
              </w:rPr>
            </w:pPr>
          </w:p>
        </w:tc>
        <w:tc>
          <w:tcPr>
            <w:tcW w:w="0" w:type="auto"/>
          </w:tcPr>
          <w:p w14:paraId="614D6F6B"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72B8533B" w14:textId="77777777" w:rsidR="00E946A5" w:rsidRPr="00BE00C7" w:rsidRDefault="00E946A5"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June 2026.  The residents and family/whānau interviewed were complimentary regarding the standard of</w:t>
            </w:r>
            <w:r w:rsidRPr="00BE00C7">
              <w:rPr>
                <w:rFonts w:cs="Arial"/>
                <w:lang w:eastAsia="en-NZ"/>
              </w:rPr>
              <w:t xml:space="preserve"> the meals served. Nutritious snacks are available 24/7.</w:t>
            </w:r>
          </w:p>
          <w:p w14:paraId="245DE5D6" w14:textId="77777777" w:rsidR="00E946A5" w:rsidRPr="00BE00C7" w:rsidRDefault="00E946A5" w:rsidP="00BE00C7">
            <w:pPr>
              <w:pStyle w:val="OutcomeDescription"/>
              <w:spacing w:before="120" w:after="120"/>
              <w:rPr>
                <w:rFonts w:cs="Arial"/>
                <w:lang w:eastAsia="en-NZ"/>
              </w:rPr>
            </w:pPr>
          </w:p>
        </w:tc>
      </w:tr>
      <w:tr w:rsidR="00722B0C" w14:paraId="4DD5BBBF" w14:textId="77777777">
        <w:tc>
          <w:tcPr>
            <w:tcW w:w="0" w:type="auto"/>
          </w:tcPr>
          <w:p w14:paraId="5E31E80B"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B9FD9AB"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7E6E4FA2" w14:textId="77777777" w:rsidR="00E946A5" w:rsidRPr="00BE00C7" w:rsidRDefault="00E946A5" w:rsidP="00BE00C7">
            <w:pPr>
              <w:pStyle w:val="OutcomeDescription"/>
              <w:spacing w:before="120" w:after="120"/>
              <w:rPr>
                <w:rFonts w:cs="Arial"/>
                <w:lang w:eastAsia="en-NZ"/>
              </w:rPr>
            </w:pPr>
          </w:p>
        </w:tc>
        <w:tc>
          <w:tcPr>
            <w:tcW w:w="0" w:type="auto"/>
          </w:tcPr>
          <w:p w14:paraId="68F1E3DF"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BFE31E"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have been coordinated in collaboration with the resident, family/whānau and other service providers to ensure continuity of care. Residents are referred to other health professionals when required.</w:t>
            </w:r>
          </w:p>
          <w:p w14:paraId="3678A81A" w14:textId="77777777" w:rsidR="00E946A5" w:rsidRPr="00BE00C7" w:rsidRDefault="00E946A5" w:rsidP="00BE00C7">
            <w:pPr>
              <w:pStyle w:val="OutcomeDescription"/>
              <w:spacing w:before="120" w:after="120"/>
              <w:rPr>
                <w:rFonts w:cs="Arial"/>
                <w:lang w:eastAsia="en-NZ"/>
              </w:rPr>
            </w:pPr>
          </w:p>
        </w:tc>
      </w:tr>
      <w:tr w:rsidR="00722B0C" w14:paraId="39217478" w14:textId="77777777">
        <w:tc>
          <w:tcPr>
            <w:tcW w:w="0" w:type="auto"/>
          </w:tcPr>
          <w:p w14:paraId="1B90611C"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4.1: The facility</w:t>
            </w:r>
          </w:p>
          <w:p w14:paraId="0CEA3708"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04DE8CE" w14:textId="77777777" w:rsidR="00E946A5" w:rsidRPr="00BE00C7" w:rsidRDefault="00E946A5" w:rsidP="00BE00C7">
            <w:pPr>
              <w:pStyle w:val="OutcomeDescription"/>
              <w:spacing w:before="120" w:after="120"/>
              <w:rPr>
                <w:rFonts w:cs="Arial"/>
                <w:lang w:eastAsia="en-NZ"/>
              </w:rPr>
            </w:pPr>
          </w:p>
        </w:tc>
        <w:tc>
          <w:tcPr>
            <w:tcW w:w="0" w:type="auto"/>
          </w:tcPr>
          <w:p w14:paraId="17E8D179" w14:textId="77777777" w:rsidR="00E946A5" w:rsidRPr="00BE00C7" w:rsidRDefault="00E946A5" w:rsidP="00BE00C7">
            <w:pPr>
              <w:pStyle w:val="OutcomeDescription"/>
              <w:spacing w:before="120" w:after="120"/>
              <w:rPr>
                <w:rFonts w:cs="Arial"/>
                <w:lang w:eastAsia="en-NZ"/>
              </w:rPr>
            </w:pPr>
            <w:r w:rsidRPr="00BE00C7">
              <w:rPr>
                <w:rFonts w:cs="Arial"/>
                <w:lang w:eastAsia="en-NZ"/>
              </w:rPr>
              <w:t>PA Low</w:t>
            </w:r>
          </w:p>
        </w:tc>
        <w:tc>
          <w:tcPr>
            <w:tcW w:w="0" w:type="auto"/>
          </w:tcPr>
          <w:p w14:paraId="59B8CFFE" w14:textId="77777777" w:rsidR="00E946A5" w:rsidRPr="00BE00C7" w:rsidRDefault="00E946A5"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the health and disability services being provided. However, the carpet in many areas is worn, with frayed edges and requires replacement. The environment is inclusive of people’s culture and supports cultural practices. A refurbishment completed in 2025 of a large communal lounge at the front entrance and outdoor area has enhanced the space available for residents in the care centre, serviced apartments and villa</w:t>
            </w:r>
            <w:r w:rsidRPr="00BE00C7">
              <w:rPr>
                <w:rFonts w:cs="Arial"/>
                <w:lang w:eastAsia="en-NZ"/>
              </w:rPr>
              <w:t>ge. It was noted to be well utilised on both days of audit. The refurbishment did not alter the facility footprint. The current building warrant of fitness (BWOF) expires December 2026.</w:t>
            </w:r>
          </w:p>
          <w:p w14:paraId="22103697"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recordings reviewed had corrective actions undertaken when outside of expected ranges.</w:t>
            </w:r>
          </w:p>
          <w:p w14:paraId="630B073C" w14:textId="77777777" w:rsidR="00E946A5" w:rsidRPr="00BE00C7" w:rsidRDefault="00E946A5" w:rsidP="00BE00C7">
            <w:pPr>
              <w:pStyle w:val="OutcomeDescription"/>
              <w:spacing w:before="120" w:after="120"/>
              <w:rPr>
                <w:rFonts w:cs="Arial"/>
                <w:lang w:eastAsia="en-NZ"/>
              </w:rPr>
            </w:pPr>
          </w:p>
        </w:tc>
      </w:tr>
      <w:tr w:rsidR="00722B0C" w14:paraId="354C0FE6" w14:textId="77777777">
        <w:tc>
          <w:tcPr>
            <w:tcW w:w="0" w:type="auto"/>
          </w:tcPr>
          <w:p w14:paraId="537DFA1B"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2F0C7D6"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2F110C" w14:textId="77777777" w:rsidR="00E946A5" w:rsidRPr="00BE00C7" w:rsidRDefault="00E946A5" w:rsidP="00BE00C7">
            <w:pPr>
              <w:pStyle w:val="OutcomeDescription"/>
              <w:spacing w:before="120" w:after="120"/>
              <w:rPr>
                <w:rFonts w:cs="Arial"/>
                <w:lang w:eastAsia="en-NZ"/>
              </w:rPr>
            </w:pPr>
          </w:p>
        </w:tc>
        <w:tc>
          <w:tcPr>
            <w:tcW w:w="0" w:type="auto"/>
          </w:tcPr>
          <w:p w14:paraId="4AADA498"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02902DA5" w14:textId="77777777" w:rsidR="00E946A5" w:rsidRPr="00BE00C7" w:rsidRDefault="00E946A5" w:rsidP="00BE00C7">
            <w:pPr>
              <w:pStyle w:val="OutcomeDescription"/>
              <w:spacing w:before="120" w:after="120"/>
              <w:rPr>
                <w:rFonts w:cs="Arial"/>
                <w:lang w:eastAsia="en-NZ"/>
              </w:rPr>
            </w:pPr>
            <w:r w:rsidRPr="00BE00C7">
              <w:rPr>
                <w:rFonts w:cs="Arial"/>
                <w:lang w:eastAsia="en-NZ"/>
              </w:rPr>
              <w:t>There are infection, prevention, and antimicrobial policies and procedures that includes the pandemic plan. The programme is linked to the quality improvement programme and is approved by the governing body. The clinical coordinator leads the infection prevention programme. The Arvida clinical steering group seeks input from clinical managers regionally for infection prevention policy development and review. Policies comply with relevant legislation and accepted best practice. The infection prevention progr</w:t>
            </w:r>
            <w:r w:rsidRPr="00BE00C7">
              <w:rPr>
                <w:rFonts w:cs="Arial"/>
                <w:lang w:eastAsia="en-NZ"/>
              </w:rPr>
              <w:t xml:space="preserve">amme is reviewed and reported on annually. </w:t>
            </w:r>
          </w:p>
          <w:p w14:paraId="7033BEEC"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 infection prevention coordinator is responsible for the delivery of education for staff. Infection prevention education forms part of staff orientation and is an integral part of annual education schedule. Topics covered includes hand washing, outbreak management, and personal protective equipment competencies. </w:t>
            </w:r>
          </w:p>
          <w:p w14:paraId="0C30557B" w14:textId="77777777" w:rsidR="00E946A5" w:rsidRPr="00BE00C7" w:rsidRDefault="00E946A5" w:rsidP="00BE00C7">
            <w:pPr>
              <w:pStyle w:val="OutcomeDescription"/>
              <w:spacing w:before="120" w:after="120"/>
              <w:rPr>
                <w:rFonts w:cs="Arial"/>
                <w:lang w:eastAsia="en-NZ"/>
              </w:rPr>
            </w:pPr>
          </w:p>
        </w:tc>
      </w:tr>
      <w:tr w:rsidR="00722B0C" w14:paraId="1A583576" w14:textId="77777777">
        <w:tc>
          <w:tcPr>
            <w:tcW w:w="0" w:type="auto"/>
          </w:tcPr>
          <w:p w14:paraId="420AB795" w14:textId="77777777" w:rsidR="00E946A5" w:rsidRPr="00BE00C7" w:rsidRDefault="00E946A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0319E7B"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A9995DE" w14:textId="77777777" w:rsidR="00E946A5" w:rsidRPr="00BE00C7" w:rsidRDefault="00E946A5" w:rsidP="00BE00C7">
            <w:pPr>
              <w:pStyle w:val="OutcomeDescription"/>
              <w:spacing w:before="120" w:after="120"/>
              <w:rPr>
                <w:rFonts w:cs="Arial"/>
                <w:lang w:eastAsia="en-NZ"/>
              </w:rPr>
            </w:pPr>
          </w:p>
        </w:tc>
        <w:tc>
          <w:tcPr>
            <w:tcW w:w="0" w:type="auto"/>
          </w:tcPr>
          <w:p w14:paraId="711766E6"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29D36C22" w14:textId="77777777" w:rsidR="00E946A5" w:rsidRPr="00BE00C7" w:rsidRDefault="00E946A5" w:rsidP="00BE00C7">
            <w:pPr>
              <w:pStyle w:val="OutcomeDescription"/>
              <w:spacing w:before="120" w:after="120"/>
              <w:rPr>
                <w:rFonts w:cs="Arial"/>
                <w:lang w:eastAsia="en-NZ"/>
              </w:rPr>
            </w:pPr>
            <w:r w:rsidRPr="00BE00C7">
              <w:rPr>
                <w:rFonts w:cs="Arial"/>
                <w:lang w:eastAsia="en-NZ"/>
              </w:rPr>
              <w:t>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entered into the electronic resident system, with a monthly collation and analysis of infections completed by the infection prevention coordinator. Any trends are identified, and corrective actions implemented.</w:t>
            </w:r>
            <w:r w:rsidRPr="00BE00C7">
              <w:rPr>
                <w:rFonts w:cs="Arial"/>
                <w:lang w:eastAsia="en-NZ"/>
              </w:rPr>
              <w:t xml:space="preserve"> The service incorporates ethnicity data into surveillance methods and data captured around infections. Outcomes are discussed at handovers when residents have infections and staff meetings. Internal infection prevention audits are completed, with corrective actions for areas of improvement. The service receives regular notifications from Health New Zealand. Since the previous audit, there has been a Covid-19 outbreak (April 2025). Residents and staff were affected. The outbreak was appropriately managed an</w:t>
            </w:r>
            <w:r w:rsidRPr="00BE00C7">
              <w:rPr>
                <w:rFonts w:cs="Arial"/>
                <w:lang w:eastAsia="en-NZ"/>
              </w:rPr>
              <w:t xml:space="preserve">d documented. There has been an outbreak of scabies in July 2025, with residents and staff affected. This was managed in accordance with policy and procedure and advice from a microbiologist. </w:t>
            </w:r>
          </w:p>
          <w:p w14:paraId="2EE82174" w14:textId="77777777" w:rsidR="00E946A5" w:rsidRPr="00BE00C7" w:rsidRDefault="00E946A5" w:rsidP="00BE00C7">
            <w:pPr>
              <w:pStyle w:val="OutcomeDescription"/>
              <w:spacing w:before="120" w:after="120"/>
              <w:rPr>
                <w:rFonts w:cs="Arial"/>
                <w:lang w:eastAsia="en-NZ"/>
              </w:rPr>
            </w:pPr>
          </w:p>
        </w:tc>
      </w:tr>
      <w:tr w:rsidR="00722B0C" w14:paraId="25618F9D" w14:textId="77777777">
        <w:tc>
          <w:tcPr>
            <w:tcW w:w="0" w:type="auto"/>
          </w:tcPr>
          <w:p w14:paraId="4507ACEF" w14:textId="77777777" w:rsidR="00E946A5" w:rsidRPr="00BE00C7" w:rsidRDefault="00E946A5" w:rsidP="00BE00C7">
            <w:pPr>
              <w:pStyle w:val="OutcomeDescription"/>
              <w:spacing w:before="120" w:after="120"/>
              <w:rPr>
                <w:rFonts w:cs="Arial"/>
                <w:lang w:eastAsia="en-NZ"/>
              </w:rPr>
            </w:pPr>
            <w:r w:rsidRPr="00BE00C7">
              <w:rPr>
                <w:rFonts w:cs="Arial"/>
                <w:lang w:eastAsia="en-NZ"/>
              </w:rPr>
              <w:t>Subsection 6.1: A process of restraint</w:t>
            </w:r>
          </w:p>
          <w:p w14:paraId="52822816"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48B6F8" w14:textId="77777777" w:rsidR="00E946A5" w:rsidRPr="00BE00C7" w:rsidRDefault="00E946A5" w:rsidP="00BE00C7">
            <w:pPr>
              <w:pStyle w:val="OutcomeDescription"/>
              <w:spacing w:before="120" w:after="120"/>
              <w:rPr>
                <w:rFonts w:cs="Arial"/>
                <w:lang w:eastAsia="en-NZ"/>
              </w:rPr>
            </w:pPr>
          </w:p>
        </w:tc>
        <w:tc>
          <w:tcPr>
            <w:tcW w:w="0" w:type="auto"/>
          </w:tcPr>
          <w:p w14:paraId="0EA04647" w14:textId="77777777" w:rsidR="00E946A5" w:rsidRPr="00BE00C7" w:rsidRDefault="00E946A5" w:rsidP="00BE00C7">
            <w:pPr>
              <w:pStyle w:val="OutcomeDescription"/>
              <w:spacing w:before="120" w:after="120"/>
              <w:rPr>
                <w:rFonts w:cs="Arial"/>
                <w:lang w:eastAsia="en-NZ"/>
              </w:rPr>
            </w:pPr>
            <w:r w:rsidRPr="00BE00C7">
              <w:rPr>
                <w:rFonts w:cs="Arial"/>
                <w:lang w:eastAsia="en-NZ"/>
              </w:rPr>
              <w:t>FA</w:t>
            </w:r>
          </w:p>
        </w:tc>
        <w:tc>
          <w:tcPr>
            <w:tcW w:w="0" w:type="auto"/>
          </w:tcPr>
          <w:p w14:paraId="35B4C0C6" w14:textId="77777777" w:rsidR="00E946A5" w:rsidRPr="00BE00C7" w:rsidRDefault="00E946A5" w:rsidP="00BE00C7">
            <w:pPr>
              <w:pStyle w:val="OutcomeDescription"/>
              <w:spacing w:before="120" w:after="120"/>
              <w:rPr>
                <w:rFonts w:cs="Arial"/>
                <w:lang w:eastAsia="en-NZ"/>
              </w:rPr>
            </w:pPr>
            <w:r w:rsidRPr="00BE00C7">
              <w:rPr>
                <w:rFonts w:cs="Arial"/>
                <w:lang w:eastAsia="en-NZ"/>
              </w:rPr>
              <w:t>Maintaining a restraint-free environment is the aim of the service. The Board is committed to the elimination of restraint use and this is actively monitored by the Wellness and Care team. Policies and procedures meet the requirements of the standards. The Wellness and Care team are responsible for the restraint elimination strategy and for monitoring restraint use in the organisation. The designated restraint coordinator is the clinical manager. The restraint policy confirms that restraint consideration an</w:t>
            </w:r>
            <w:r w:rsidRPr="00BE00C7">
              <w:rPr>
                <w:rFonts w:cs="Arial"/>
                <w:lang w:eastAsia="en-NZ"/>
              </w:rPr>
              <w:t>d application must be done in partnership with residents and family/whānau, and the choice of device must be the least restrictive possible. There has been no form of restraint used long term in the service. Restraint is included as part of the orientation for staff and completed annually through the education plan.</w:t>
            </w:r>
          </w:p>
          <w:p w14:paraId="7254417F" w14:textId="77777777" w:rsidR="00E946A5" w:rsidRPr="00BE00C7" w:rsidRDefault="00E946A5" w:rsidP="00BE00C7">
            <w:pPr>
              <w:pStyle w:val="OutcomeDescription"/>
              <w:spacing w:before="120" w:after="120"/>
              <w:rPr>
                <w:rFonts w:cs="Arial"/>
                <w:lang w:eastAsia="en-NZ"/>
              </w:rPr>
            </w:pPr>
          </w:p>
        </w:tc>
      </w:tr>
    </w:tbl>
    <w:p w14:paraId="2ACF31DC" w14:textId="77777777" w:rsidR="00E946A5" w:rsidRPr="00BE00C7" w:rsidRDefault="00E946A5" w:rsidP="00BE00C7">
      <w:pPr>
        <w:pStyle w:val="OutcomeDescription"/>
        <w:spacing w:before="120" w:after="120"/>
        <w:rPr>
          <w:rFonts w:cs="Arial"/>
          <w:lang w:eastAsia="en-NZ"/>
        </w:rPr>
      </w:pPr>
      <w:bookmarkStart w:id="56" w:name="AuditSummaryAttainment"/>
      <w:bookmarkEnd w:id="56"/>
    </w:p>
    <w:p w14:paraId="69B884C2" w14:textId="77777777" w:rsidR="00E946A5" w:rsidRDefault="00E946A5">
      <w:pPr>
        <w:pStyle w:val="Heading1"/>
        <w:rPr>
          <w:rFonts w:cs="Arial"/>
        </w:rPr>
      </w:pPr>
      <w:r>
        <w:rPr>
          <w:rFonts w:cs="Arial"/>
        </w:rPr>
        <w:lastRenderedPageBreak/>
        <w:t>Specific results for criterion where corrective actions are required</w:t>
      </w:r>
    </w:p>
    <w:p w14:paraId="66C9FD63" w14:textId="77777777" w:rsidR="00E946A5" w:rsidRDefault="00E946A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E0AA2EB" w14:textId="77777777" w:rsidR="00E946A5" w:rsidRDefault="00E946A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18F70D" w14:textId="77777777" w:rsidR="00E946A5" w:rsidRDefault="00E946A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1334"/>
        <w:gridCol w:w="4807"/>
        <w:gridCol w:w="2684"/>
        <w:gridCol w:w="1811"/>
      </w:tblGrid>
      <w:tr w:rsidR="00722B0C" w14:paraId="68A67B92" w14:textId="77777777">
        <w:tc>
          <w:tcPr>
            <w:tcW w:w="0" w:type="auto"/>
          </w:tcPr>
          <w:p w14:paraId="3DCA73EE" w14:textId="77777777" w:rsidR="00E946A5" w:rsidRPr="00BE00C7" w:rsidRDefault="00E946A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ACE52DF" w14:textId="77777777" w:rsidR="00E946A5" w:rsidRPr="00BE00C7" w:rsidRDefault="00E946A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4DED94" w14:textId="77777777" w:rsidR="00E946A5" w:rsidRPr="00BE00C7" w:rsidRDefault="00E946A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0A04C49" w14:textId="77777777" w:rsidR="00E946A5" w:rsidRPr="00BE00C7" w:rsidRDefault="00E946A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09B80BD" w14:textId="77777777" w:rsidR="00E946A5" w:rsidRPr="00BE00C7" w:rsidRDefault="00E946A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22B0C" w14:paraId="17745AAD" w14:textId="77777777">
        <w:tc>
          <w:tcPr>
            <w:tcW w:w="0" w:type="auto"/>
          </w:tcPr>
          <w:p w14:paraId="55DF709F" w14:textId="77777777" w:rsidR="00E946A5" w:rsidRPr="00BE00C7" w:rsidRDefault="00E946A5" w:rsidP="00BE00C7">
            <w:pPr>
              <w:pStyle w:val="OutcomeDescription"/>
              <w:spacing w:before="120" w:after="120"/>
              <w:rPr>
                <w:rFonts w:cs="Arial"/>
                <w:lang w:eastAsia="en-NZ"/>
              </w:rPr>
            </w:pPr>
            <w:r w:rsidRPr="00BE00C7">
              <w:rPr>
                <w:rFonts w:cs="Arial"/>
                <w:lang w:eastAsia="en-NZ"/>
              </w:rPr>
              <w:t>Criterion 4.1.1</w:t>
            </w:r>
          </w:p>
          <w:p w14:paraId="77F06E3B" w14:textId="77777777" w:rsidR="00E946A5" w:rsidRPr="00BE00C7" w:rsidRDefault="00E946A5"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DC1D1E8" w14:textId="77777777" w:rsidR="00E946A5" w:rsidRPr="00BE00C7" w:rsidRDefault="00E946A5" w:rsidP="00BE00C7">
            <w:pPr>
              <w:pStyle w:val="OutcomeDescription"/>
              <w:spacing w:before="120" w:after="120"/>
              <w:rPr>
                <w:rFonts w:cs="Arial"/>
                <w:lang w:eastAsia="en-NZ"/>
              </w:rPr>
            </w:pPr>
            <w:r w:rsidRPr="00BE00C7">
              <w:rPr>
                <w:rFonts w:cs="Arial"/>
                <w:lang w:eastAsia="en-NZ"/>
              </w:rPr>
              <w:t>PA Low</w:t>
            </w:r>
          </w:p>
        </w:tc>
        <w:tc>
          <w:tcPr>
            <w:tcW w:w="0" w:type="auto"/>
          </w:tcPr>
          <w:p w14:paraId="6F9E9083" w14:textId="77777777" w:rsidR="00E946A5" w:rsidRPr="00BE00C7" w:rsidRDefault="00E946A5" w:rsidP="00BE00C7">
            <w:pPr>
              <w:pStyle w:val="OutcomeDescription"/>
              <w:spacing w:before="120" w:after="120"/>
              <w:rPr>
                <w:rFonts w:cs="Arial"/>
                <w:lang w:eastAsia="en-NZ"/>
              </w:rPr>
            </w:pPr>
            <w:r w:rsidRPr="00BE00C7">
              <w:rPr>
                <w:rFonts w:cs="Arial"/>
                <w:lang w:eastAsia="en-NZ"/>
              </w:rPr>
              <w:t>The property team ensures daily maintenance requests are addressed, and an annual maintenance plan is adhered to for all internal and external building maintenance. However, observation, review of documentation, and discussion with the village manager evidenced there are many areas of the facility where the carpet has worn, and has become frayed. The hazard has been documented on the hazard register and has been repaired in places; however, these areas have experienced high traffic volumes and has worn thro</w:t>
            </w:r>
            <w:r w:rsidRPr="00BE00C7">
              <w:rPr>
                <w:rFonts w:cs="Arial"/>
                <w:lang w:eastAsia="en-NZ"/>
              </w:rPr>
              <w:t xml:space="preserve">ugh again. Carpet replacement has been requested; however, at time of audit, the carpet had not been replaced. </w:t>
            </w:r>
          </w:p>
          <w:p w14:paraId="311AECA0" w14:textId="77777777" w:rsidR="00E946A5" w:rsidRPr="00BE00C7" w:rsidRDefault="00E946A5" w:rsidP="00BE00C7">
            <w:pPr>
              <w:pStyle w:val="OutcomeDescription"/>
              <w:spacing w:before="120" w:after="120"/>
              <w:rPr>
                <w:rFonts w:cs="Arial"/>
                <w:lang w:eastAsia="en-NZ"/>
              </w:rPr>
            </w:pPr>
          </w:p>
        </w:tc>
        <w:tc>
          <w:tcPr>
            <w:tcW w:w="0" w:type="auto"/>
          </w:tcPr>
          <w:p w14:paraId="70F4737D" w14:textId="77777777" w:rsidR="00E946A5" w:rsidRPr="00BE00C7" w:rsidRDefault="00E946A5" w:rsidP="00BE00C7">
            <w:pPr>
              <w:pStyle w:val="OutcomeDescription"/>
              <w:spacing w:before="120" w:after="120"/>
              <w:rPr>
                <w:rFonts w:cs="Arial"/>
                <w:lang w:eastAsia="en-NZ"/>
              </w:rPr>
            </w:pPr>
            <w:r w:rsidRPr="00BE00C7">
              <w:rPr>
                <w:rFonts w:cs="Arial"/>
                <w:lang w:eastAsia="en-NZ"/>
              </w:rPr>
              <w:t xml:space="preserve">The carpet in several areas of the facility (including communal lounges, resident bedrooms, and hallways) has become worn and has frayed. This has created a trip hazard. </w:t>
            </w:r>
          </w:p>
          <w:p w14:paraId="6CFF798B" w14:textId="77777777" w:rsidR="00E946A5" w:rsidRPr="00BE00C7" w:rsidRDefault="00E946A5" w:rsidP="00BE00C7">
            <w:pPr>
              <w:pStyle w:val="OutcomeDescription"/>
              <w:spacing w:before="120" w:after="120"/>
              <w:rPr>
                <w:rFonts w:cs="Arial"/>
                <w:lang w:eastAsia="en-NZ"/>
              </w:rPr>
            </w:pPr>
          </w:p>
        </w:tc>
        <w:tc>
          <w:tcPr>
            <w:tcW w:w="0" w:type="auto"/>
          </w:tcPr>
          <w:p w14:paraId="1FE6C282" w14:textId="77777777" w:rsidR="00E946A5" w:rsidRPr="00BE00C7" w:rsidRDefault="00E946A5" w:rsidP="00BE00C7">
            <w:pPr>
              <w:pStyle w:val="OutcomeDescription"/>
              <w:spacing w:before="120" w:after="120"/>
              <w:rPr>
                <w:rFonts w:cs="Arial"/>
                <w:lang w:eastAsia="en-NZ"/>
              </w:rPr>
            </w:pPr>
            <w:r w:rsidRPr="00BE00C7">
              <w:rPr>
                <w:rFonts w:cs="Arial"/>
                <w:lang w:eastAsia="en-NZ"/>
              </w:rPr>
              <w:t>Ensure all carpet is replaced.</w:t>
            </w:r>
          </w:p>
          <w:p w14:paraId="72C0B630" w14:textId="77777777" w:rsidR="00E946A5" w:rsidRPr="00BE00C7" w:rsidRDefault="00E946A5" w:rsidP="00BE00C7">
            <w:pPr>
              <w:pStyle w:val="OutcomeDescription"/>
              <w:spacing w:before="120" w:after="120"/>
              <w:rPr>
                <w:rFonts w:cs="Arial"/>
                <w:lang w:eastAsia="en-NZ"/>
              </w:rPr>
            </w:pPr>
          </w:p>
          <w:p w14:paraId="661A3BC8" w14:textId="77777777" w:rsidR="00E946A5" w:rsidRPr="00BE00C7" w:rsidRDefault="00E946A5" w:rsidP="00BE00C7">
            <w:pPr>
              <w:pStyle w:val="OutcomeDescription"/>
              <w:spacing w:before="120" w:after="120"/>
              <w:rPr>
                <w:rFonts w:cs="Arial"/>
                <w:lang w:eastAsia="en-NZ"/>
              </w:rPr>
            </w:pPr>
            <w:r w:rsidRPr="00BE00C7">
              <w:rPr>
                <w:rFonts w:cs="Arial"/>
                <w:lang w:eastAsia="en-NZ"/>
              </w:rPr>
              <w:t>90 days</w:t>
            </w:r>
          </w:p>
        </w:tc>
      </w:tr>
    </w:tbl>
    <w:p w14:paraId="65C74B5A" w14:textId="77777777" w:rsidR="00E946A5" w:rsidRPr="00BE00C7" w:rsidRDefault="00E946A5" w:rsidP="00BE00C7">
      <w:pPr>
        <w:pStyle w:val="OutcomeDescription"/>
        <w:spacing w:before="120" w:after="120"/>
        <w:rPr>
          <w:rFonts w:cs="Arial"/>
          <w:lang w:eastAsia="en-NZ"/>
        </w:rPr>
      </w:pPr>
      <w:bookmarkStart w:id="57" w:name="AuditSummaryCAMCriterion"/>
      <w:bookmarkEnd w:id="57"/>
    </w:p>
    <w:p w14:paraId="29A2B7DA" w14:textId="77777777" w:rsidR="00E946A5" w:rsidRDefault="00E946A5">
      <w:pPr>
        <w:pStyle w:val="Heading1"/>
        <w:rPr>
          <w:rFonts w:cs="Arial"/>
        </w:rPr>
      </w:pPr>
      <w:r>
        <w:rPr>
          <w:rFonts w:cs="Arial"/>
        </w:rPr>
        <w:lastRenderedPageBreak/>
        <w:t>Specific results for criterion where a continuous improvement has been recorded</w:t>
      </w:r>
    </w:p>
    <w:p w14:paraId="6273FF35" w14:textId="77777777" w:rsidR="00E946A5" w:rsidRDefault="00E946A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128C5E" w14:textId="77777777" w:rsidR="00E946A5" w:rsidRDefault="00E946A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9FAC25" w14:textId="77777777" w:rsidR="00E946A5" w:rsidRDefault="00E946A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2B0C" w14:paraId="41C2B3FD" w14:textId="77777777">
        <w:tc>
          <w:tcPr>
            <w:tcW w:w="0" w:type="auto"/>
          </w:tcPr>
          <w:p w14:paraId="319BD18C" w14:textId="77777777" w:rsidR="00E946A5" w:rsidRPr="00BE00C7" w:rsidRDefault="00E946A5" w:rsidP="00BE00C7">
            <w:pPr>
              <w:pStyle w:val="OutcomeDescription"/>
              <w:spacing w:before="120" w:after="120"/>
              <w:rPr>
                <w:rFonts w:cs="Arial"/>
                <w:lang w:eastAsia="en-NZ"/>
              </w:rPr>
            </w:pPr>
            <w:r w:rsidRPr="00BE00C7">
              <w:rPr>
                <w:rFonts w:cs="Arial"/>
                <w:lang w:eastAsia="en-NZ"/>
              </w:rPr>
              <w:t>No data to display</w:t>
            </w:r>
          </w:p>
        </w:tc>
      </w:tr>
    </w:tbl>
    <w:p w14:paraId="657FB95D" w14:textId="77777777" w:rsidR="00E946A5" w:rsidRPr="00BE00C7" w:rsidRDefault="00E946A5" w:rsidP="00BE00C7">
      <w:pPr>
        <w:pStyle w:val="OutcomeDescription"/>
        <w:spacing w:before="120" w:after="120"/>
        <w:rPr>
          <w:rFonts w:cs="Arial"/>
          <w:lang w:eastAsia="en-NZ"/>
        </w:rPr>
      </w:pPr>
      <w:bookmarkStart w:id="58" w:name="AuditSummaryCAMImprovment"/>
      <w:bookmarkEnd w:id="58"/>
    </w:p>
    <w:p w14:paraId="6FF7176C" w14:textId="77777777" w:rsidR="00E946A5" w:rsidRDefault="00E946A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8091" w14:textId="77777777" w:rsidR="00E946A5" w:rsidRDefault="00E946A5">
      <w:r>
        <w:separator/>
      </w:r>
    </w:p>
  </w:endnote>
  <w:endnote w:type="continuationSeparator" w:id="0">
    <w:p w14:paraId="68700930" w14:textId="77777777" w:rsidR="00E946A5" w:rsidRDefault="00E9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EC3F" w14:textId="77777777" w:rsidR="00E946A5" w:rsidRDefault="00E946A5">
    <w:pPr>
      <w:pStyle w:val="Footer"/>
    </w:pPr>
  </w:p>
  <w:p w14:paraId="0797EFF4" w14:textId="77777777" w:rsidR="00E946A5" w:rsidRDefault="00E946A5"/>
  <w:p w14:paraId="6ADD068E" w14:textId="77777777" w:rsidR="00E946A5" w:rsidRDefault="00E946A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FAB" w14:textId="77777777" w:rsidR="00E946A5" w:rsidRPr="000B00BC" w:rsidRDefault="00E946A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Oakwoods Lifecare (2012) Limited - Oakwoods Retirement Village</w:t>
    </w:r>
    <w:bookmarkEnd w:id="59"/>
    <w:r>
      <w:rPr>
        <w:rFonts w:cs="Arial"/>
        <w:sz w:val="16"/>
        <w:szCs w:val="20"/>
      </w:rPr>
      <w:tab/>
      <w:t xml:space="preserve">Date of Audit: </w:t>
    </w:r>
    <w:bookmarkStart w:id="60" w:name="AuditStartDate1"/>
    <w:r>
      <w:rPr>
        <w:rFonts w:cs="Arial"/>
        <w:sz w:val="16"/>
        <w:szCs w:val="20"/>
      </w:rPr>
      <w:t>19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369C23F" w14:textId="77777777" w:rsidR="00E946A5" w:rsidRDefault="00E946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4FC5" w14:textId="77777777" w:rsidR="00E946A5" w:rsidRDefault="00E94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8262" w14:textId="77777777" w:rsidR="00E946A5" w:rsidRDefault="00E946A5">
      <w:r>
        <w:separator/>
      </w:r>
    </w:p>
  </w:footnote>
  <w:footnote w:type="continuationSeparator" w:id="0">
    <w:p w14:paraId="0DAC503A" w14:textId="77777777" w:rsidR="00E946A5" w:rsidRDefault="00E9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4237" w14:textId="77777777" w:rsidR="00E946A5" w:rsidRDefault="00E946A5">
    <w:pPr>
      <w:pStyle w:val="Header"/>
    </w:pPr>
  </w:p>
  <w:p w14:paraId="2D1D16C4" w14:textId="77777777" w:rsidR="00E946A5" w:rsidRDefault="00E946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E18B" w14:textId="77777777" w:rsidR="00E946A5" w:rsidRDefault="00E946A5">
    <w:pPr>
      <w:pStyle w:val="Header"/>
    </w:pPr>
  </w:p>
  <w:p w14:paraId="4F6D5215" w14:textId="77777777" w:rsidR="00E946A5" w:rsidRDefault="00E946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F1A9" w14:textId="77777777" w:rsidR="00E946A5" w:rsidRDefault="00E94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3C2185A">
      <w:start w:val="1"/>
      <w:numFmt w:val="decimal"/>
      <w:lvlText w:val="%1."/>
      <w:lvlJc w:val="left"/>
      <w:pPr>
        <w:ind w:left="360" w:hanging="360"/>
      </w:pPr>
    </w:lvl>
    <w:lvl w:ilvl="1" w:tplc="805CAFB4" w:tentative="1">
      <w:start w:val="1"/>
      <w:numFmt w:val="lowerLetter"/>
      <w:lvlText w:val="%2."/>
      <w:lvlJc w:val="left"/>
      <w:pPr>
        <w:ind w:left="1080" w:hanging="360"/>
      </w:pPr>
    </w:lvl>
    <w:lvl w:ilvl="2" w:tplc="FE78F83A" w:tentative="1">
      <w:start w:val="1"/>
      <w:numFmt w:val="lowerRoman"/>
      <w:lvlText w:val="%3."/>
      <w:lvlJc w:val="right"/>
      <w:pPr>
        <w:ind w:left="1800" w:hanging="180"/>
      </w:pPr>
    </w:lvl>
    <w:lvl w:ilvl="3" w:tplc="4C4C9012" w:tentative="1">
      <w:start w:val="1"/>
      <w:numFmt w:val="decimal"/>
      <w:lvlText w:val="%4."/>
      <w:lvlJc w:val="left"/>
      <w:pPr>
        <w:ind w:left="2520" w:hanging="360"/>
      </w:pPr>
    </w:lvl>
    <w:lvl w:ilvl="4" w:tplc="898C3D60" w:tentative="1">
      <w:start w:val="1"/>
      <w:numFmt w:val="lowerLetter"/>
      <w:lvlText w:val="%5."/>
      <w:lvlJc w:val="left"/>
      <w:pPr>
        <w:ind w:left="3240" w:hanging="360"/>
      </w:pPr>
    </w:lvl>
    <w:lvl w:ilvl="5" w:tplc="1FDCB830" w:tentative="1">
      <w:start w:val="1"/>
      <w:numFmt w:val="lowerRoman"/>
      <w:lvlText w:val="%6."/>
      <w:lvlJc w:val="right"/>
      <w:pPr>
        <w:ind w:left="3960" w:hanging="180"/>
      </w:pPr>
    </w:lvl>
    <w:lvl w:ilvl="6" w:tplc="9404E98E" w:tentative="1">
      <w:start w:val="1"/>
      <w:numFmt w:val="decimal"/>
      <w:lvlText w:val="%7."/>
      <w:lvlJc w:val="left"/>
      <w:pPr>
        <w:ind w:left="4680" w:hanging="360"/>
      </w:pPr>
    </w:lvl>
    <w:lvl w:ilvl="7" w:tplc="9EA494C8" w:tentative="1">
      <w:start w:val="1"/>
      <w:numFmt w:val="lowerLetter"/>
      <w:lvlText w:val="%8."/>
      <w:lvlJc w:val="left"/>
      <w:pPr>
        <w:ind w:left="5400" w:hanging="360"/>
      </w:pPr>
    </w:lvl>
    <w:lvl w:ilvl="8" w:tplc="6B5635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622A844">
      <w:start w:val="1"/>
      <w:numFmt w:val="bullet"/>
      <w:lvlText w:val=""/>
      <w:lvlJc w:val="left"/>
      <w:pPr>
        <w:ind w:left="720" w:hanging="360"/>
      </w:pPr>
      <w:rPr>
        <w:rFonts w:ascii="Symbol" w:hAnsi="Symbol" w:hint="default"/>
      </w:rPr>
    </w:lvl>
    <w:lvl w:ilvl="1" w:tplc="E540801E" w:tentative="1">
      <w:start w:val="1"/>
      <w:numFmt w:val="bullet"/>
      <w:lvlText w:val="o"/>
      <w:lvlJc w:val="left"/>
      <w:pPr>
        <w:ind w:left="1440" w:hanging="360"/>
      </w:pPr>
      <w:rPr>
        <w:rFonts w:ascii="Courier New" w:hAnsi="Courier New" w:cs="Courier New" w:hint="default"/>
      </w:rPr>
    </w:lvl>
    <w:lvl w:ilvl="2" w:tplc="927AE6A2" w:tentative="1">
      <w:start w:val="1"/>
      <w:numFmt w:val="bullet"/>
      <w:lvlText w:val=""/>
      <w:lvlJc w:val="left"/>
      <w:pPr>
        <w:ind w:left="2160" w:hanging="360"/>
      </w:pPr>
      <w:rPr>
        <w:rFonts w:ascii="Wingdings" w:hAnsi="Wingdings" w:hint="default"/>
      </w:rPr>
    </w:lvl>
    <w:lvl w:ilvl="3" w:tplc="54908C20" w:tentative="1">
      <w:start w:val="1"/>
      <w:numFmt w:val="bullet"/>
      <w:lvlText w:val=""/>
      <w:lvlJc w:val="left"/>
      <w:pPr>
        <w:ind w:left="2880" w:hanging="360"/>
      </w:pPr>
      <w:rPr>
        <w:rFonts w:ascii="Symbol" w:hAnsi="Symbol" w:hint="default"/>
      </w:rPr>
    </w:lvl>
    <w:lvl w:ilvl="4" w:tplc="0F5EC79E" w:tentative="1">
      <w:start w:val="1"/>
      <w:numFmt w:val="bullet"/>
      <w:lvlText w:val="o"/>
      <w:lvlJc w:val="left"/>
      <w:pPr>
        <w:ind w:left="3600" w:hanging="360"/>
      </w:pPr>
      <w:rPr>
        <w:rFonts w:ascii="Courier New" w:hAnsi="Courier New" w:cs="Courier New" w:hint="default"/>
      </w:rPr>
    </w:lvl>
    <w:lvl w:ilvl="5" w:tplc="942CCE46" w:tentative="1">
      <w:start w:val="1"/>
      <w:numFmt w:val="bullet"/>
      <w:lvlText w:val=""/>
      <w:lvlJc w:val="left"/>
      <w:pPr>
        <w:ind w:left="4320" w:hanging="360"/>
      </w:pPr>
      <w:rPr>
        <w:rFonts w:ascii="Wingdings" w:hAnsi="Wingdings" w:hint="default"/>
      </w:rPr>
    </w:lvl>
    <w:lvl w:ilvl="6" w:tplc="122682E8" w:tentative="1">
      <w:start w:val="1"/>
      <w:numFmt w:val="bullet"/>
      <w:lvlText w:val=""/>
      <w:lvlJc w:val="left"/>
      <w:pPr>
        <w:ind w:left="5040" w:hanging="360"/>
      </w:pPr>
      <w:rPr>
        <w:rFonts w:ascii="Symbol" w:hAnsi="Symbol" w:hint="default"/>
      </w:rPr>
    </w:lvl>
    <w:lvl w:ilvl="7" w:tplc="8AB4BD4A" w:tentative="1">
      <w:start w:val="1"/>
      <w:numFmt w:val="bullet"/>
      <w:lvlText w:val="o"/>
      <w:lvlJc w:val="left"/>
      <w:pPr>
        <w:ind w:left="5760" w:hanging="360"/>
      </w:pPr>
      <w:rPr>
        <w:rFonts w:ascii="Courier New" w:hAnsi="Courier New" w:cs="Courier New" w:hint="default"/>
      </w:rPr>
    </w:lvl>
    <w:lvl w:ilvl="8" w:tplc="32A4042C" w:tentative="1">
      <w:start w:val="1"/>
      <w:numFmt w:val="bullet"/>
      <w:lvlText w:val=""/>
      <w:lvlJc w:val="left"/>
      <w:pPr>
        <w:ind w:left="6480" w:hanging="360"/>
      </w:pPr>
      <w:rPr>
        <w:rFonts w:ascii="Wingdings" w:hAnsi="Wingdings" w:hint="default"/>
      </w:rPr>
    </w:lvl>
  </w:abstractNum>
  <w:num w:numId="1" w16cid:durableId="545262951">
    <w:abstractNumId w:val="1"/>
  </w:num>
  <w:num w:numId="2" w16cid:durableId="20724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0C"/>
    <w:rsid w:val="002D6FAD"/>
    <w:rsid w:val="00722B0C"/>
    <w:rsid w:val="00A80C51"/>
    <w:rsid w:val="00E946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1D5A"/>
  <w15:docId w15:val="{48D052AE-BE53-4B12-93A6-39FD5346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7802</Words>
  <Characters>45335</Characters>
  <Application>Microsoft Office Word</Application>
  <DocSecurity>0</DocSecurity>
  <Lines>964</Lines>
  <Paragraphs>300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2026-04-30T20:19:00Z</dcterms:created>
  <dcterms:modified xsi:type="dcterms:W3CDTF">2026-04-30T20:19:00Z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