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5FE9" w14:textId="77777777" w:rsidR="00000000" w:rsidRDefault="00000000">
      <w:pPr>
        <w:pStyle w:val="Heading1"/>
        <w:rPr>
          <w:rFonts w:cs="Arial"/>
        </w:rPr>
      </w:pPr>
      <w:bookmarkStart w:id="0" w:name="PRMS_RIName"/>
      <w:r>
        <w:rPr>
          <w:rFonts w:cs="Arial"/>
        </w:rPr>
        <w:t>Kamo Home &amp; Village Charitable Trust - Kamo Home and Village</w:t>
      </w:r>
      <w:bookmarkEnd w:id="0"/>
    </w:p>
    <w:p w14:paraId="4FC43C78" w14:textId="77777777" w:rsidR="00000000" w:rsidRDefault="00000000">
      <w:pPr>
        <w:pStyle w:val="Heading2"/>
        <w:spacing w:after="0"/>
        <w:rPr>
          <w:rFonts w:cs="Arial"/>
        </w:rPr>
      </w:pPr>
      <w:r>
        <w:rPr>
          <w:rFonts w:cs="Arial"/>
        </w:rPr>
        <w:t>Introduction</w:t>
      </w:r>
    </w:p>
    <w:p w14:paraId="3650A4B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ECC6B4E"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33D733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779E3B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A20C78E" w14:textId="77777777" w:rsidR="00000000" w:rsidRDefault="00000000">
      <w:pPr>
        <w:spacing w:before="240" w:after="240"/>
        <w:rPr>
          <w:rFonts w:cs="Arial"/>
          <w:lang w:eastAsia="en-NZ"/>
        </w:rPr>
      </w:pPr>
      <w:r>
        <w:rPr>
          <w:rFonts w:cs="Arial"/>
          <w:lang w:eastAsia="en-NZ"/>
        </w:rPr>
        <w:t>The specifics of this audit included:</w:t>
      </w:r>
    </w:p>
    <w:p w14:paraId="36946CA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71902E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Kamo Home &amp; Village Charitable Trust</w:t>
      </w:r>
      <w:bookmarkEnd w:id="4"/>
    </w:p>
    <w:p w14:paraId="1590652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Kamo Home and Village</w:t>
      </w:r>
      <w:bookmarkEnd w:id="5"/>
    </w:p>
    <w:p w14:paraId="5F84725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72334C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March 2026</w:t>
      </w:r>
      <w:bookmarkEnd w:id="7"/>
      <w:r w:rsidRPr="009418D4">
        <w:rPr>
          <w:rFonts w:cs="Arial"/>
        </w:rPr>
        <w:tab/>
        <w:t xml:space="preserve">End date: </w:t>
      </w:r>
      <w:bookmarkStart w:id="8" w:name="AuditEndDate"/>
      <w:r>
        <w:rPr>
          <w:rFonts w:cs="Arial"/>
        </w:rPr>
        <w:t>3 March 2026</w:t>
      </w:r>
      <w:bookmarkEnd w:id="8"/>
    </w:p>
    <w:p w14:paraId="1CAD2AA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A496F6E" w14:textId="77777777" w:rsidR="00A34A3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72</w:t>
      </w:r>
      <w:bookmarkEnd w:id="10"/>
    </w:p>
    <w:p w14:paraId="2E449BF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9210843" w14:textId="77777777" w:rsidR="00000000" w:rsidRDefault="00000000">
      <w:pPr>
        <w:pStyle w:val="Heading1"/>
        <w:rPr>
          <w:rFonts w:cs="Arial"/>
        </w:rPr>
      </w:pPr>
      <w:r>
        <w:rPr>
          <w:rFonts w:cs="Arial"/>
        </w:rPr>
        <w:lastRenderedPageBreak/>
        <w:t>Executive summary of the audit</w:t>
      </w:r>
    </w:p>
    <w:p w14:paraId="2346B388" w14:textId="77777777" w:rsidR="00000000" w:rsidRDefault="00000000">
      <w:pPr>
        <w:pStyle w:val="Heading2"/>
        <w:rPr>
          <w:rFonts w:cs="Arial"/>
        </w:rPr>
      </w:pPr>
      <w:r>
        <w:rPr>
          <w:rFonts w:cs="Arial"/>
        </w:rPr>
        <w:t>Introduction</w:t>
      </w:r>
    </w:p>
    <w:p w14:paraId="6A621CE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0FCBCF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AEA15C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152B9D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DB0C75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1DD65E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59BE37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872A9D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1EB8EB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34A3C" w14:paraId="3F529C65" w14:textId="77777777">
        <w:trPr>
          <w:cantSplit/>
          <w:tblHeader/>
        </w:trPr>
        <w:tc>
          <w:tcPr>
            <w:tcW w:w="1260" w:type="dxa"/>
            <w:tcBorders>
              <w:bottom w:val="single" w:sz="4" w:space="0" w:color="000000"/>
            </w:tcBorders>
            <w:vAlign w:val="center"/>
          </w:tcPr>
          <w:p w14:paraId="44CF50A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0571E9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93E8A77" w14:textId="77777777" w:rsidR="00000000" w:rsidRDefault="00000000">
            <w:pPr>
              <w:spacing w:before="60" w:after="60"/>
              <w:rPr>
                <w:rFonts w:eastAsia="Calibri"/>
                <w:b/>
                <w:szCs w:val="24"/>
              </w:rPr>
            </w:pPr>
            <w:r>
              <w:rPr>
                <w:rFonts w:eastAsia="Calibri"/>
                <w:b/>
                <w:szCs w:val="24"/>
              </w:rPr>
              <w:t>Definition</w:t>
            </w:r>
          </w:p>
        </w:tc>
      </w:tr>
      <w:tr w:rsidR="00A34A3C" w14:paraId="4C9FCFFD" w14:textId="77777777">
        <w:trPr>
          <w:cantSplit/>
          <w:trHeight w:val="964"/>
        </w:trPr>
        <w:tc>
          <w:tcPr>
            <w:tcW w:w="1260" w:type="dxa"/>
            <w:tcBorders>
              <w:bottom w:val="single" w:sz="4" w:space="0" w:color="000000"/>
            </w:tcBorders>
            <w:shd w:val="clear" w:color="0066FF" w:fill="0000FF"/>
            <w:vAlign w:val="center"/>
          </w:tcPr>
          <w:p w14:paraId="5F46AC2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54634D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167226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34A3C" w14:paraId="17AE64E0" w14:textId="77777777">
        <w:trPr>
          <w:cantSplit/>
          <w:trHeight w:val="964"/>
        </w:trPr>
        <w:tc>
          <w:tcPr>
            <w:tcW w:w="1260" w:type="dxa"/>
            <w:shd w:val="clear" w:color="33CC33" w:fill="00FF00"/>
            <w:vAlign w:val="center"/>
          </w:tcPr>
          <w:p w14:paraId="29FAFF71" w14:textId="77777777" w:rsidR="00000000" w:rsidRDefault="00000000">
            <w:pPr>
              <w:spacing w:before="60" w:after="60"/>
              <w:rPr>
                <w:rFonts w:eastAsia="Calibri"/>
                <w:szCs w:val="24"/>
              </w:rPr>
            </w:pPr>
          </w:p>
        </w:tc>
        <w:tc>
          <w:tcPr>
            <w:tcW w:w="7095" w:type="dxa"/>
            <w:shd w:val="clear" w:color="auto" w:fill="auto"/>
            <w:vAlign w:val="center"/>
          </w:tcPr>
          <w:p w14:paraId="1D26666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53404F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34A3C" w14:paraId="60C6063C" w14:textId="77777777">
        <w:trPr>
          <w:cantSplit/>
          <w:trHeight w:val="964"/>
        </w:trPr>
        <w:tc>
          <w:tcPr>
            <w:tcW w:w="1260" w:type="dxa"/>
            <w:tcBorders>
              <w:bottom w:val="single" w:sz="4" w:space="0" w:color="000000"/>
            </w:tcBorders>
            <w:shd w:val="clear" w:color="auto" w:fill="FFFF00"/>
            <w:vAlign w:val="center"/>
          </w:tcPr>
          <w:p w14:paraId="18609841" w14:textId="77777777" w:rsidR="00000000" w:rsidRDefault="00000000">
            <w:pPr>
              <w:spacing w:before="60" w:after="60"/>
              <w:rPr>
                <w:rFonts w:eastAsia="Calibri"/>
                <w:szCs w:val="24"/>
              </w:rPr>
            </w:pPr>
          </w:p>
        </w:tc>
        <w:tc>
          <w:tcPr>
            <w:tcW w:w="7095" w:type="dxa"/>
            <w:shd w:val="clear" w:color="auto" w:fill="auto"/>
            <w:vAlign w:val="center"/>
          </w:tcPr>
          <w:p w14:paraId="4CBDB5E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4F832E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34A3C" w14:paraId="278A95E8" w14:textId="77777777">
        <w:trPr>
          <w:cantSplit/>
          <w:trHeight w:val="964"/>
        </w:trPr>
        <w:tc>
          <w:tcPr>
            <w:tcW w:w="1260" w:type="dxa"/>
            <w:tcBorders>
              <w:bottom w:val="single" w:sz="4" w:space="0" w:color="000000"/>
            </w:tcBorders>
            <w:shd w:val="clear" w:color="auto" w:fill="FFC800"/>
            <w:vAlign w:val="center"/>
          </w:tcPr>
          <w:p w14:paraId="27EA13B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A03779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20F144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34A3C" w14:paraId="63E2EE52" w14:textId="77777777">
        <w:trPr>
          <w:cantSplit/>
          <w:trHeight w:val="964"/>
        </w:trPr>
        <w:tc>
          <w:tcPr>
            <w:tcW w:w="1260" w:type="dxa"/>
            <w:shd w:val="clear" w:color="auto" w:fill="FF0000"/>
            <w:vAlign w:val="center"/>
          </w:tcPr>
          <w:p w14:paraId="0AA5A726" w14:textId="77777777" w:rsidR="00000000" w:rsidRDefault="00000000">
            <w:pPr>
              <w:spacing w:before="60" w:after="60"/>
              <w:rPr>
                <w:rFonts w:eastAsia="Calibri"/>
                <w:szCs w:val="24"/>
              </w:rPr>
            </w:pPr>
          </w:p>
        </w:tc>
        <w:tc>
          <w:tcPr>
            <w:tcW w:w="7095" w:type="dxa"/>
            <w:shd w:val="clear" w:color="auto" w:fill="auto"/>
            <w:vAlign w:val="center"/>
          </w:tcPr>
          <w:p w14:paraId="100A035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B2E223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3DD99EE" w14:textId="77777777" w:rsidR="00000000" w:rsidRDefault="00000000">
      <w:pPr>
        <w:pStyle w:val="Heading2"/>
        <w:spacing w:after="0"/>
        <w:rPr>
          <w:rFonts w:cs="Arial"/>
        </w:rPr>
      </w:pPr>
      <w:r>
        <w:rPr>
          <w:rFonts w:cs="Arial"/>
        </w:rPr>
        <w:t>General overview of the audit</w:t>
      </w:r>
    </w:p>
    <w:p w14:paraId="376706A5" w14:textId="77777777" w:rsidR="00000000" w:rsidRDefault="00000000">
      <w:pPr>
        <w:spacing w:before="240" w:line="276" w:lineRule="auto"/>
        <w:rPr>
          <w:rFonts w:eastAsia="Calibri"/>
        </w:rPr>
      </w:pPr>
      <w:bookmarkStart w:id="13" w:name="GeneralOverview"/>
      <w:r w:rsidRPr="00A4268A">
        <w:rPr>
          <w:rFonts w:eastAsia="Calibri"/>
        </w:rPr>
        <w:t>Kamo Home &amp; Village Charitable Trust – Kamo Home and Village provides aged residential care services and is certified to provide rest home, hospital and dementia care services for up to 74 residents.  The operations manager – clinical services is now supported by the facility and care manager, which is a new role since the previous audit and a clinical charge nurse. The general manager has a new title of chief executive officer (CEO). The maintenance manager also has a new role and title of operations manager – support.</w:t>
      </w:r>
    </w:p>
    <w:p w14:paraId="0676B0DA" w14:textId="77777777" w:rsidR="00A34A3C" w:rsidRPr="00A4268A" w:rsidRDefault="00000000">
      <w:pPr>
        <w:spacing w:before="240" w:line="276" w:lineRule="auto"/>
        <w:rPr>
          <w:rFonts w:eastAsia="Calibri"/>
        </w:rPr>
      </w:pPr>
      <w:r w:rsidRPr="00A4268A">
        <w:rPr>
          <w:rFonts w:eastAsia="Calibri"/>
        </w:rPr>
        <w:t>This surveillance audit was conducted against the Ngā Paerewa Health and Disability Services Standard NZS 8134:2021 and the providers contract with Health New Zealand – Te Whatu Ora Te Tai Tokerau. The process included review of policies and procedures, review of residents’ and staff files, observations, and interviews with residents, whānau members, members of the governance group, operations managers, staff, and a general practitioner.</w:t>
      </w:r>
    </w:p>
    <w:p w14:paraId="126B448F" w14:textId="77777777" w:rsidR="00A34A3C" w:rsidRPr="00A4268A" w:rsidRDefault="00000000">
      <w:pPr>
        <w:spacing w:before="240" w:line="276" w:lineRule="auto"/>
        <w:rPr>
          <w:rFonts w:eastAsia="Calibri"/>
        </w:rPr>
      </w:pPr>
      <w:r w:rsidRPr="00A4268A">
        <w:rPr>
          <w:rFonts w:eastAsia="Calibri"/>
        </w:rPr>
        <w:t>There were no corrective actions required from the previous audit. As a result of this audit, no areas were identified as requiring improvement.</w:t>
      </w:r>
    </w:p>
    <w:bookmarkEnd w:id="13"/>
    <w:p w14:paraId="3831DF9E" w14:textId="77777777" w:rsidR="00A34A3C" w:rsidRPr="00A4268A" w:rsidRDefault="00A34A3C">
      <w:pPr>
        <w:spacing w:before="240" w:line="276" w:lineRule="auto"/>
        <w:rPr>
          <w:rFonts w:eastAsia="Calibri"/>
        </w:rPr>
      </w:pPr>
    </w:p>
    <w:p w14:paraId="6C5C76A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4A3C" w14:paraId="4A0CD519" w14:textId="77777777" w:rsidTr="00A4268A">
        <w:trPr>
          <w:cantSplit/>
        </w:trPr>
        <w:tc>
          <w:tcPr>
            <w:tcW w:w="10206" w:type="dxa"/>
            <w:vAlign w:val="center"/>
          </w:tcPr>
          <w:p w14:paraId="3241D99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3452A6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F77B1B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DEA8C1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9580742" w14:textId="77777777" w:rsidR="00000000" w:rsidRDefault="00000000">
      <w:pPr>
        <w:spacing w:before="240" w:line="276" w:lineRule="auto"/>
        <w:rPr>
          <w:rFonts w:eastAsia="Calibri"/>
        </w:rPr>
      </w:pPr>
      <w:bookmarkStart w:id="16" w:name="ConsumerRights"/>
      <w:r w:rsidRPr="00A4268A">
        <w:rPr>
          <w:rFonts w:eastAsia="Calibri"/>
        </w:rPr>
        <w:t xml:space="preserve">Kamo Home and Village Charitable Trust works collaboratively to support and encourage a Māori worldview of health in service delivery. Māori are provided with equitable and effective services based on Te Tiriti o Waitangi and the principles of mana motuhake. </w:t>
      </w:r>
    </w:p>
    <w:p w14:paraId="711B4D62" w14:textId="77777777" w:rsidR="00A34A3C" w:rsidRPr="00A4268A" w:rsidRDefault="00000000">
      <w:pPr>
        <w:spacing w:before="240" w:line="276" w:lineRule="auto"/>
        <w:rPr>
          <w:rFonts w:eastAsia="Calibri"/>
        </w:rPr>
      </w:pPr>
      <w:r w:rsidRPr="00A4268A">
        <w:rPr>
          <w:rFonts w:eastAsia="Calibri"/>
        </w:rPr>
        <w:t xml:space="preserve">Pacific peoples, when admitted, are provided with services that recognise their worldviews and are culturally safe. </w:t>
      </w:r>
    </w:p>
    <w:p w14:paraId="3F74A3B6" w14:textId="77777777" w:rsidR="00A34A3C"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78B94160" w14:textId="77777777" w:rsidR="00A34A3C"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760DEBEB" w14:textId="77777777" w:rsidR="00A34A3C" w:rsidRPr="00A4268A" w:rsidRDefault="00000000">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0F2093E1" w14:textId="77777777" w:rsidR="00A34A3C" w:rsidRPr="00A4268A" w:rsidRDefault="00A34A3C">
      <w:pPr>
        <w:spacing w:before="240" w:line="276" w:lineRule="auto"/>
        <w:rPr>
          <w:rFonts w:eastAsia="Calibri"/>
        </w:rPr>
      </w:pPr>
    </w:p>
    <w:p w14:paraId="6FD5DBC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4A3C" w14:paraId="2CD4717C" w14:textId="77777777" w:rsidTr="00A4268A">
        <w:trPr>
          <w:cantSplit/>
        </w:trPr>
        <w:tc>
          <w:tcPr>
            <w:tcW w:w="10206" w:type="dxa"/>
            <w:vAlign w:val="center"/>
          </w:tcPr>
          <w:p w14:paraId="7A5E491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E27273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F18287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D12743E"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78025253" w14:textId="77777777" w:rsidR="00A34A3C"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0C1D3843" w14:textId="77777777" w:rsidR="00A34A3C"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58040A6D" w14:textId="77777777" w:rsidR="00A34A3C"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2E10D842" w14:textId="77777777" w:rsidR="00A34A3C"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57451B97" w14:textId="77777777" w:rsidR="00A34A3C"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and equitable service delivery. </w:t>
      </w:r>
    </w:p>
    <w:p w14:paraId="114051DD" w14:textId="77777777" w:rsidR="00A34A3C"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6B91553D" w14:textId="77777777" w:rsidR="00A34A3C" w:rsidRPr="00A4268A" w:rsidRDefault="00A34A3C">
      <w:pPr>
        <w:spacing w:before="240" w:line="276" w:lineRule="auto"/>
        <w:rPr>
          <w:rFonts w:eastAsia="Calibri"/>
        </w:rPr>
      </w:pPr>
    </w:p>
    <w:p w14:paraId="417FE9B7"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4A3C" w14:paraId="26E34BDF" w14:textId="77777777" w:rsidTr="00A4268A">
        <w:trPr>
          <w:cantSplit/>
        </w:trPr>
        <w:tc>
          <w:tcPr>
            <w:tcW w:w="10206" w:type="dxa"/>
            <w:vAlign w:val="center"/>
          </w:tcPr>
          <w:p w14:paraId="6335E25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53889F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512376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8E2765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were evaluated on a regular and timely basis. </w:t>
      </w:r>
    </w:p>
    <w:p w14:paraId="22E3AB26" w14:textId="77777777" w:rsidR="00A34A3C"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132990DF" w14:textId="77777777" w:rsidR="00A34A3C" w:rsidRPr="00A4268A" w:rsidRDefault="00000000"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3CA77A1A" w14:textId="77777777" w:rsidR="00A34A3C"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00040F0A" w14:textId="77777777" w:rsidR="00A34A3C" w:rsidRPr="00A4268A" w:rsidRDefault="00A34A3C" w:rsidP="00621629">
      <w:pPr>
        <w:spacing w:before="240" w:line="276" w:lineRule="auto"/>
        <w:rPr>
          <w:rFonts w:eastAsia="Calibri"/>
        </w:rPr>
      </w:pPr>
    </w:p>
    <w:p w14:paraId="36C1B31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4A3C" w14:paraId="5B56402A" w14:textId="77777777" w:rsidTr="00A4268A">
        <w:trPr>
          <w:cantSplit/>
        </w:trPr>
        <w:tc>
          <w:tcPr>
            <w:tcW w:w="10206" w:type="dxa"/>
            <w:vAlign w:val="center"/>
          </w:tcPr>
          <w:p w14:paraId="3FFF9B7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BFC41C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775554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6E87941"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6F807EF6" w14:textId="77777777" w:rsidR="00A34A3C" w:rsidRPr="00A4268A" w:rsidRDefault="00A34A3C">
      <w:pPr>
        <w:spacing w:before="240" w:line="276" w:lineRule="auto"/>
        <w:rPr>
          <w:rFonts w:eastAsia="Calibri"/>
        </w:rPr>
      </w:pPr>
    </w:p>
    <w:p w14:paraId="2F93A718"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4A3C" w14:paraId="080CC1A5" w14:textId="77777777" w:rsidTr="00A4268A">
        <w:trPr>
          <w:cantSplit/>
        </w:trPr>
        <w:tc>
          <w:tcPr>
            <w:tcW w:w="10206" w:type="dxa"/>
            <w:vAlign w:val="center"/>
          </w:tcPr>
          <w:p w14:paraId="4E7E03C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363F51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CBF0AC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C6D9282"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429A6E93" w14:textId="77777777" w:rsidR="00A34A3C"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3990E63A" w14:textId="77777777" w:rsidR="00A34A3C"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06DD1D55" w14:textId="77777777" w:rsidR="00A34A3C" w:rsidRPr="00A4268A" w:rsidRDefault="00A34A3C">
      <w:pPr>
        <w:spacing w:before="240" w:line="276" w:lineRule="auto"/>
        <w:rPr>
          <w:rFonts w:eastAsia="Calibri"/>
        </w:rPr>
      </w:pPr>
    </w:p>
    <w:p w14:paraId="6BBB0CA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4A3C" w14:paraId="5D46A331" w14:textId="77777777" w:rsidTr="00A4268A">
        <w:trPr>
          <w:cantSplit/>
        </w:trPr>
        <w:tc>
          <w:tcPr>
            <w:tcW w:w="10206" w:type="dxa"/>
            <w:vAlign w:val="center"/>
          </w:tcPr>
          <w:p w14:paraId="01E2885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A963C1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08D06B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9EF8868"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restraint-free environment. This is supported by the governing body and policies and procedures. There were no residents using restraints at the time of audit and there was no record of restraint use for over five years.</w:t>
      </w:r>
    </w:p>
    <w:p w14:paraId="7550F66A" w14:textId="77777777" w:rsidR="00A34A3C" w:rsidRPr="00A4268A" w:rsidRDefault="00000000">
      <w:pPr>
        <w:spacing w:before="240" w:line="276" w:lineRule="auto"/>
        <w:rPr>
          <w:rFonts w:eastAsia="Calibri"/>
        </w:rPr>
      </w:pPr>
      <w:r w:rsidRPr="00A4268A">
        <w:rPr>
          <w:rFonts w:eastAsia="Calibri"/>
        </w:rPr>
        <w:lastRenderedPageBreak/>
        <w:t>Staff have been trained in providing the least restrictive practice, de-escalation techniques, and alternative interventions, and demonstrated effective practice.</w:t>
      </w:r>
    </w:p>
    <w:bookmarkEnd w:id="31"/>
    <w:p w14:paraId="3E0A2B6E" w14:textId="77777777" w:rsidR="00A34A3C" w:rsidRPr="00A4268A" w:rsidRDefault="00A34A3C">
      <w:pPr>
        <w:spacing w:before="240" w:line="276" w:lineRule="auto"/>
        <w:rPr>
          <w:rFonts w:eastAsia="Calibri"/>
        </w:rPr>
      </w:pPr>
    </w:p>
    <w:p w14:paraId="2730FC98" w14:textId="77777777" w:rsidR="00000000" w:rsidRDefault="00000000" w:rsidP="000E6E02">
      <w:pPr>
        <w:pStyle w:val="Heading2"/>
        <w:spacing w:before="0"/>
        <w:rPr>
          <w:rFonts w:cs="Arial"/>
        </w:rPr>
      </w:pPr>
      <w:r>
        <w:rPr>
          <w:rFonts w:cs="Arial"/>
        </w:rPr>
        <w:t>Summary of attainment</w:t>
      </w:r>
    </w:p>
    <w:p w14:paraId="1D5720B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34A3C" w14:paraId="383ED3C5" w14:textId="77777777">
        <w:tc>
          <w:tcPr>
            <w:tcW w:w="1384" w:type="dxa"/>
            <w:vAlign w:val="center"/>
          </w:tcPr>
          <w:p w14:paraId="328E1F7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159C0B2" w14:textId="77777777" w:rsidR="00000000" w:rsidRDefault="00000000">
            <w:pPr>
              <w:keepNext/>
              <w:spacing w:before="60" w:after="60"/>
              <w:jc w:val="center"/>
              <w:rPr>
                <w:rFonts w:cs="Arial"/>
                <w:b/>
                <w:sz w:val="20"/>
                <w:szCs w:val="20"/>
              </w:rPr>
            </w:pPr>
            <w:r>
              <w:rPr>
                <w:rFonts w:cs="Arial"/>
                <w:b/>
                <w:sz w:val="20"/>
                <w:szCs w:val="20"/>
              </w:rPr>
              <w:t>Continuous Improvement</w:t>
            </w:r>
          </w:p>
          <w:p w14:paraId="3B42237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356510F" w14:textId="77777777" w:rsidR="00000000" w:rsidRDefault="00000000">
            <w:pPr>
              <w:keepNext/>
              <w:spacing w:before="60" w:after="60"/>
              <w:jc w:val="center"/>
              <w:rPr>
                <w:rFonts w:cs="Arial"/>
                <w:b/>
                <w:sz w:val="20"/>
                <w:szCs w:val="20"/>
              </w:rPr>
            </w:pPr>
            <w:r>
              <w:rPr>
                <w:rFonts w:cs="Arial"/>
                <w:b/>
                <w:sz w:val="20"/>
                <w:szCs w:val="20"/>
              </w:rPr>
              <w:t>Fully Attained</w:t>
            </w:r>
          </w:p>
          <w:p w14:paraId="5170905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65DC54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666EC3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580101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CF6C2C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19A7C5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EA11D1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5E54B5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8879ED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5E6A42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C356A60" w14:textId="77777777" w:rsidR="00000000" w:rsidRDefault="00000000">
            <w:pPr>
              <w:keepNext/>
              <w:spacing w:before="60" w:after="60"/>
              <w:jc w:val="center"/>
              <w:rPr>
                <w:rFonts w:cs="Arial"/>
                <w:b/>
                <w:sz w:val="20"/>
                <w:szCs w:val="20"/>
              </w:rPr>
            </w:pPr>
            <w:r>
              <w:rPr>
                <w:rFonts w:cs="Arial"/>
                <w:b/>
                <w:sz w:val="20"/>
                <w:szCs w:val="20"/>
              </w:rPr>
              <w:t>(PA Critical)</w:t>
            </w:r>
          </w:p>
        </w:tc>
      </w:tr>
      <w:tr w:rsidR="00A34A3C" w14:paraId="3FAADDD3" w14:textId="77777777">
        <w:tc>
          <w:tcPr>
            <w:tcW w:w="1384" w:type="dxa"/>
            <w:vAlign w:val="center"/>
          </w:tcPr>
          <w:p w14:paraId="5D4EFFC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AB8A0D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7FEF62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6B3609C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322592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7C2439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2A7FAA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148C49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34A3C" w14:paraId="51F572B7" w14:textId="77777777">
        <w:tc>
          <w:tcPr>
            <w:tcW w:w="1384" w:type="dxa"/>
            <w:vAlign w:val="center"/>
          </w:tcPr>
          <w:p w14:paraId="190CC2F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9A14DD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C34C49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6F67B71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8E8CBF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5E4D8D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760309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034BAF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03EC04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34A3C" w14:paraId="3B63E2EC" w14:textId="77777777">
        <w:tc>
          <w:tcPr>
            <w:tcW w:w="1384" w:type="dxa"/>
            <w:vAlign w:val="center"/>
          </w:tcPr>
          <w:p w14:paraId="12634FE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6FDA1F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B3B786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386713D" w14:textId="77777777" w:rsidR="00000000" w:rsidRDefault="00000000">
            <w:pPr>
              <w:keepNext/>
              <w:spacing w:before="60" w:after="60"/>
              <w:jc w:val="center"/>
              <w:rPr>
                <w:rFonts w:cs="Arial"/>
                <w:b/>
                <w:sz w:val="20"/>
                <w:szCs w:val="20"/>
              </w:rPr>
            </w:pPr>
            <w:r>
              <w:rPr>
                <w:rFonts w:cs="Arial"/>
                <w:b/>
                <w:sz w:val="20"/>
                <w:szCs w:val="20"/>
              </w:rPr>
              <w:t>Unattained Low Risk</w:t>
            </w:r>
          </w:p>
          <w:p w14:paraId="17B313F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C12C127" w14:textId="77777777" w:rsidR="00000000" w:rsidRDefault="00000000">
            <w:pPr>
              <w:keepNext/>
              <w:spacing w:before="60" w:after="60"/>
              <w:jc w:val="center"/>
              <w:rPr>
                <w:rFonts w:cs="Arial"/>
                <w:b/>
                <w:sz w:val="20"/>
                <w:szCs w:val="20"/>
              </w:rPr>
            </w:pPr>
            <w:r>
              <w:rPr>
                <w:rFonts w:cs="Arial"/>
                <w:b/>
                <w:sz w:val="20"/>
                <w:szCs w:val="20"/>
              </w:rPr>
              <w:t>Unattained Moderate Risk</w:t>
            </w:r>
          </w:p>
          <w:p w14:paraId="0688D2C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A0A0AEF" w14:textId="77777777" w:rsidR="00000000" w:rsidRDefault="00000000">
            <w:pPr>
              <w:keepNext/>
              <w:spacing w:before="60" w:after="60"/>
              <w:jc w:val="center"/>
              <w:rPr>
                <w:rFonts w:cs="Arial"/>
                <w:b/>
                <w:sz w:val="20"/>
                <w:szCs w:val="20"/>
              </w:rPr>
            </w:pPr>
            <w:r>
              <w:rPr>
                <w:rFonts w:cs="Arial"/>
                <w:b/>
                <w:sz w:val="20"/>
                <w:szCs w:val="20"/>
              </w:rPr>
              <w:t>Unattained High Risk</w:t>
            </w:r>
          </w:p>
          <w:p w14:paraId="7E523DF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42080C7" w14:textId="77777777" w:rsidR="00000000" w:rsidRDefault="00000000">
            <w:pPr>
              <w:keepNext/>
              <w:spacing w:before="60" w:after="60"/>
              <w:jc w:val="center"/>
              <w:rPr>
                <w:rFonts w:cs="Arial"/>
                <w:b/>
                <w:sz w:val="20"/>
                <w:szCs w:val="20"/>
              </w:rPr>
            </w:pPr>
            <w:r>
              <w:rPr>
                <w:rFonts w:cs="Arial"/>
                <w:b/>
                <w:sz w:val="20"/>
                <w:szCs w:val="20"/>
              </w:rPr>
              <w:t>Unattained Critical Risk</w:t>
            </w:r>
          </w:p>
          <w:p w14:paraId="5DF92DEE" w14:textId="77777777" w:rsidR="00000000" w:rsidRDefault="00000000">
            <w:pPr>
              <w:keepNext/>
              <w:spacing w:before="60" w:after="60"/>
              <w:jc w:val="center"/>
              <w:rPr>
                <w:rFonts w:cs="Arial"/>
                <w:b/>
                <w:sz w:val="20"/>
                <w:szCs w:val="20"/>
              </w:rPr>
            </w:pPr>
            <w:r>
              <w:rPr>
                <w:rFonts w:cs="Arial"/>
                <w:b/>
                <w:sz w:val="20"/>
                <w:szCs w:val="20"/>
              </w:rPr>
              <w:t>(UA Critical)</w:t>
            </w:r>
          </w:p>
        </w:tc>
      </w:tr>
      <w:tr w:rsidR="00A34A3C" w14:paraId="664E5918" w14:textId="77777777">
        <w:tc>
          <w:tcPr>
            <w:tcW w:w="1384" w:type="dxa"/>
            <w:vAlign w:val="center"/>
          </w:tcPr>
          <w:p w14:paraId="02053AF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DB32D2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DD7354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425253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01273A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EEB5CA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34A3C" w14:paraId="3D422428" w14:textId="77777777">
        <w:tc>
          <w:tcPr>
            <w:tcW w:w="1384" w:type="dxa"/>
            <w:vAlign w:val="center"/>
          </w:tcPr>
          <w:p w14:paraId="66BCD32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4FE169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2B4EC3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1D668D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98029A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4CA3AE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D71D88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38C0C7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EC6A97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65F0BB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9"/>
        <w:gridCol w:w="1372"/>
        <w:gridCol w:w="6817"/>
      </w:tblGrid>
      <w:tr w:rsidR="00A34A3C" w14:paraId="6F7FE193" w14:textId="77777777">
        <w:tc>
          <w:tcPr>
            <w:tcW w:w="0" w:type="auto"/>
          </w:tcPr>
          <w:p w14:paraId="5751907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F204AB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4E0649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34A3C" w14:paraId="46086EEC" w14:textId="77777777">
        <w:tc>
          <w:tcPr>
            <w:tcW w:w="0" w:type="auto"/>
          </w:tcPr>
          <w:p w14:paraId="17FDB3C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AE57D3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10207EA" w14:textId="77777777" w:rsidR="00000000" w:rsidRPr="00BE00C7" w:rsidRDefault="00000000" w:rsidP="00BE00C7">
            <w:pPr>
              <w:pStyle w:val="OutcomeDescription"/>
              <w:spacing w:before="120" w:after="120"/>
              <w:rPr>
                <w:rFonts w:cs="Arial"/>
                <w:lang w:eastAsia="en-NZ"/>
              </w:rPr>
            </w:pPr>
          </w:p>
        </w:tc>
        <w:tc>
          <w:tcPr>
            <w:tcW w:w="0" w:type="auto"/>
          </w:tcPr>
          <w:p w14:paraId="55F680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BD445C" w14:textId="77777777" w:rsidR="00000000" w:rsidRPr="00BE00C7" w:rsidRDefault="00000000" w:rsidP="00BE00C7">
            <w:pPr>
              <w:pStyle w:val="OutcomeDescription"/>
              <w:spacing w:before="120" w:after="120"/>
              <w:rPr>
                <w:rFonts w:cs="Arial"/>
                <w:lang w:eastAsia="en-NZ"/>
              </w:rPr>
            </w:pPr>
            <w:r w:rsidRPr="00BE00C7">
              <w:rPr>
                <w:rFonts w:cs="Arial"/>
                <w:lang w:eastAsia="en-NZ"/>
              </w:rPr>
              <w:t>Kamo Home and Village has developed policies, procedures and processes to embed and enact Te Tiriti o Waitangi in all aspects of its work. Mana motuhake is respected. Partnerships have been established with iwi and local Māori organisations in the community, including the churches, to support service integration, planning, equity approaches, and support for Māori. There were Māori residents at the time of audit, and those interviewed felt culturally safe. A significant number of staff who identify as Māori are employed in a variety of roles.</w:t>
            </w:r>
          </w:p>
          <w:p w14:paraId="33F48112" w14:textId="77777777" w:rsidR="00000000" w:rsidRPr="00BE00C7" w:rsidRDefault="00000000" w:rsidP="00BE00C7">
            <w:pPr>
              <w:pStyle w:val="OutcomeDescription"/>
              <w:spacing w:before="120" w:after="120"/>
              <w:rPr>
                <w:rFonts w:cs="Arial"/>
                <w:lang w:eastAsia="en-NZ"/>
              </w:rPr>
            </w:pPr>
          </w:p>
        </w:tc>
      </w:tr>
      <w:tr w:rsidR="00A34A3C" w14:paraId="23C65E15" w14:textId="77777777">
        <w:tc>
          <w:tcPr>
            <w:tcW w:w="0" w:type="auto"/>
          </w:tcPr>
          <w:p w14:paraId="4C9436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CF582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1AD4180" w14:textId="77777777" w:rsidR="00000000" w:rsidRPr="00BE00C7" w:rsidRDefault="00000000" w:rsidP="00BE00C7">
            <w:pPr>
              <w:pStyle w:val="OutcomeDescription"/>
              <w:spacing w:before="120" w:after="120"/>
              <w:rPr>
                <w:rFonts w:cs="Arial"/>
                <w:lang w:eastAsia="en-NZ"/>
              </w:rPr>
            </w:pPr>
          </w:p>
        </w:tc>
        <w:tc>
          <w:tcPr>
            <w:tcW w:w="0" w:type="auto"/>
          </w:tcPr>
          <w:p w14:paraId="0EB69F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0BD6A0" w14:textId="77777777" w:rsidR="00000000" w:rsidRPr="00BE00C7" w:rsidRDefault="00000000" w:rsidP="00BE00C7">
            <w:pPr>
              <w:pStyle w:val="OutcomeDescription"/>
              <w:spacing w:before="120" w:after="120"/>
              <w:rPr>
                <w:rFonts w:cs="Arial"/>
                <w:lang w:eastAsia="en-NZ"/>
              </w:rPr>
            </w:pPr>
            <w:r w:rsidRPr="00BE00C7">
              <w:rPr>
                <w:rFonts w:cs="Arial"/>
                <w:lang w:eastAsia="en-NZ"/>
              </w:rPr>
              <w:t>Kamo Home and Village provides services that are underpinned by Pacific worldviews. Pacific residents interviewed felt their worldview, and cultural and spiritual beliefs were embraced. The Fonofale model of care was implemented. There are staff employed who identify as Pacific peoples.</w:t>
            </w:r>
          </w:p>
          <w:p w14:paraId="543581EE" w14:textId="77777777" w:rsidR="00000000" w:rsidRPr="00BE00C7" w:rsidRDefault="00000000" w:rsidP="00BE00C7">
            <w:pPr>
              <w:pStyle w:val="OutcomeDescription"/>
              <w:spacing w:before="120" w:after="120"/>
              <w:rPr>
                <w:rFonts w:cs="Arial"/>
                <w:lang w:eastAsia="en-NZ"/>
              </w:rPr>
            </w:pPr>
          </w:p>
        </w:tc>
      </w:tr>
      <w:tr w:rsidR="00A34A3C" w14:paraId="65B22BE9" w14:textId="77777777">
        <w:tc>
          <w:tcPr>
            <w:tcW w:w="0" w:type="auto"/>
          </w:tcPr>
          <w:p w14:paraId="0C13FE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60C02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5B6D163" w14:textId="77777777" w:rsidR="00000000" w:rsidRPr="00BE00C7" w:rsidRDefault="00000000" w:rsidP="00BE00C7">
            <w:pPr>
              <w:pStyle w:val="OutcomeDescription"/>
              <w:spacing w:before="120" w:after="120"/>
              <w:rPr>
                <w:rFonts w:cs="Arial"/>
                <w:lang w:eastAsia="en-NZ"/>
              </w:rPr>
            </w:pPr>
          </w:p>
        </w:tc>
        <w:tc>
          <w:tcPr>
            <w:tcW w:w="0" w:type="auto"/>
          </w:tcPr>
          <w:p w14:paraId="118B8C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A4382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w:t>
            </w:r>
          </w:p>
          <w:p w14:paraId="040C3C0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The Code of Rights posters and pamphlets were evidenced throughout the home in te reo Māori and English.</w:t>
            </w:r>
          </w:p>
          <w:p w14:paraId="6467303B" w14:textId="77777777" w:rsidR="00000000" w:rsidRPr="00BE00C7" w:rsidRDefault="00000000" w:rsidP="00BE00C7">
            <w:pPr>
              <w:pStyle w:val="OutcomeDescription"/>
              <w:spacing w:before="120" w:after="120"/>
              <w:rPr>
                <w:rFonts w:cs="Arial"/>
                <w:lang w:eastAsia="en-NZ"/>
              </w:rPr>
            </w:pPr>
          </w:p>
        </w:tc>
      </w:tr>
      <w:tr w:rsidR="00A34A3C" w14:paraId="06687BA6" w14:textId="77777777">
        <w:tc>
          <w:tcPr>
            <w:tcW w:w="0" w:type="auto"/>
          </w:tcPr>
          <w:p w14:paraId="7F4B79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D8A17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5AD0ED7" w14:textId="77777777" w:rsidR="00000000" w:rsidRPr="00BE00C7" w:rsidRDefault="00000000" w:rsidP="00BE00C7">
            <w:pPr>
              <w:pStyle w:val="OutcomeDescription"/>
              <w:spacing w:before="120" w:after="120"/>
              <w:rPr>
                <w:rFonts w:cs="Arial"/>
                <w:lang w:eastAsia="en-NZ"/>
              </w:rPr>
            </w:pPr>
          </w:p>
        </w:tc>
        <w:tc>
          <w:tcPr>
            <w:tcW w:w="0" w:type="auto"/>
          </w:tcPr>
          <w:p w14:paraId="5B1EF9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47B1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2F6E0E3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and their finances protected.</w:t>
            </w:r>
          </w:p>
          <w:p w14:paraId="2C244499" w14:textId="77777777" w:rsidR="00000000" w:rsidRPr="00BE00C7" w:rsidRDefault="00000000" w:rsidP="00BE00C7">
            <w:pPr>
              <w:pStyle w:val="OutcomeDescription"/>
              <w:spacing w:before="120" w:after="120"/>
              <w:rPr>
                <w:rFonts w:cs="Arial"/>
                <w:lang w:eastAsia="en-NZ"/>
              </w:rPr>
            </w:pPr>
          </w:p>
        </w:tc>
      </w:tr>
      <w:tr w:rsidR="00A34A3C" w14:paraId="6A270C1B" w14:textId="77777777">
        <w:tc>
          <w:tcPr>
            <w:tcW w:w="0" w:type="auto"/>
          </w:tcPr>
          <w:p w14:paraId="715C4F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D636E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A8CF551" w14:textId="77777777" w:rsidR="00000000" w:rsidRPr="00BE00C7" w:rsidRDefault="00000000" w:rsidP="00BE00C7">
            <w:pPr>
              <w:pStyle w:val="OutcomeDescription"/>
              <w:spacing w:before="120" w:after="120"/>
              <w:rPr>
                <w:rFonts w:cs="Arial"/>
                <w:lang w:eastAsia="en-NZ"/>
              </w:rPr>
            </w:pPr>
          </w:p>
        </w:tc>
        <w:tc>
          <w:tcPr>
            <w:tcW w:w="0" w:type="auto"/>
          </w:tcPr>
          <w:p w14:paraId="3CAC0C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57309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in line with the Code. Those interviewed, and where appropriate their whānau, felt empowered to actively participate in decision-making.   Residents assessed as requiring dementia level of care and/or had lost the ability to make an informed choice had their enduring power of attorney documents enacted.</w:t>
            </w:r>
          </w:p>
          <w:p w14:paraId="3EEF80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0513F83E" w14:textId="77777777" w:rsidR="00000000" w:rsidRPr="00BE00C7" w:rsidRDefault="00000000" w:rsidP="00BE00C7">
            <w:pPr>
              <w:pStyle w:val="OutcomeDescription"/>
              <w:spacing w:before="120" w:after="120"/>
              <w:rPr>
                <w:rFonts w:cs="Arial"/>
                <w:lang w:eastAsia="en-NZ"/>
              </w:rPr>
            </w:pPr>
          </w:p>
        </w:tc>
      </w:tr>
      <w:tr w:rsidR="00A34A3C" w14:paraId="252318F3" w14:textId="77777777">
        <w:tc>
          <w:tcPr>
            <w:tcW w:w="0" w:type="auto"/>
          </w:tcPr>
          <w:p w14:paraId="770860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77439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0C74EE9" w14:textId="77777777" w:rsidR="00000000" w:rsidRPr="00BE00C7" w:rsidRDefault="00000000" w:rsidP="00BE00C7">
            <w:pPr>
              <w:pStyle w:val="OutcomeDescription"/>
              <w:spacing w:before="120" w:after="120"/>
              <w:rPr>
                <w:rFonts w:cs="Arial"/>
                <w:lang w:eastAsia="en-NZ"/>
              </w:rPr>
            </w:pPr>
          </w:p>
        </w:tc>
        <w:tc>
          <w:tcPr>
            <w:tcW w:w="0" w:type="auto"/>
          </w:tcPr>
          <w:p w14:paraId="592B17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3F3D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461D6A0F"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717AA8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assures the process works equitably for Māori by ensuring the Code is translated into te reo Māori. The Code and the Nationwide Advocacy posters are framed and displayed at the entrance to the facility.</w:t>
            </w:r>
          </w:p>
          <w:p w14:paraId="09AF60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10 complaints received from residents, family/whānau in 2025 and all have been resolved. There was one Health and Disability Commissioner (HDC) complaint received on 1 June 2025 which originally was a complaint to Health New Zealand – Te Whatu Ora (TWO) Te Tai Tokerau, a local hospice service, and to this facility. This complaint was effectively closed out. One other HDC complaint has been open since February 2021 (five years) and is still in progress. The CEO’s last correspondence and communication with HDC was on 18 December 2025, to enquire whether the complaint was still being reviewed.  It was confirmed that the complaint has not yet been closed out. The register information is current and up to date.</w:t>
            </w:r>
          </w:p>
          <w:p w14:paraId="28036414" w14:textId="77777777" w:rsidR="00000000" w:rsidRPr="00BE00C7" w:rsidRDefault="00000000" w:rsidP="00BE00C7">
            <w:pPr>
              <w:pStyle w:val="OutcomeDescription"/>
              <w:spacing w:before="120" w:after="120"/>
              <w:rPr>
                <w:rFonts w:cs="Arial"/>
                <w:lang w:eastAsia="en-NZ"/>
              </w:rPr>
            </w:pPr>
          </w:p>
        </w:tc>
      </w:tr>
      <w:tr w:rsidR="00A34A3C" w14:paraId="5458471C" w14:textId="77777777">
        <w:tc>
          <w:tcPr>
            <w:tcW w:w="0" w:type="auto"/>
          </w:tcPr>
          <w:p w14:paraId="4E80F9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4E7A1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52AEE96" w14:textId="77777777" w:rsidR="00000000" w:rsidRPr="00BE00C7" w:rsidRDefault="00000000" w:rsidP="00BE00C7">
            <w:pPr>
              <w:pStyle w:val="OutcomeDescription"/>
              <w:spacing w:before="120" w:after="120"/>
              <w:rPr>
                <w:rFonts w:cs="Arial"/>
                <w:lang w:eastAsia="en-NZ"/>
              </w:rPr>
            </w:pPr>
          </w:p>
        </w:tc>
        <w:tc>
          <w:tcPr>
            <w:tcW w:w="0" w:type="auto"/>
          </w:tcPr>
          <w:p w14:paraId="5B0FB0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F23D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Kamo Home and Village Charitable Trust board assumes accountability for delivering a high-quality service to users of the services and their whānau. There have been three new trustees elected to the board since the previous audit. Elections to the board will occur in June 2026. Compliance with legislative, contractual and regulatory requirements is overseen by the leadership team and governance group, with external advice sought as required. The CEO is an experienced and suitably qualified person to manage the service and is supported by the operations manager – clinical services. Members of the board and the management team have completed education on Te Tiriti, health equity, and cultural safety. There is Māori representation on the board.</w:t>
            </w:r>
          </w:p>
          <w:p w14:paraId="7F2176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w:t>
            </w:r>
            <w:r w:rsidRPr="00BE00C7">
              <w:rPr>
                <w:rFonts w:cs="Arial"/>
                <w:lang w:eastAsia="en-NZ"/>
              </w:rPr>
              <w:lastRenderedPageBreak/>
              <w:t>monitoring and reviewing of performance occurs through regular reporting at planned intervals. The two-yearly business report was due to be presented to the board the week of the audit, as explained by the CEO. The set objectives for the 2026 to 2028 timeframe will be discussed and authorised by the board of trustees at this meeting.   A commitment to the quality and risk management system was evident. Members of the leadership team interviewed felt well informed on progress and risks. This was confirmed in a sample of reports to the board of directors from the CEO.</w:t>
            </w:r>
          </w:p>
          <w:p w14:paraId="41C581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is appropriate to the size and complexity of the organisation, with reporting to key roles and monitoring of resident safety and clinical indicators.</w:t>
            </w:r>
          </w:p>
          <w:p w14:paraId="50FE72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focus on identifying barriers for access, improving outcomes, and achieving equity for Māori was evident in the plans and monitoring reviewed, and through interviews and documented feedback from residents, whānau and staff. There was no evidence of infrastructural, financial, physical, or other barriers to equitable service delivery for Māori, Pacific peoples, and tāngata whaikaha. </w:t>
            </w:r>
          </w:p>
          <w:p w14:paraId="4C8966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Te Tai Tokerau for providing age-related residential care (ARRC) at rest home and hospital levels of care, respite, long-term support – chronic health conditions (LTS-CHC) care, palliative care, and dementia care. On the day of the audit, 72 residents were receiving care.  There were 23 residents receiving dementia care, four receiving rest home level of care, 45 hospital level of care (includes one respite resident and one palliative care resident). There were no residents were under the LTS-CHC contract at the time of the audit.</w:t>
            </w:r>
          </w:p>
          <w:p w14:paraId="4E3B4F26" w14:textId="77777777" w:rsidR="00000000" w:rsidRPr="00BE00C7" w:rsidRDefault="00000000" w:rsidP="00BE00C7">
            <w:pPr>
              <w:pStyle w:val="OutcomeDescription"/>
              <w:spacing w:before="120" w:after="120"/>
              <w:rPr>
                <w:rFonts w:cs="Arial"/>
                <w:lang w:eastAsia="en-NZ"/>
              </w:rPr>
            </w:pPr>
          </w:p>
        </w:tc>
      </w:tr>
      <w:tr w:rsidR="00A34A3C" w14:paraId="3F2CA849" w14:textId="77777777">
        <w:tc>
          <w:tcPr>
            <w:tcW w:w="0" w:type="auto"/>
          </w:tcPr>
          <w:p w14:paraId="59ACE3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88D4B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F85C3BC" w14:textId="77777777" w:rsidR="00000000" w:rsidRPr="00BE00C7" w:rsidRDefault="00000000" w:rsidP="00BE00C7">
            <w:pPr>
              <w:pStyle w:val="OutcomeDescription"/>
              <w:spacing w:before="120" w:after="120"/>
              <w:rPr>
                <w:rFonts w:cs="Arial"/>
                <w:lang w:eastAsia="en-NZ"/>
              </w:rPr>
            </w:pPr>
          </w:p>
        </w:tc>
        <w:tc>
          <w:tcPr>
            <w:tcW w:w="0" w:type="auto"/>
          </w:tcPr>
          <w:p w14:paraId="09B2E7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58A8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 and complaints, audit activities, a regular patient satisfaction survey, monitoring of outcomes, policies and procedures, clinical incidents including infections, and restraint management. Any feedback from the resident/family/staff surveys is used for quality improvement of service delivery.</w:t>
            </w:r>
          </w:p>
          <w:p w14:paraId="773907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Relevant corrective actions are developed and implemented to address any shortfalls. Progress against quality outcomes is evaluated.</w:t>
            </w:r>
          </w:p>
          <w:p w14:paraId="61ED90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71C3D1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CEO described the processes for the identification, documentation, monitoring, review and reporting of risks, including health and safety risks, and development of mitigation strategies. </w:t>
            </w:r>
          </w:p>
          <w:p w14:paraId="004604D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Policy. A sample of incidents forms reviewed showed these were fully completed, incidents were investigated, action plans developed, and actions followed up in a timely manner.  The operations manager – clinical services is responsible for event reporting for this service and three other age-related care services owned and operated by the board. There was one adverse event reported on 28 December 2025 to the New Zealand Health Quality &amp; Safety Commission (HQSC), as required, for a resident who had a fall and sustained a fractured pelvis. This was reported in a timely manner.</w:t>
            </w:r>
          </w:p>
          <w:p w14:paraId="19344F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CEO and the operations manager – clinical services interviewed understood and have complied with essential notification reporting requirements. Section 31 notifications were appropriately completed for an influenza outbreak in September 2025, and a COVID outbreak also in September 2025. No staff with recent role changes required Section 31 notifications. All records are maintained.</w:t>
            </w:r>
          </w:p>
          <w:p w14:paraId="06CB4542" w14:textId="77777777" w:rsidR="00000000" w:rsidRPr="00BE00C7" w:rsidRDefault="00000000" w:rsidP="00BE00C7">
            <w:pPr>
              <w:pStyle w:val="OutcomeDescription"/>
              <w:spacing w:before="120" w:after="120"/>
              <w:rPr>
                <w:rFonts w:cs="Arial"/>
                <w:lang w:eastAsia="en-NZ"/>
              </w:rPr>
            </w:pPr>
          </w:p>
        </w:tc>
      </w:tr>
      <w:tr w:rsidR="00A34A3C" w14:paraId="7794F445" w14:textId="77777777">
        <w:tc>
          <w:tcPr>
            <w:tcW w:w="0" w:type="auto"/>
          </w:tcPr>
          <w:p w14:paraId="2F40C4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2B005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w:t>
            </w:r>
            <w:r w:rsidRPr="00BE00C7">
              <w:rPr>
                <w:rFonts w:cs="Arial"/>
                <w:lang w:eastAsia="en-NZ"/>
              </w:rPr>
              <w:lastRenderedPageBreak/>
              <w:t>centred services.</w:t>
            </w:r>
          </w:p>
          <w:p w14:paraId="15D82961" w14:textId="77777777" w:rsidR="00000000" w:rsidRPr="00BE00C7" w:rsidRDefault="00000000" w:rsidP="00BE00C7">
            <w:pPr>
              <w:pStyle w:val="OutcomeDescription"/>
              <w:spacing w:before="120" w:after="120"/>
              <w:rPr>
                <w:rFonts w:cs="Arial"/>
                <w:lang w:eastAsia="en-NZ"/>
              </w:rPr>
            </w:pPr>
          </w:p>
        </w:tc>
        <w:tc>
          <w:tcPr>
            <w:tcW w:w="0" w:type="auto"/>
          </w:tcPr>
          <w:p w14:paraId="20B837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2E15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staff member on duty has a current first aid certificate and there is 24/7 RN coverage for hospital-level care residents in this facility.</w:t>
            </w:r>
          </w:p>
          <w:p w14:paraId="410B41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Rosters are provided for staff two weeks in advance. These are accessible </w:t>
            </w:r>
            <w:r w:rsidRPr="00BE00C7">
              <w:rPr>
                <w:rFonts w:cs="Arial"/>
                <w:lang w:eastAsia="en-NZ"/>
              </w:rPr>
              <w:lastRenderedPageBreak/>
              <w:t>in paper copy and/or electronically for staff. Staff can bid for additional shifts if available. A casual pool of employed staff is available with registered nurses and care givers who can work across several sites as needed. The facility and care manager works Monday to Friday, and the general practitioner link nurse works Wednesday, Thursday and Friday. The operations manager – clinical services works across all four services providing support and assistance as needed. The operations manager – support covers the non-clinical staffing and rosters. There are four cleaners and two laundry staff rostered on each day.</w:t>
            </w:r>
          </w:p>
          <w:p w14:paraId="67CC16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  There are 12 registered nurses employed, with seven and the CEO (also a registered nurse) who are interRAI-competent.</w:t>
            </w:r>
          </w:p>
          <w:p w14:paraId="1B8AC0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There is a real focus on education being provided and competencies completed for infection prevention, cultural safety, restraint elimination, health and safety, emergency management, manual handling, and other topics. Records reviewed demonstrated completion of the required training and competency assessments. Staff felt well supported with development opportunities.  </w:t>
            </w:r>
          </w:p>
          <w:p w14:paraId="3502D47B"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(NZQA) education programme to meet the requirements of the provider’s agreement with Health New Zealand – Te Whatu Ora Te Tai Tokerau. Staff working in the dementia care area have either completed or are enrolled in the required education. There are 54 care givers employed across the services at this facility. Eighteen (18) have completed Level 4, eight Level 3, five Level 2, and 23 have completed Levels 1 and 2.</w:t>
            </w:r>
          </w:p>
          <w:p w14:paraId="489E2F9A" w14:textId="77777777" w:rsidR="00000000" w:rsidRPr="00BE00C7" w:rsidRDefault="00000000" w:rsidP="00BE00C7">
            <w:pPr>
              <w:pStyle w:val="OutcomeDescription"/>
              <w:spacing w:before="120" w:after="120"/>
              <w:rPr>
                <w:rFonts w:cs="Arial"/>
                <w:lang w:eastAsia="en-NZ"/>
              </w:rPr>
            </w:pPr>
          </w:p>
        </w:tc>
      </w:tr>
      <w:tr w:rsidR="00A34A3C" w14:paraId="121202F5" w14:textId="77777777">
        <w:tc>
          <w:tcPr>
            <w:tcW w:w="0" w:type="auto"/>
          </w:tcPr>
          <w:p w14:paraId="286BE6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E6E7C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F98D588" w14:textId="77777777" w:rsidR="00000000" w:rsidRPr="00BE00C7" w:rsidRDefault="00000000" w:rsidP="00BE00C7">
            <w:pPr>
              <w:pStyle w:val="OutcomeDescription"/>
              <w:spacing w:before="120" w:after="120"/>
              <w:rPr>
                <w:rFonts w:cs="Arial"/>
                <w:lang w:eastAsia="en-NZ"/>
              </w:rPr>
            </w:pPr>
          </w:p>
        </w:tc>
        <w:tc>
          <w:tcPr>
            <w:tcW w:w="0" w:type="auto"/>
          </w:tcPr>
          <w:p w14:paraId="2544BD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15F5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registrations.  The </w:t>
            </w:r>
            <w:r w:rsidRPr="00BE00C7">
              <w:rPr>
                <w:rFonts w:cs="Arial"/>
                <w:lang w:eastAsia="en-NZ"/>
              </w:rPr>
              <w:lastRenderedPageBreak/>
              <w:t>operations manager – clinical services maintains an annual record of all employed and contracted health professionals’ annual practising certificates (APCs).  All APCs reviewed were current.</w:t>
            </w:r>
          </w:p>
          <w:p w14:paraId="3A8AC95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Staff ethnicity data is recorded and used in accordance with the requirements of the Health Information Standards Organisation (HISO).</w:t>
            </w:r>
          </w:p>
          <w:p w14:paraId="795A2388" w14:textId="77777777" w:rsidR="00000000" w:rsidRPr="00BE00C7" w:rsidRDefault="00000000" w:rsidP="00BE00C7">
            <w:pPr>
              <w:pStyle w:val="OutcomeDescription"/>
              <w:spacing w:before="120" w:after="120"/>
              <w:rPr>
                <w:rFonts w:cs="Arial"/>
                <w:lang w:eastAsia="en-NZ"/>
              </w:rPr>
            </w:pPr>
          </w:p>
        </w:tc>
      </w:tr>
      <w:tr w:rsidR="00A34A3C" w14:paraId="16BCC789" w14:textId="77777777">
        <w:tc>
          <w:tcPr>
            <w:tcW w:w="0" w:type="auto"/>
          </w:tcPr>
          <w:p w14:paraId="58082F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D2140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FBBDFD5" w14:textId="77777777" w:rsidR="00000000" w:rsidRPr="00BE00C7" w:rsidRDefault="00000000" w:rsidP="00BE00C7">
            <w:pPr>
              <w:pStyle w:val="OutcomeDescription"/>
              <w:spacing w:before="120" w:after="120"/>
              <w:rPr>
                <w:rFonts w:cs="Arial"/>
                <w:lang w:eastAsia="en-NZ"/>
              </w:rPr>
            </w:pPr>
          </w:p>
        </w:tc>
        <w:tc>
          <w:tcPr>
            <w:tcW w:w="0" w:type="auto"/>
          </w:tcPr>
          <w:p w14:paraId="3586A8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0774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5B01C8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Timeframes for the initial assessment, medical assessment, initial care plan, long-term care plan, and review timeframes meet contractual requirements. Residents in the dementia unit had 24-hour activity plans.  Staff support Māori and whānau to identify their own pae ora outcomes in their care plan. This was verified by sampling residents’ records, and from interviews of clinical staff, people receiving services, and whānau.  All residents’ interRAI assessments were up to date.   </w:t>
            </w:r>
          </w:p>
          <w:p w14:paraId="6E7B9FBB"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  The GP interviewed was happy with the care provided.</w:t>
            </w:r>
          </w:p>
          <w:p w14:paraId="58999382" w14:textId="77777777" w:rsidR="00000000" w:rsidRPr="00BE00C7" w:rsidRDefault="00000000" w:rsidP="0002660D">
            <w:pPr>
              <w:pStyle w:val="OutcomeDescription"/>
              <w:spacing w:before="120" w:after="120"/>
              <w:rPr>
                <w:rFonts w:cs="Arial"/>
                <w:lang w:eastAsia="en-NZ"/>
              </w:rPr>
            </w:pPr>
          </w:p>
        </w:tc>
      </w:tr>
      <w:tr w:rsidR="00A34A3C" w14:paraId="76E44049" w14:textId="77777777">
        <w:tc>
          <w:tcPr>
            <w:tcW w:w="0" w:type="auto"/>
          </w:tcPr>
          <w:p w14:paraId="633F81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658D8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97E683A" w14:textId="77777777" w:rsidR="00000000" w:rsidRPr="00BE00C7" w:rsidRDefault="00000000" w:rsidP="00BE00C7">
            <w:pPr>
              <w:pStyle w:val="OutcomeDescription"/>
              <w:spacing w:before="120" w:after="120"/>
              <w:rPr>
                <w:rFonts w:cs="Arial"/>
                <w:lang w:eastAsia="en-NZ"/>
              </w:rPr>
            </w:pPr>
          </w:p>
        </w:tc>
        <w:tc>
          <w:tcPr>
            <w:tcW w:w="0" w:type="auto"/>
          </w:tcPr>
          <w:p w14:paraId="317156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FF40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Care/current best practice. A </w:t>
            </w:r>
            <w:r w:rsidRPr="00BE00C7">
              <w:rPr>
                <w:rFonts w:cs="Arial"/>
                <w:lang w:eastAsia="en-NZ"/>
              </w:rPr>
              <w:lastRenderedPageBreak/>
              <w:t xml:space="preserve">safe system for medicine management (using an electronic system) was observed on the day of audit. All staff who administer medicines were competent to perform the function they managed. </w:t>
            </w:r>
          </w:p>
          <w:p w14:paraId="52690A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22BA0AAB"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are not used.</w:t>
            </w:r>
          </w:p>
          <w:p w14:paraId="563813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supports all residents whom are deemed competent to self-medicate.  All appropriate processes are in place to ensure this is managed in a safe manner.    There were no residents at the time of audit self-administrating medication.</w:t>
            </w:r>
          </w:p>
          <w:p w14:paraId="404DCCC8" w14:textId="77777777" w:rsidR="00000000" w:rsidRPr="00BE00C7" w:rsidRDefault="00000000" w:rsidP="00BE00C7">
            <w:pPr>
              <w:pStyle w:val="OutcomeDescription"/>
              <w:spacing w:before="120" w:after="120"/>
              <w:rPr>
                <w:rFonts w:cs="Arial"/>
                <w:lang w:eastAsia="en-NZ"/>
              </w:rPr>
            </w:pPr>
            <w:r w:rsidRPr="00BE00C7">
              <w:rPr>
                <w:rFonts w:cs="Arial"/>
                <w:lang w:eastAsia="en-NZ"/>
              </w:rPr>
              <w:t>Note: This facility does not use the electronic system that is currently being affected in New Zealand.</w:t>
            </w:r>
          </w:p>
          <w:p w14:paraId="03B5F77E" w14:textId="77777777" w:rsidR="00000000" w:rsidRPr="00BE00C7" w:rsidRDefault="00000000" w:rsidP="00BE00C7">
            <w:pPr>
              <w:pStyle w:val="OutcomeDescription"/>
              <w:spacing w:before="120" w:after="120"/>
              <w:rPr>
                <w:rFonts w:cs="Arial"/>
                <w:lang w:eastAsia="en-NZ"/>
              </w:rPr>
            </w:pPr>
          </w:p>
        </w:tc>
      </w:tr>
      <w:tr w:rsidR="00A34A3C" w14:paraId="36AD1A18" w14:textId="77777777">
        <w:tc>
          <w:tcPr>
            <w:tcW w:w="0" w:type="auto"/>
          </w:tcPr>
          <w:p w14:paraId="2D8334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D80B4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D98F187" w14:textId="77777777" w:rsidR="00000000" w:rsidRPr="00BE00C7" w:rsidRDefault="00000000" w:rsidP="00BE00C7">
            <w:pPr>
              <w:pStyle w:val="OutcomeDescription"/>
              <w:spacing w:before="120" w:after="120"/>
              <w:rPr>
                <w:rFonts w:cs="Arial"/>
                <w:lang w:eastAsia="en-NZ"/>
              </w:rPr>
            </w:pPr>
          </w:p>
        </w:tc>
        <w:tc>
          <w:tcPr>
            <w:tcW w:w="0" w:type="auto"/>
          </w:tcPr>
          <w:p w14:paraId="1F76CB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5FE5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through resident and whānau interviews, satisfaction surveys, and resident meeting minutes.</w:t>
            </w:r>
          </w:p>
          <w:p w14:paraId="18F2B4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external contractor operates with an approved food safety plan and registration that expires on 30 January 2027.</w:t>
            </w:r>
          </w:p>
          <w:p w14:paraId="32104ED5" w14:textId="77777777" w:rsidR="00000000" w:rsidRPr="00BE00C7" w:rsidRDefault="00000000" w:rsidP="00BE00C7">
            <w:pPr>
              <w:pStyle w:val="OutcomeDescription"/>
              <w:spacing w:before="120" w:after="120"/>
              <w:rPr>
                <w:rFonts w:cs="Arial"/>
                <w:lang w:eastAsia="en-NZ"/>
              </w:rPr>
            </w:pPr>
          </w:p>
        </w:tc>
      </w:tr>
      <w:tr w:rsidR="00A34A3C" w14:paraId="0B660503" w14:textId="77777777">
        <w:tc>
          <w:tcPr>
            <w:tcW w:w="0" w:type="auto"/>
          </w:tcPr>
          <w:p w14:paraId="29CEE6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17F0F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lastRenderedPageBreak/>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281D0A8" w14:textId="77777777" w:rsidR="00000000" w:rsidRPr="00BE00C7" w:rsidRDefault="00000000" w:rsidP="00BE00C7">
            <w:pPr>
              <w:pStyle w:val="OutcomeDescription"/>
              <w:spacing w:before="120" w:after="120"/>
              <w:rPr>
                <w:rFonts w:cs="Arial"/>
                <w:lang w:eastAsia="en-NZ"/>
              </w:rPr>
            </w:pPr>
          </w:p>
        </w:tc>
        <w:tc>
          <w:tcPr>
            <w:tcW w:w="0" w:type="auto"/>
          </w:tcPr>
          <w:p w14:paraId="492E70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AD67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w:t>
            </w:r>
            <w:r w:rsidRPr="00BE00C7">
              <w:rPr>
                <w:rFonts w:cs="Arial"/>
                <w:lang w:eastAsia="en-NZ"/>
              </w:rPr>
              <w:lastRenderedPageBreak/>
              <w:t xml:space="preserve">relative.   </w:t>
            </w:r>
          </w:p>
          <w:p w14:paraId="38721395" w14:textId="77777777" w:rsidR="00000000" w:rsidRPr="00BE00C7" w:rsidRDefault="00000000" w:rsidP="00BE00C7">
            <w:pPr>
              <w:pStyle w:val="OutcomeDescription"/>
              <w:spacing w:before="120" w:after="120"/>
              <w:rPr>
                <w:rFonts w:cs="Arial"/>
                <w:lang w:eastAsia="en-NZ"/>
              </w:rPr>
            </w:pPr>
          </w:p>
        </w:tc>
      </w:tr>
      <w:tr w:rsidR="00A34A3C" w14:paraId="6B725F3E" w14:textId="77777777">
        <w:tc>
          <w:tcPr>
            <w:tcW w:w="0" w:type="auto"/>
          </w:tcPr>
          <w:p w14:paraId="63DAFB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62E800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976A940" w14:textId="77777777" w:rsidR="00000000" w:rsidRPr="00BE00C7" w:rsidRDefault="00000000" w:rsidP="00BE00C7">
            <w:pPr>
              <w:pStyle w:val="OutcomeDescription"/>
              <w:spacing w:before="120" w:after="120"/>
              <w:rPr>
                <w:rFonts w:cs="Arial"/>
                <w:lang w:eastAsia="en-NZ"/>
              </w:rPr>
            </w:pPr>
          </w:p>
        </w:tc>
        <w:tc>
          <w:tcPr>
            <w:tcW w:w="0" w:type="auto"/>
          </w:tcPr>
          <w:p w14:paraId="584803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BDD3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which was displayed at the entrance of the facility and the expiry date reviewed was 1 June 2026. </w:t>
            </w:r>
          </w:p>
          <w:p w14:paraId="566E734E"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Electrical and biomedical testing was completed on all medical equipment and equipment requiring calibration checks. This equipment check and performance review was completed by a contracted service provider on 26 August 2025. An inventory of all equipment and resources was maintained. The testing and tagging of electrical equipment around the facility and in the residents’ individual rooms was completed in two stages in October 2025 and March 2026, due to the size of the facility. All records were maintained by the operations manager – support.</w:t>
            </w:r>
          </w:p>
          <w:p w14:paraId="664A60E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4E74A1DC" w14:textId="77777777" w:rsidR="00000000" w:rsidRPr="00BE00C7" w:rsidRDefault="00000000" w:rsidP="00BE00C7">
            <w:pPr>
              <w:pStyle w:val="OutcomeDescription"/>
              <w:spacing w:before="120" w:after="120"/>
              <w:rPr>
                <w:rFonts w:cs="Arial"/>
                <w:lang w:eastAsia="en-NZ"/>
              </w:rPr>
            </w:pPr>
          </w:p>
        </w:tc>
      </w:tr>
      <w:tr w:rsidR="00A34A3C" w14:paraId="656E7FA1" w14:textId="77777777">
        <w:tc>
          <w:tcPr>
            <w:tcW w:w="0" w:type="auto"/>
          </w:tcPr>
          <w:p w14:paraId="1DBCC4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DBA5B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2144C9C3" w14:textId="77777777" w:rsidR="00000000" w:rsidRPr="00BE00C7" w:rsidRDefault="00000000" w:rsidP="00BE00C7">
            <w:pPr>
              <w:pStyle w:val="OutcomeDescription"/>
              <w:spacing w:before="120" w:after="120"/>
              <w:rPr>
                <w:rFonts w:cs="Arial"/>
                <w:lang w:eastAsia="en-NZ"/>
              </w:rPr>
            </w:pPr>
          </w:p>
        </w:tc>
        <w:tc>
          <w:tcPr>
            <w:tcW w:w="0" w:type="auto"/>
          </w:tcPr>
          <w:p w14:paraId="66FCFA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0FF3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is currently orientating into the role of infection prevention and control coordinator (IPCC) and is responsible for overseeing and implementing the IP programme, which has been developed by those with IP expertise and approved by the governance body. The programme is linked to the quality improvement programme and is reviewed and reported on annually. This was confirmed by the IPCC and review of the programme documentation. </w:t>
            </w:r>
          </w:p>
          <w:p w14:paraId="08EDCD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and practices through orientation and ongoing education and were observed to follow these correctly. Residents </w:t>
            </w:r>
            <w:r w:rsidRPr="00BE00C7">
              <w:rPr>
                <w:rFonts w:cs="Arial"/>
                <w:lang w:eastAsia="en-NZ"/>
              </w:rPr>
              <w:lastRenderedPageBreak/>
              <w:t>and their whānau are educated about infection prevention in a manner that meets their needs.</w:t>
            </w:r>
          </w:p>
          <w:p w14:paraId="25FC91B4" w14:textId="77777777" w:rsidR="00000000" w:rsidRPr="00BE00C7" w:rsidRDefault="00000000" w:rsidP="00BE00C7">
            <w:pPr>
              <w:pStyle w:val="OutcomeDescription"/>
              <w:spacing w:before="120" w:after="120"/>
              <w:rPr>
                <w:rFonts w:cs="Arial"/>
                <w:lang w:eastAsia="en-NZ"/>
              </w:rPr>
            </w:pPr>
          </w:p>
        </w:tc>
      </w:tr>
      <w:tr w:rsidR="00A34A3C" w14:paraId="6BDBE9C0" w14:textId="77777777">
        <w:tc>
          <w:tcPr>
            <w:tcW w:w="0" w:type="auto"/>
          </w:tcPr>
          <w:p w14:paraId="5B232A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F147B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FC25320" w14:textId="77777777" w:rsidR="00000000" w:rsidRPr="00BE00C7" w:rsidRDefault="00000000" w:rsidP="00BE00C7">
            <w:pPr>
              <w:pStyle w:val="OutcomeDescription"/>
              <w:spacing w:before="120" w:after="120"/>
              <w:rPr>
                <w:rFonts w:cs="Arial"/>
                <w:lang w:eastAsia="en-NZ"/>
              </w:rPr>
            </w:pPr>
          </w:p>
        </w:tc>
        <w:tc>
          <w:tcPr>
            <w:tcW w:w="0" w:type="auto"/>
          </w:tcPr>
          <w:p w14:paraId="5CFC00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BBE873"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includes ethnicity data.  Results of the surveillance programme are shared with staff and reported to the governing body.  Summary reports for two infection outbreaks in September 2025 were reviewed, and they demonstrated a thorough process for investigation and follow-up. Learnings from the event have now been incorporated into practice.</w:t>
            </w:r>
          </w:p>
          <w:p w14:paraId="25D15CA5" w14:textId="77777777" w:rsidR="00000000" w:rsidRPr="00BE00C7" w:rsidRDefault="00000000" w:rsidP="00BE00C7">
            <w:pPr>
              <w:pStyle w:val="OutcomeDescription"/>
              <w:spacing w:before="120" w:after="120"/>
              <w:rPr>
                <w:rFonts w:cs="Arial"/>
                <w:lang w:eastAsia="en-NZ"/>
              </w:rPr>
            </w:pPr>
          </w:p>
        </w:tc>
      </w:tr>
      <w:tr w:rsidR="00A34A3C" w14:paraId="5575BB8D" w14:textId="77777777">
        <w:tc>
          <w:tcPr>
            <w:tcW w:w="0" w:type="auto"/>
          </w:tcPr>
          <w:p w14:paraId="6EA353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AC16D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9815EF8" w14:textId="77777777" w:rsidR="00000000" w:rsidRPr="00BE00C7" w:rsidRDefault="00000000" w:rsidP="00BE00C7">
            <w:pPr>
              <w:pStyle w:val="OutcomeDescription"/>
              <w:spacing w:before="120" w:after="120"/>
              <w:rPr>
                <w:rFonts w:cs="Arial"/>
                <w:lang w:eastAsia="en-NZ"/>
              </w:rPr>
            </w:pPr>
          </w:p>
        </w:tc>
        <w:tc>
          <w:tcPr>
            <w:tcW w:w="0" w:type="auto"/>
          </w:tcPr>
          <w:p w14:paraId="332522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A434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was no restraint in use, and this has been the case for over five years. Any use of restraint is reported to the governing body. Staff reported, and documentation evidenced, that staff have been trained in the least restrictive practice, safe restraint practice, alternative cultural-specific interventions, and de-escalation techniques. </w:t>
            </w:r>
          </w:p>
          <w:p w14:paraId="60812591"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demonstrates commitment to this, supported by a member of the executive leadership at operational level.</w:t>
            </w:r>
          </w:p>
          <w:p w14:paraId="558B20CA" w14:textId="77777777" w:rsidR="00000000" w:rsidRPr="00BE00C7" w:rsidRDefault="00000000" w:rsidP="00BE00C7">
            <w:pPr>
              <w:pStyle w:val="OutcomeDescription"/>
              <w:spacing w:before="120" w:after="120"/>
              <w:rPr>
                <w:rFonts w:cs="Arial"/>
                <w:lang w:eastAsia="en-NZ"/>
              </w:rPr>
            </w:pPr>
          </w:p>
        </w:tc>
      </w:tr>
    </w:tbl>
    <w:p w14:paraId="20A8E5B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A8180FD" w14:textId="77777777" w:rsidR="00000000" w:rsidRDefault="00000000">
      <w:pPr>
        <w:pStyle w:val="Heading1"/>
        <w:rPr>
          <w:rFonts w:cs="Arial"/>
        </w:rPr>
      </w:pPr>
      <w:r>
        <w:rPr>
          <w:rFonts w:cs="Arial"/>
        </w:rPr>
        <w:lastRenderedPageBreak/>
        <w:t>Specific results for criterion where corrective actions are required</w:t>
      </w:r>
    </w:p>
    <w:p w14:paraId="253E25C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C3C222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9F70A5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34A3C" w14:paraId="121B5ADA" w14:textId="77777777">
        <w:tc>
          <w:tcPr>
            <w:tcW w:w="0" w:type="auto"/>
          </w:tcPr>
          <w:p w14:paraId="65553D3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E79232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8476836" w14:textId="77777777" w:rsidR="00000000" w:rsidRDefault="00000000">
      <w:pPr>
        <w:pStyle w:val="Heading1"/>
        <w:rPr>
          <w:rFonts w:cs="Arial"/>
        </w:rPr>
      </w:pPr>
      <w:r>
        <w:rPr>
          <w:rFonts w:cs="Arial"/>
        </w:rPr>
        <w:lastRenderedPageBreak/>
        <w:t>Specific results for criterion where a continuous improvement has been recorded</w:t>
      </w:r>
    </w:p>
    <w:p w14:paraId="7675CAE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FF6510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78FEB5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34A3C" w14:paraId="0BD93916" w14:textId="77777777">
        <w:tc>
          <w:tcPr>
            <w:tcW w:w="0" w:type="auto"/>
          </w:tcPr>
          <w:p w14:paraId="774421F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76FC7C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650CFE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B659" w14:textId="77777777" w:rsidR="007100A4" w:rsidRDefault="007100A4">
      <w:r>
        <w:separator/>
      </w:r>
    </w:p>
  </w:endnote>
  <w:endnote w:type="continuationSeparator" w:id="0">
    <w:p w14:paraId="57A2D489" w14:textId="77777777" w:rsidR="007100A4" w:rsidRDefault="0071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961F" w14:textId="77777777" w:rsidR="00000000" w:rsidRDefault="00000000">
    <w:pPr>
      <w:pStyle w:val="Footer"/>
    </w:pPr>
  </w:p>
  <w:p w14:paraId="25D9FC5A" w14:textId="77777777" w:rsidR="00000000" w:rsidRDefault="00000000"/>
  <w:p w14:paraId="36B2E16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5B1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Kamo Home &amp; Village Charitable Trust - Kamo Home and Village</w:t>
    </w:r>
    <w:bookmarkEnd w:id="59"/>
    <w:r>
      <w:rPr>
        <w:rFonts w:cs="Arial"/>
        <w:sz w:val="16"/>
        <w:szCs w:val="20"/>
      </w:rPr>
      <w:tab/>
      <w:t xml:space="preserve">Date of Audit: </w:t>
    </w:r>
    <w:bookmarkStart w:id="60" w:name="AuditStartDate1"/>
    <w:r>
      <w:rPr>
        <w:rFonts w:cs="Arial"/>
        <w:sz w:val="16"/>
        <w:szCs w:val="20"/>
      </w:rPr>
      <w:t>3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A18FD3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7C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3ABF" w14:textId="77777777" w:rsidR="007100A4" w:rsidRDefault="007100A4">
      <w:r>
        <w:separator/>
      </w:r>
    </w:p>
  </w:footnote>
  <w:footnote w:type="continuationSeparator" w:id="0">
    <w:p w14:paraId="679D5D0A" w14:textId="77777777" w:rsidR="007100A4" w:rsidRDefault="0071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B392" w14:textId="77777777" w:rsidR="00000000" w:rsidRDefault="00000000">
    <w:pPr>
      <w:pStyle w:val="Header"/>
    </w:pPr>
  </w:p>
  <w:p w14:paraId="2496DBA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2DED" w14:textId="77777777" w:rsidR="00000000" w:rsidRDefault="00000000">
    <w:pPr>
      <w:pStyle w:val="Header"/>
    </w:pPr>
  </w:p>
  <w:p w14:paraId="1B9592C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5E3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36CDA8C">
      <w:start w:val="1"/>
      <w:numFmt w:val="decimal"/>
      <w:lvlText w:val="%1."/>
      <w:lvlJc w:val="left"/>
      <w:pPr>
        <w:ind w:left="360" w:hanging="360"/>
      </w:pPr>
    </w:lvl>
    <w:lvl w:ilvl="1" w:tplc="BD9CBE54" w:tentative="1">
      <w:start w:val="1"/>
      <w:numFmt w:val="lowerLetter"/>
      <w:lvlText w:val="%2."/>
      <w:lvlJc w:val="left"/>
      <w:pPr>
        <w:ind w:left="1080" w:hanging="360"/>
      </w:pPr>
    </w:lvl>
    <w:lvl w:ilvl="2" w:tplc="2C365900" w:tentative="1">
      <w:start w:val="1"/>
      <w:numFmt w:val="lowerRoman"/>
      <w:lvlText w:val="%3."/>
      <w:lvlJc w:val="right"/>
      <w:pPr>
        <w:ind w:left="1800" w:hanging="180"/>
      </w:pPr>
    </w:lvl>
    <w:lvl w:ilvl="3" w:tplc="E59ADD3E" w:tentative="1">
      <w:start w:val="1"/>
      <w:numFmt w:val="decimal"/>
      <w:lvlText w:val="%4."/>
      <w:lvlJc w:val="left"/>
      <w:pPr>
        <w:ind w:left="2520" w:hanging="360"/>
      </w:pPr>
    </w:lvl>
    <w:lvl w:ilvl="4" w:tplc="577A5D76" w:tentative="1">
      <w:start w:val="1"/>
      <w:numFmt w:val="lowerLetter"/>
      <w:lvlText w:val="%5."/>
      <w:lvlJc w:val="left"/>
      <w:pPr>
        <w:ind w:left="3240" w:hanging="360"/>
      </w:pPr>
    </w:lvl>
    <w:lvl w:ilvl="5" w:tplc="08EC987E" w:tentative="1">
      <w:start w:val="1"/>
      <w:numFmt w:val="lowerRoman"/>
      <w:lvlText w:val="%6."/>
      <w:lvlJc w:val="right"/>
      <w:pPr>
        <w:ind w:left="3960" w:hanging="180"/>
      </w:pPr>
    </w:lvl>
    <w:lvl w:ilvl="6" w:tplc="A0DCA1A8" w:tentative="1">
      <w:start w:val="1"/>
      <w:numFmt w:val="decimal"/>
      <w:lvlText w:val="%7."/>
      <w:lvlJc w:val="left"/>
      <w:pPr>
        <w:ind w:left="4680" w:hanging="360"/>
      </w:pPr>
    </w:lvl>
    <w:lvl w:ilvl="7" w:tplc="282C6662" w:tentative="1">
      <w:start w:val="1"/>
      <w:numFmt w:val="lowerLetter"/>
      <w:lvlText w:val="%8."/>
      <w:lvlJc w:val="left"/>
      <w:pPr>
        <w:ind w:left="5400" w:hanging="360"/>
      </w:pPr>
    </w:lvl>
    <w:lvl w:ilvl="8" w:tplc="17A42E8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2CC6880">
      <w:start w:val="1"/>
      <w:numFmt w:val="bullet"/>
      <w:lvlText w:val=""/>
      <w:lvlJc w:val="left"/>
      <w:pPr>
        <w:ind w:left="720" w:hanging="360"/>
      </w:pPr>
      <w:rPr>
        <w:rFonts w:ascii="Symbol" w:hAnsi="Symbol" w:hint="default"/>
      </w:rPr>
    </w:lvl>
    <w:lvl w:ilvl="1" w:tplc="78885E64" w:tentative="1">
      <w:start w:val="1"/>
      <w:numFmt w:val="bullet"/>
      <w:lvlText w:val="o"/>
      <w:lvlJc w:val="left"/>
      <w:pPr>
        <w:ind w:left="1440" w:hanging="360"/>
      </w:pPr>
      <w:rPr>
        <w:rFonts w:ascii="Courier New" w:hAnsi="Courier New" w:cs="Courier New" w:hint="default"/>
      </w:rPr>
    </w:lvl>
    <w:lvl w:ilvl="2" w:tplc="87323168" w:tentative="1">
      <w:start w:val="1"/>
      <w:numFmt w:val="bullet"/>
      <w:lvlText w:val=""/>
      <w:lvlJc w:val="left"/>
      <w:pPr>
        <w:ind w:left="2160" w:hanging="360"/>
      </w:pPr>
      <w:rPr>
        <w:rFonts w:ascii="Wingdings" w:hAnsi="Wingdings" w:hint="default"/>
      </w:rPr>
    </w:lvl>
    <w:lvl w:ilvl="3" w:tplc="E49CDD48" w:tentative="1">
      <w:start w:val="1"/>
      <w:numFmt w:val="bullet"/>
      <w:lvlText w:val=""/>
      <w:lvlJc w:val="left"/>
      <w:pPr>
        <w:ind w:left="2880" w:hanging="360"/>
      </w:pPr>
      <w:rPr>
        <w:rFonts w:ascii="Symbol" w:hAnsi="Symbol" w:hint="default"/>
      </w:rPr>
    </w:lvl>
    <w:lvl w:ilvl="4" w:tplc="B996492E" w:tentative="1">
      <w:start w:val="1"/>
      <w:numFmt w:val="bullet"/>
      <w:lvlText w:val="o"/>
      <w:lvlJc w:val="left"/>
      <w:pPr>
        <w:ind w:left="3600" w:hanging="360"/>
      </w:pPr>
      <w:rPr>
        <w:rFonts w:ascii="Courier New" w:hAnsi="Courier New" w:cs="Courier New" w:hint="default"/>
      </w:rPr>
    </w:lvl>
    <w:lvl w:ilvl="5" w:tplc="ED7652A4" w:tentative="1">
      <w:start w:val="1"/>
      <w:numFmt w:val="bullet"/>
      <w:lvlText w:val=""/>
      <w:lvlJc w:val="left"/>
      <w:pPr>
        <w:ind w:left="4320" w:hanging="360"/>
      </w:pPr>
      <w:rPr>
        <w:rFonts w:ascii="Wingdings" w:hAnsi="Wingdings" w:hint="default"/>
      </w:rPr>
    </w:lvl>
    <w:lvl w:ilvl="6" w:tplc="ED185C00" w:tentative="1">
      <w:start w:val="1"/>
      <w:numFmt w:val="bullet"/>
      <w:lvlText w:val=""/>
      <w:lvlJc w:val="left"/>
      <w:pPr>
        <w:ind w:left="5040" w:hanging="360"/>
      </w:pPr>
      <w:rPr>
        <w:rFonts w:ascii="Symbol" w:hAnsi="Symbol" w:hint="default"/>
      </w:rPr>
    </w:lvl>
    <w:lvl w:ilvl="7" w:tplc="DA5220E2" w:tentative="1">
      <w:start w:val="1"/>
      <w:numFmt w:val="bullet"/>
      <w:lvlText w:val="o"/>
      <w:lvlJc w:val="left"/>
      <w:pPr>
        <w:ind w:left="5760" w:hanging="360"/>
      </w:pPr>
      <w:rPr>
        <w:rFonts w:ascii="Courier New" w:hAnsi="Courier New" w:cs="Courier New" w:hint="default"/>
      </w:rPr>
    </w:lvl>
    <w:lvl w:ilvl="8" w:tplc="CF56925A" w:tentative="1">
      <w:start w:val="1"/>
      <w:numFmt w:val="bullet"/>
      <w:lvlText w:val=""/>
      <w:lvlJc w:val="left"/>
      <w:pPr>
        <w:ind w:left="6480" w:hanging="360"/>
      </w:pPr>
      <w:rPr>
        <w:rFonts w:ascii="Wingdings" w:hAnsi="Wingdings" w:hint="default"/>
      </w:rPr>
    </w:lvl>
  </w:abstractNum>
  <w:num w:numId="1" w16cid:durableId="1808014853">
    <w:abstractNumId w:val="1"/>
  </w:num>
  <w:num w:numId="2" w16cid:durableId="146546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3C"/>
    <w:rsid w:val="0002660D"/>
    <w:rsid w:val="007100A4"/>
    <w:rsid w:val="00842744"/>
    <w:rsid w:val="00A34A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A4D3"/>
  <w15:docId w15:val="{F9647D7A-6EB8-4C3C-8D2E-78C3F856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6169</Words>
  <Characters>35166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2026-04-15T20:28:00Z</dcterms:created>
  <dcterms:modified xsi:type="dcterms:W3CDTF">2026-04-15T20:28:00Z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