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2D74" w14:textId="77777777" w:rsidR="00000000" w:rsidRDefault="00000000">
      <w:pPr>
        <w:pStyle w:val="Heading1"/>
        <w:rPr>
          <w:rFonts w:cs="Arial"/>
        </w:rPr>
      </w:pPr>
      <w:bookmarkStart w:id="0" w:name="PRMS_RIName"/>
      <w:r>
        <w:rPr>
          <w:rFonts w:cs="Arial"/>
        </w:rPr>
        <w:t>Gracedale Care Limited - Gracedale Hospital</w:t>
      </w:r>
      <w:bookmarkEnd w:id="0"/>
    </w:p>
    <w:p w14:paraId="0FFAA3BE" w14:textId="77777777" w:rsidR="00000000" w:rsidRDefault="00000000">
      <w:pPr>
        <w:pStyle w:val="Heading2"/>
        <w:spacing w:after="0"/>
        <w:rPr>
          <w:rFonts w:cs="Arial"/>
        </w:rPr>
      </w:pPr>
      <w:r>
        <w:rPr>
          <w:rFonts w:cs="Arial"/>
        </w:rPr>
        <w:t>Introduction</w:t>
      </w:r>
    </w:p>
    <w:p w14:paraId="1D68796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C055169"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10F47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7EA84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20BB1F2" w14:textId="77777777" w:rsidR="00000000" w:rsidRDefault="00000000">
      <w:pPr>
        <w:spacing w:before="240" w:after="240"/>
        <w:rPr>
          <w:rFonts w:cs="Arial"/>
          <w:lang w:eastAsia="en-NZ"/>
        </w:rPr>
      </w:pPr>
      <w:r>
        <w:rPr>
          <w:rFonts w:cs="Arial"/>
          <w:lang w:eastAsia="en-NZ"/>
        </w:rPr>
        <w:t>The specifics of this audit included:</w:t>
      </w:r>
    </w:p>
    <w:p w14:paraId="75B67A2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47A65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Gracedale Care Limited</w:t>
      </w:r>
      <w:bookmarkEnd w:id="4"/>
    </w:p>
    <w:p w14:paraId="168710E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Gracedale Hospital</w:t>
      </w:r>
      <w:bookmarkEnd w:id="5"/>
    </w:p>
    <w:p w14:paraId="569FA33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5454B2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February 2026</w:t>
      </w:r>
      <w:bookmarkEnd w:id="7"/>
      <w:r w:rsidRPr="009418D4">
        <w:rPr>
          <w:rFonts w:cs="Arial"/>
        </w:rPr>
        <w:tab/>
        <w:t xml:space="preserve">End date: </w:t>
      </w:r>
      <w:bookmarkStart w:id="8" w:name="AuditEndDate"/>
      <w:r>
        <w:rPr>
          <w:rFonts w:cs="Arial"/>
        </w:rPr>
        <w:t>18 February 2026</w:t>
      </w:r>
      <w:bookmarkEnd w:id="8"/>
    </w:p>
    <w:p w14:paraId="0E60C64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1A4351E" w14:textId="77777777" w:rsidR="00E0471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03967BC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F16ED10" w14:textId="77777777" w:rsidR="00000000" w:rsidRDefault="00000000">
      <w:pPr>
        <w:pStyle w:val="Heading1"/>
        <w:rPr>
          <w:rFonts w:cs="Arial"/>
        </w:rPr>
      </w:pPr>
      <w:r>
        <w:rPr>
          <w:rFonts w:cs="Arial"/>
        </w:rPr>
        <w:lastRenderedPageBreak/>
        <w:t>Executive summary of the audit</w:t>
      </w:r>
    </w:p>
    <w:p w14:paraId="6D915700" w14:textId="77777777" w:rsidR="00000000" w:rsidRDefault="00000000">
      <w:pPr>
        <w:pStyle w:val="Heading2"/>
        <w:rPr>
          <w:rFonts w:cs="Arial"/>
        </w:rPr>
      </w:pPr>
      <w:r>
        <w:rPr>
          <w:rFonts w:cs="Arial"/>
        </w:rPr>
        <w:t>Introduction</w:t>
      </w:r>
    </w:p>
    <w:p w14:paraId="7BC3932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8F2596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45C8A7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D393DC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804558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9532D5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6FFF72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4B9F0C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C57F3E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04710" w14:paraId="69151049" w14:textId="77777777">
        <w:trPr>
          <w:cantSplit/>
          <w:tblHeader/>
        </w:trPr>
        <w:tc>
          <w:tcPr>
            <w:tcW w:w="1260" w:type="dxa"/>
            <w:tcBorders>
              <w:bottom w:val="single" w:sz="4" w:space="0" w:color="000000"/>
            </w:tcBorders>
            <w:vAlign w:val="center"/>
          </w:tcPr>
          <w:p w14:paraId="3535331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4F7014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2F9ED65" w14:textId="77777777" w:rsidR="00000000" w:rsidRDefault="00000000">
            <w:pPr>
              <w:spacing w:before="60" w:after="60"/>
              <w:rPr>
                <w:rFonts w:eastAsia="Calibri"/>
                <w:b/>
                <w:szCs w:val="24"/>
              </w:rPr>
            </w:pPr>
            <w:r>
              <w:rPr>
                <w:rFonts w:eastAsia="Calibri"/>
                <w:b/>
                <w:szCs w:val="24"/>
              </w:rPr>
              <w:t>Definition</w:t>
            </w:r>
          </w:p>
        </w:tc>
      </w:tr>
      <w:tr w:rsidR="00E04710" w14:paraId="4B39B70D" w14:textId="77777777">
        <w:trPr>
          <w:cantSplit/>
          <w:trHeight w:val="964"/>
        </w:trPr>
        <w:tc>
          <w:tcPr>
            <w:tcW w:w="1260" w:type="dxa"/>
            <w:tcBorders>
              <w:bottom w:val="single" w:sz="4" w:space="0" w:color="000000"/>
            </w:tcBorders>
            <w:shd w:val="clear" w:color="0066FF" w:fill="0000FF"/>
            <w:vAlign w:val="center"/>
          </w:tcPr>
          <w:p w14:paraId="681E9D21"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797EE84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4A2F91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04710" w14:paraId="269AF63C" w14:textId="77777777">
        <w:trPr>
          <w:cantSplit/>
          <w:trHeight w:val="964"/>
        </w:trPr>
        <w:tc>
          <w:tcPr>
            <w:tcW w:w="1260" w:type="dxa"/>
            <w:shd w:val="clear" w:color="33CC33" w:fill="00FF00"/>
            <w:vAlign w:val="center"/>
          </w:tcPr>
          <w:p w14:paraId="00303835" w14:textId="77777777" w:rsidR="00000000" w:rsidRDefault="00000000">
            <w:pPr>
              <w:spacing w:before="60" w:after="60"/>
              <w:rPr>
                <w:rFonts w:eastAsia="Calibri"/>
                <w:szCs w:val="24"/>
              </w:rPr>
            </w:pPr>
          </w:p>
        </w:tc>
        <w:tc>
          <w:tcPr>
            <w:tcW w:w="7095" w:type="dxa"/>
            <w:vAlign w:val="center"/>
          </w:tcPr>
          <w:p w14:paraId="54E8EB7F"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69F415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04710" w14:paraId="790F89D3" w14:textId="77777777">
        <w:trPr>
          <w:cantSplit/>
          <w:trHeight w:val="964"/>
        </w:trPr>
        <w:tc>
          <w:tcPr>
            <w:tcW w:w="1260" w:type="dxa"/>
            <w:tcBorders>
              <w:bottom w:val="single" w:sz="4" w:space="0" w:color="000000"/>
            </w:tcBorders>
            <w:shd w:val="clear" w:color="auto" w:fill="FFFF00"/>
            <w:vAlign w:val="center"/>
          </w:tcPr>
          <w:p w14:paraId="21E51BCA" w14:textId="77777777" w:rsidR="00000000" w:rsidRDefault="00000000">
            <w:pPr>
              <w:spacing w:before="60" w:after="60"/>
              <w:rPr>
                <w:rFonts w:eastAsia="Calibri"/>
                <w:szCs w:val="24"/>
              </w:rPr>
            </w:pPr>
          </w:p>
        </w:tc>
        <w:tc>
          <w:tcPr>
            <w:tcW w:w="7095" w:type="dxa"/>
            <w:vAlign w:val="center"/>
          </w:tcPr>
          <w:p w14:paraId="6D67CC8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21D4C9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04710" w14:paraId="7E37AA16" w14:textId="77777777">
        <w:trPr>
          <w:cantSplit/>
          <w:trHeight w:val="964"/>
        </w:trPr>
        <w:tc>
          <w:tcPr>
            <w:tcW w:w="1260" w:type="dxa"/>
            <w:tcBorders>
              <w:bottom w:val="single" w:sz="4" w:space="0" w:color="000000"/>
            </w:tcBorders>
            <w:shd w:val="clear" w:color="auto" w:fill="FFC800"/>
            <w:vAlign w:val="center"/>
          </w:tcPr>
          <w:p w14:paraId="64276F77"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57EC265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9877F9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04710" w14:paraId="222326C3" w14:textId="77777777">
        <w:trPr>
          <w:cantSplit/>
          <w:trHeight w:val="964"/>
        </w:trPr>
        <w:tc>
          <w:tcPr>
            <w:tcW w:w="1260" w:type="dxa"/>
            <w:shd w:val="clear" w:color="auto" w:fill="FF0000"/>
            <w:vAlign w:val="center"/>
          </w:tcPr>
          <w:p w14:paraId="3884F817" w14:textId="77777777" w:rsidR="00000000" w:rsidRDefault="00000000">
            <w:pPr>
              <w:spacing w:before="60" w:after="60"/>
              <w:rPr>
                <w:rFonts w:eastAsia="Calibri"/>
                <w:szCs w:val="24"/>
              </w:rPr>
            </w:pPr>
          </w:p>
        </w:tc>
        <w:tc>
          <w:tcPr>
            <w:tcW w:w="7095" w:type="dxa"/>
            <w:vAlign w:val="center"/>
          </w:tcPr>
          <w:p w14:paraId="602E6BF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FF1966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992D5BD" w14:textId="77777777" w:rsidR="00000000" w:rsidRDefault="00000000">
      <w:pPr>
        <w:pStyle w:val="Heading2"/>
        <w:spacing w:after="0"/>
        <w:rPr>
          <w:rFonts w:cs="Arial"/>
        </w:rPr>
      </w:pPr>
      <w:r>
        <w:rPr>
          <w:rFonts w:cs="Arial"/>
        </w:rPr>
        <w:t>General overview of the audit</w:t>
      </w:r>
    </w:p>
    <w:p w14:paraId="511E97C3" w14:textId="77777777" w:rsidR="00000000" w:rsidRDefault="00000000">
      <w:pPr>
        <w:spacing w:before="240" w:line="276" w:lineRule="auto"/>
        <w:rPr>
          <w:rFonts w:eastAsia="Calibri"/>
        </w:rPr>
      </w:pPr>
      <w:bookmarkStart w:id="13" w:name="GeneralOverview"/>
      <w:r w:rsidRPr="00A4268A">
        <w:rPr>
          <w:rFonts w:eastAsia="Calibri"/>
        </w:rPr>
        <w:t xml:space="preserve">Gracedale Care Limited – Gracedale Hospital (Gracedale Hospital) provides rest home and hospital levels of care for up to 36 residents. Since the previous audit, renovation of residents’ rooms with new carpet and upgrade of curtains and lighting throughout the facility have been commenced and are ongoing. </w:t>
      </w:r>
    </w:p>
    <w:p w14:paraId="1DB10775" w14:textId="77777777" w:rsidR="00E04710"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members of the governance group, the manager, staff and a general practitioner. </w:t>
      </w:r>
    </w:p>
    <w:p w14:paraId="2B77D165" w14:textId="77777777" w:rsidR="00E04710" w:rsidRPr="00A4268A" w:rsidRDefault="00000000">
      <w:pPr>
        <w:spacing w:before="240" w:line="276" w:lineRule="auto"/>
        <w:rPr>
          <w:rFonts w:eastAsia="Calibri"/>
        </w:rPr>
      </w:pPr>
      <w:r w:rsidRPr="00A4268A">
        <w:rPr>
          <w:rFonts w:eastAsia="Calibri"/>
        </w:rPr>
        <w:t>The previous corrective action required from the previous audit has been addressed, with improvements made to formal reporting processes.  There are no corrective actions identified at this audit.</w:t>
      </w:r>
    </w:p>
    <w:bookmarkEnd w:id="13"/>
    <w:p w14:paraId="2EA8EAE1" w14:textId="77777777" w:rsidR="00E04710" w:rsidRPr="00A4268A" w:rsidRDefault="00E04710">
      <w:pPr>
        <w:spacing w:before="240" w:line="276" w:lineRule="auto"/>
        <w:rPr>
          <w:rFonts w:eastAsia="Calibri"/>
        </w:rPr>
      </w:pPr>
    </w:p>
    <w:p w14:paraId="214795C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4710" w14:paraId="532DD94E" w14:textId="77777777" w:rsidTr="00A4268A">
        <w:trPr>
          <w:cantSplit/>
        </w:trPr>
        <w:tc>
          <w:tcPr>
            <w:tcW w:w="10206" w:type="dxa"/>
            <w:vAlign w:val="center"/>
          </w:tcPr>
          <w:p w14:paraId="5248C2B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61AEE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7FD35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4DCBC3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0F67641"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Gracedale Hospital works collaboratively to support and encourage a Māori world view of health in service delivery. Māori are provided with equitable and effective services based on Te Tiriti o Waitangi and the principles of mana motuhake. </w:t>
      </w:r>
    </w:p>
    <w:p w14:paraId="2A236B30" w14:textId="77777777" w:rsidR="00E04710"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2BD3E688" w14:textId="77777777" w:rsidR="00E04710"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patients was respected. </w:t>
      </w:r>
    </w:p>
    <w:p w14:paraId="7B3FBDEE" w14:textId="77777777" w:rsidR="00E04710"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57663B16" w14:textId="77777777" w:rsidR="00E04710"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07F59CED" w14:textId="77777777" w:rsidR="00E04710" w:rsidRPr="00A4268A" w:rsidRDefault="00E04710">
      <w:pPr>
        <w:spacing w:before="240" w:line="276" w:lineRule="auto"/>
        <w:rPr>
          <w:rFonts w:eastAsia="Calibri"/>
        </w:rPr>
      </w:pPr>
    </w:p>
    <w:p w14:paraId="7491F31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4710" w14:paraId="4C33CDFB" w14:textId="77777777" w:rsidTr="00A4268A">
        <w:trPr>
          <w:cantSplit/>
        </w:trPr>
        <w:tc>
          <w:tcPr>
            <w:tcW w:w="10206" w:type="dxa"/>
            <w:vAlign w:val="center"/>
          </w:tcPr>
          <w:p w14:paraId="1E27554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60061B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B23F5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A7201ED"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02C0E8F2" w14:textId="77777777" w:rsidR="00E04710"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DB54B87" w14:textId="77777777" w:rsidR="00E04710"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6F1F5C0D" w14:textId="77777777" w:rsidR="00E04710"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211B3FAF" w14:textId="77777777" w:rsidR="00E04710"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D66D1DA" w14:textId="77777777" w:rsidR="00E04710"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and equitable service delivery. </w:t>
      </w:r>
    </w:p>
    <w:p w14:paraId="5C8D514A" w14:textId="77777777" w:rsidR="00E04710"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34746D75" w14:textId="77777777" w:rsidR="00E04710" w:rsidRPr="00A4268A" w:rsidRDefault="00E04710">
      <w:pPr>
        <w:spacing w:before="240" w:line="276" w:lineRule="auto"/>
        <w:rPr>
          <w:rFonts w:eastAsia="Calibri"/>
        </w:rPr>
      </w:pPr>
    </w:p>
    <w:p w14:paraId="7197F8B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4710" w14:paraId="60D4C163" w14:textId="77777777" w:rsidTr="00A4268A">
        <w:trPr>
          <w:cantSplit/>
        </w:trPr>
        <w:tc>
          <w:tcPr>
            <w:tcW w:w="10206" w:type="dxa"/>
            <w:vAlign w:val="center"/>
          </w:tcPr>
          <w:p w14:paraId="6E2D95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5C062D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09DCD2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D0BD9D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AB0F602" w14:textId="77777777" w:rsidR="00E04710"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1DA6997" w14:textId="77777777" w:rsidR="00E04710"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1311AEE8" w14:textId="77777777" w:rsidR="00E04710"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286FC716" w14:textId="77777777" w:rsidR="00E04710" w:rsidRPr="00A4268A" w:rsidRDefault="00E04710" w:rsidP="00621629">
      <w:pPr>
        <w:spacing w:before="240" w:line="276" w:lineRule="auto"/>
        <w:rPr>
          <w:rFonts w:eastAsia="Calibri"/>
        </w:rPr>
      </w:pPr>
    </w:p>
    <w:p w14:paraId="6335516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4710" w14:paraId="433A9FFC" w14:textId="77777777" w:rsidTr="00A4268A">
        <w:trPr>
          <w:cantSplit/>
        </w:trPr>
        <w:tc>
          <w:tcPr>
            <w:tcW w:w="10206" w:type="dxa"/>
            <w:vAlign w:val="center"/>
          </w:tcPr>
          <w:p w14:paraId="0F82033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9C314E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C0692C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B185466"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fitness and planned maintenance programme ensure safety. Electrical equipment is tested as required. </w:t>
      </w:r>
    </w:p>
    <w:p w14:paraId="2F6A9C55" w14:textId="77777777" w:rsidR="00E04710" w:rsidRPr="00A4268A" w:rsidRDefault="00E04710">
      <w:pPr>
        <w:spacing w:before="240" w:line="276" w:lineRule="auto"/>
        <w:rPr>
          <w:rFonts w:eastAsia="Calibri"/>
        </w:rPr>
      </w:pPr>
    </w:p>
    <w:bookmarkEnd w:id="25"/>
    <w:p w14:paraId="27FC231A" w14:textId="77777777" w:rsidR="00E04710" w:rsidRPr="00A4268A" w:rsidRDefault="00E04710">
      <w:pPr>
        <w:spacing w:before="240" w:line="276" w:lineRule="auto"/>
        <w:rPr>
          <w:rFonts w:eastAsia="Calibri"/>
        </w:rPr>
      </w:pPr>
    </w:p>
    <w:p w14:paraId="0EDB551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4710" w14:paraId="5B628ED4" w14:textId="77777777" w:rsidTr="00A4268A">
        <w:trPr>
          <w:cantSplit/>
        </w:trPr>
        <w:tc>
          <w:tcPr>
            <w:tcW w:w="10206" w:type="dxa"/>
            <w:vAlign w:val="center"/>
          </w:tcPr>
          <w:p w14:paraId="0F5C397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1613A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9FBC93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F0E4B0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126160F4" w14:textId="77777777" w:rsidR="00E04710"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3CD12B9C" w14:textId="77777777" w:rsidR="00E04710" w:rsidRPr="00A4268A" w:rsidRDefault="00000000">
      <w:pPr>
        <w:spacing w:before="240" w:line="276" w:lineRule="auto"/>
        <w:rPr>
          <w:rFonts w:eastAsia="Calibri"/>
        </w:rPr>
      </w:pPr>
      <w:r w:rsidRPr="00A4268A">
        <w:rPr>
          <w:rFonts w:eastAsia="Calibri"/>
        </w:rPr>
        <w:lastRenderedPageBreak/>
        <w:t>The ‘Surveillance of health care-associated infections’ programme is appropriate to the size and setting of the service, using standardised surveillance definitions, with an equity focus.</w:t>
      </w:r>
    </w:p>
    <w:bookmarkEnd w:id="28"/>
    <w:p w14:paraId="3F82D7A3" w14:textId="77777777" w:rsidR="00E04710" w:rsidRPr="00A4268A" w:rsidRDefault="00E04710">
      <w:pPr>
        <w:spacing w:before="240" w:line="276" w:lineRule="auto"/>
        <w:rPr>
          <w:rFonts w:eastAsia="Calibri"/>
        </w:rPr>
      </w:pPr>
    </w:p>
    <w:p w14:paraId="19976B7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4710" w14:paraId="4948FE9F" w14:textId="77777777" w:rsidTr="00A4268A">
        <w:trPr>
          <w:cantSplit/>
        </w:trPr>
        <w:tc>
          <w:tcPr>
            <w:tcW w:w="10206" w:type="dxa"/>
            <w:vAlign w:val="center"/>
          </w:tcPr>
          <w:p w14:paraId="6103B4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62EFE1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3D68F6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05CF22E"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 restraint-free environment. This is supported by the governing body and policies and procedures. There were no residents using restraints at the time of the audit.  </w:t>
      </w:r>
    </w:p>
    <w:p w14:paraId="58C38F13" w14:textId="77777777" w:rsidR="00E04710" w:rsidRPr="00A4268A" w:rsidRDefault="0000000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6154A6DD" w14:textId="77777777" w:rsidR="00E04710" w:rsidRPr="00A4268A" w:rsidRDefault="00E04710">
      <w:pPr>
        <w:spacing w:before="240" w:line="276" w:lineRule="auto"/>
        <w:rPr>
          <w:rFonts w:eastAsia="Calibri"/>
        </w:rPr>
      </w:pPr>
    </w:p>
    <w:p w14:paraId="079259C2" w14:textId="77777777" w:rsidR="00000000" w:rsidRDefault="00000000" w:rsidP="000E6E02">
      <w:pPr>
        <w:pStyle w:val="Heading2"/>
        <w:spacing w:before="0"/>
        <w:rPr>
          <w:rFonts w:cs="Arial"/>
        </w:rPr>
      </w:pPr>
      <w:r>
        <w:rPr>
          <w:rFonts w:cs="Arial"/>
        </w:rPr>
        <w:lastRenderedPageBreak/>
        <w:t>Summary of attainment</w:t>
      </w:r>
    </w:p>
    <w:p w14:paraId="148A296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04710" w14:paraId="284020C1" w14:textId="77777777">
        <w:tc>
          <w:tcPr>
            <w:tcW w:w="1384" w:type="dxa"/>
            <w:vAlign w:val="center"/>
          </w:tcPr>
          <w:p w14:paraId="13639B5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4BAF59" w14:textId="77777777" w:rsidR="00000000" w:rsidRDefault="00000000">
            <w:pPr>
              <w:keepNext/>
              <w:spacing w:before="60" w:after="60"/>
              <w:jc w:val="center"/>
              <w:rPr>
                <w:rFonts w:cs="Arial"/>
                <w:b/>
                <w:sz w:val="20"/>
                <w:szCs w:val="20"/>
              </w:rPr>
            </w:pPr>
            <w:r>
              <w:rPr>
                <w:rFonts w:cs="Arial"/>
                <w:b/>
                <w:sz w:val="20"/>
                <w:szCs w:val="20"/>
              </w:rPr>
              <w:t>Continuous Improvement</w:t>
            </w:r>
          </w:p>
          <w:p w14:paraId="4592D98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DAEDA32" w14:textId="77777777" w:rsidR="00000000" w:rsidRDefault="00000000">
            <w:pPr>
              <w:keepNext/>
              <w:spacing w:before="60" w:after="60"/>
              <w:jc w:val="center"/>
              <w:rPr>
                <w:rFonts w:cs="Arial"/>
                <w:b/>
                <w:sz w:val="20"/>
                <w:szCs w:val="20"/>
              </w:rPr>
            </w:pPr>
            <w:r>
              <w:rPr>
                <w:rFonts w:cs="Arial"/>
                <w:b/>
                <w:sz w:val="20"/>
                <w:szCs w:val="20"/>
              </w:rPr>
              <w:t>Fully Attained</w:t>
            </w:r>
          </w:p>
          <w:p w14:paraId="27F569B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CE531C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FB35DC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F21AE3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A25C87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688CF4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983CFC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0C6ACA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0D9843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3B10E4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A7CFE99" w14:textId="77777777" w:rsidR="00000000" w:rsidRDefault="00000000">
            <w:pPr>
              <w:keepNext/>
              <w:spacing w:before="60" w:after="60"/>
              <w:jc w:val="center"/>
              <w:rPr>
                <w:rFonts w:cs="Arial"/>
                <w:b/>
                <w:sz w:val="20"/>
                <w:szCs w:val="20"/>
              </w:rPr>
            </w:pPr>
            <w:r>
              <w:rPr>
                <w:rFonts w:cs="Arial"/>
                <w:b/>
                <w:sz w:val="20"/>
                <w:szCs w:val="20"/>
              </w:rPr>
              <w:t>(PA Critical)</w:t>
            </w:r>
          </w:p>
        </w:tc>
      </w:tr>
      <w:tr w:rsidR="00E04710" w14:paraId="18E69DEC" w14:textId="77777777">
        <w:tc>
          <w:tcPr>
            <w:tcW w:w="1384" w:type="dxa"/>
            <w:vAlign w:val="center"/>
          </w:tcPr>
          <w:p w14:paraId="3F35589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956A5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1D1CE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6EB155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39ED71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FAE6C9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188B18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0F456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04710" w14:paraId="5CD3D859" w14:textId="77777777">
        <w:tc>
          <w:tcPr>
            <w:tcW w:w="1384" w:type="dxa"/>
            <w:vAlign w:val="center"/>
          </w:tcPr>
          <w:p w14:paraId="624512D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EF1A7F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7C575F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D4C3AC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77FCA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623442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1FAE86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B1CB5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61FAA3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04710" w14:paraId="14134237" w14:textId="77777777">
        <w:tc>
          <w:tcPr>
            <w:tcW w:w="1384" w:type="dxa"/>
            <w:vAlign w:val="center"/>
          </w:tcPr>
          <w:p w14:paraId="47D10E2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A193E7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57E59E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B4D0596" w14:textId="77777777" w:rsidR="00000000" w:rsidRDefault="00000000">
            <w:pPr>
              <w:keepNext/>
              <w:spacing w:before="60" w:after="60"/>
              <w:jc w:val="center"/>
              <w:rPr>
                <w:rFonts w:cs="Arial"/>
                <w:b/>
                <w:sz w:val="20"/>
                <w:szCs w:val="20"/>
              </w:rPr>
            </w:pPr>
            <w:r>
              <w:rPr>
                <w:rFonts w:cs="Arial"/>
                <w:b/>
                <w:sz w:val="20"/>
                <w:szCs w:val="20"/>
              </w:rPr>
              <w:t>Unattained Low Risk</w:t>
            </w:r>
          </w:p>
          <w:p w14:paraId="24DC045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7A03875" w14:textId="77777777" w:rsidR="00000000" w:rsidRDefault="00000000">
            <w:pPr>
              <w:keepNext/>
              <w:spacing w:before="60" w:after="60"/>
              <w:jc w:val="center"/>
              <w:rPr>
                <w:rFonts w:cs="Arial"/>
                <w:b/>
                <w:sz w:val="20"/>
                <w:szCs w:val="20"/>
              </w:rPr>
            </w:pPr>
            <w:r>
              <w:rPr>
                <w:rFonts w:cs="Arial"/>
                <w:b/>
                <w:sz w:val="20"/>
                <w:szCs w:val="20"/>
              </w:rPr>
              <w:t>Unattained Moderate Risk</w:t>
            </w:r>
          </w:p>
          <w:p w14:paraId="48A29DB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189850C" w14:textId="77777777" w:rsidR="00000000" w:rsidRDefault="00000000">
            <w:pPr>
              <w:keepNext/>
              <w:spacing w:before="60" w:after="60"/>
              <w:jc w:val="center"/>
              <w:rPr>
                <w:rFonts w:cs="Arial"/>
                <w:b/>
                <w:sz w:val="20"/>
                <w:szCs w:val="20"/>
              </w:rPr>
            </w:pPr>
            <w:r>
              <w:rPr>
                <w:rFonts w:cs="Arial"/>
                <w:b/>
                <w:sz w:val="20"/>
                <w:szCs w:val="20"/>
              </w:rPr>
              <w:t>Unattained High Risk</w:t>
            </w:r>
          </w:p>
          <w:p w14:paraId="33C1D1B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D97F1DD" w14:textId="77777777" w:rsidR="00000000" w:rsidRDefault="00000000">
            <w:pPr>
              <w:keepNext/>
              <w:spacing w:before="60" w:after="60"/>
              <w:jc w:val="center"/>
              <w:rPr>
                <w:rFonts w:cs="Arial"/>
                <w:b/>
                <w:sz w:val="20"/>
                <w:szCs w:val="20"/>
              </w:rPr>
            </w:pPr>
            <w:r>
              <w:rPr>
                <w:rFonts w:cs="Arial"/>
                <w:b/>
                <w:sz w:val="20"/>
                <w:szCs w:val="20"/>
              </w:rPr>
              <w:t>Unattained Critical Risk</w:t>
            </w:r>
          </w:p>
          <w:p w14:paraId="39267996" w14:textId="77777777" w:rsidR="00000000" w:rsidRDefault="00000000">
            <w:pPr>
              <w:keepNext/>
              <w:spacing w:before="60" w:after="60"/>
              <w:jc w:val="center"/>
              <w:rPr>
                <w:rFonts w:cs="Arial"/>
                <w:b/>
                <w:sz w:val="20"/>
                <w:szCs w:val="20"/>
              </w:rPr>
            </w:pPr>
            <w:r>
              <w:rPr>
                <w:rFonts w:cs="Arial"/>
                <w:b/>
                <w:sz w:val="20"/>
                <w:szCs w:val="20"/>
              </w:rPr>
              <w:t>(UA Critical)</w:t>
            </w:r>
          </w:p>
        </w:tc>
      </w:tr>
      <w:tr w:rsidR="00E04710" w14:paraId="5FD540AF" w14:textId="77777777">
        <w:tc>
          <w:tcPr>
            <w:tcW w:w="1384" w:type="dxa"/>
            <w:vAlign w:val="center"/>
          </w:tcPr>
          <w:p w14:paraId="41DFFFD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966960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954EF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04740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BE4709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BFF2D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04710" w14:paraId="1A89CF25" w14:textId="77777777">
        <w:tc>
          <w:tcPr>
            <w:tcW w:w="1384" w:type="dxa"/>
            <w:vAlign w:val="center"/>
          </w:tcPr>
          <w:p w14:paraId="131F542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3EC99E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6D8700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84DCEB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FF77E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2A8A33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3DC7C5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C9ABB1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707747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0C95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gridCol w:w="1372"/>
        <w:gridCol w:w="6835"/>
      </w:tblGrid>
      <w:tr w:rsidR="00E04710" w14:paraId="16125E6A" w14:textId="77777777">
        <w:tc>
          <w:tcPr>
            <w:tcW w:w="0" w:type="auto"/>
          </w:tcPr>
          <w:p w14:paraId="71DBFB1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3C99D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E6A9F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04710" w14:paraId="6AC55AD7" w14:textId="77777777">
        <w:tc>
          <w:tcPr>
            <w:tcW w:w="0" w:type="auto"/>
          </w:tcPr>
          <w:p w14:paraId="59BCD6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C83D62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8BC72D0" w14:textId="77777777" w:rsidR="00000000" w:rsidRPr="00BE00C7" w:rsidRDefault="00000000" w:rsidP="00BE00C7">
            <w:pPr>
              <w:pStyle w:val="OutcomeDescription"/>
              <w:spacing w:before="120" w:after="120"/>
              <w:rPr>
                <w:rFonts w:cs="Arial"/>
                <w:lang w:eastAsia="en-NZ"/>
              </w:rPr>
            </w:pPr>
          </w:p>
        </w:tc>
        <w:tc>
          <w:tcPr>
            <w:tcW w:w="0" w:type="auto"/>
          </w:tcPr>
          <w:p w14:paraId="608D4F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37AACC"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Gracedale Hospital has developed policies, procedures and processes to embed and enact Te Tiriti o Waitangi in all aspects of its work. Mana motuhake is respected. Partnerships have been established with Māori organisations to support service integration, planning, equity approaches, and support for Māori. There were Māori residents at the time of audit, and those interviewed felt culturally safe.</w:t>
            </w:r>
          </w:p>
          <w:p w14:paraId="7AA017FE" w14:textId="77777777" w:rsidR="00000000" w:rsidRPr="00BE00C7" w:rsidRDefault="00000000" w:rsidP="00BE00C7">
            <w:pPr>
              <w:pStyle w:val="OutcomeDescription"/>
              <w:spacing w:before="120" w:after="120"/>
              <w:rPr>
                <w:rFonts w:cs="Arial"/>
                <w:lang w:eastAsia="en-NZ"/>
              </w:rPr>
            </w:pPr>
          </w:p>
        </w:tc>
      </w:tr>
      <w:tr w:rsidR="00E04710" w14:paraId="7B2FB29E" w14:textId="77777777">
        <w:tc>
          <w:tcPr>
            <w:tcW w:w="0" w:type="auto"/>
          </w:tcPr>
          <w:p w14:paraId="303AD5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C280D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7A961BC" w14:textId="77777777" w:rsidR="00000000" w:rsidRPr="00BE00C7" w:rsidRDefault="00000000" w:rsidP="00BE00C7">
            <w:pPr>
              <w:pStyle w:val="OutcomeDescription"/>
              <w:spacing w:before="120" w:after="120"/>
              <w:rPr>
                <w:rFonts w:cs="Arial"/>
                <w:lang w:eastAsia="en-NZ"/>
              </w:rPr>
            </w:pPr>
          </w:p>
        </w:tc>
        <w:tc>
          <w:tcPr>
            <w:tcW w:w="0" w:type="auto"/>
          </w:tcPr>
          <w:p w14:paraId="081719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392F4A"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Gracedale Hospital provides services that are underpinned by Pacific worldviews. Pacific residents interviewed felt their worldview, and cultural and spiritual beliefs were embraced.</w:t>
            </w:r>
          </w:p>
          <w:p w14:paraId="21D81F26" w14:textId="77777777" w:rsidR="00000000" w:rsidRPr="00BE00C7" w:rsidRDefault="00000000" w:rsidP="00BE00C7">
            <w:pPr>
              <w:pStyle w:val="OutcomeDescription"/>
              <w:spacing w:before="120" w:after="120"/>
              <w:rPr>
                <w:rFonts w:cs="Arial"/>
                <w:lang w:eastAsia="en-NZ"/>
              </w:rPr>
            </w:pPr>
          </w:p>
        </w:tc>
      </w:tr>
      <w:tr w:rsidR="00E04710" w14:paraId="40827CB6" w14:textId="77777777">
        <w:tc>
          <w:tcPr>
            <w:tcW w:w="0" w:type="auto"/>
          </w:tcPr>
          <w:p w14:paraId="6FE451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529EA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40F0110" w14:textId="77777777" w:rsidR="00000000" w:rsidRPr="00BE00C7" w:rsidRDefault="00000000" w:rsidP="00BE00C7">
            <w:pPr>
              <w:pStyle w:val="OutcomeDescription"/>
              <w:spacing w:before="120" w:after="120"/>
              <w:rPr>
                <w:rFonts w:cs="Arial"/>
                <w:lang w:eastAsia="en-NZ"/>
              </w:rPr>
            </w:pPr>
          </w:p>
        </w:tc>
        <w:tc>
          <w:tcPr>
            <w:tcW w:w="0" w:type="auto"/>
          </w:tcPr>
          <w:p w14:paraId="5EA8A2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661AA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Copies of the Code are available in English and te reo Māori and were posted on notice boards around the facility.</w:t>
            </w:r>
          </w:p>
          <w:p w14:paraId="1618DCC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52DB4212" w14:textId="77777777" w:rsidR="00000000" w:rsidRPr="00BE00C7" w:rsidRDefault="00000000" w:rsidP="00BE00C7">
            <w:pPr>
              <w:pStyle w:val="OutcomeDescription"/>
              <w:spacing w:before="120" w:after="120"/>
              <w:rPr>
                <w:rFonts w:cs="Arial"/>
                <w:lang w:eastAsia="en-NZ"/>
              </w:rPr>
            </w:pPr>
          </w:p>
        </w:tc>
      </w:tr>
      <w:tr w:rsidR="00E04710" w14:paraId="7A792D81" w14:textId="77777777">
        <w:tc>
          <w:tcPr>
            <w:tcW w:w="0" w:type="auto"/>
          </w:tcPr>
          <w:p w14:paraId="68F739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F6950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6343957" w14:textId="77777777" w:rsidR="00000000" w:rsidRPr="00BE00C7" w:rsidRDefault="00000000" w:rsidP="00BE00C7">
            <w:pPr>
              <w:pStyle w:val="OutcomeDescription"/>
              <w:spacing w:before="120" w:after="120"/>
              <w:rPr>
                <w:rFonts w:cs="Arial"/>
                <w:lang w:eastAsia="en-NZ"/>
              </w:rPr>
            </w:pPr>
          </w:p>
        </w:tc>
        <w:tc>
          <w:tcPr>
            <w:tcW w:w="0" w:type="auto"/>
          </w:tcPr>
          <w:p w14:paraId="0C8884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4AC1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0AF78DB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For security reasons, no residents’ money is held on site. Residents can either manage their finances independently or have support from family/whānau, or they can be invoiced for any personal expenses.</w:t>
            </w:r>
          </w:p>
          <w:p w14:paraId="56034F8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maintain professional boundaries, as confirmed in interviews.</w:t>
            </w:r>
          </w:p>
          <w:p w14:paraId="58100ABF" w14:textId="77777777" w:rsidR="00000000" w:rsidRPr="00BE00C7" w:rsidRDefault="00000000" w:rsidP="00BE00C7">
            <w:pPr>
              <w:pStyle w:val="OutcomeDescription"/>
              <w:spacing w:before="120" w:after="120"/>
              <w:rPr>
                <w:rFonts w:cs="Arial"/>
                <w:lang w:eastAsia="en-NZ"/>
              </w:rPr>
            </w:pPr>
          </w:p>
        </w:tc>
      </w:tr>
      <w:tr w:rsidR="00E04710" w14:paraId="38DDBD45" w14:textId="77777777">
        <w:tc>
          <w:tcPr>
            <w:tcW w:w="0" w:type="auto"/>
          </w:tcPr>
          <w:p w14:paraId="15D3B2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567AC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256044F4" w14:textId="77777777" w:rsidR="00000000" w:rsidRPr="00BE00C7" w:rsidRDefault="00000000" w:rsidP="00BE00C7">
            <w:pPr>
              <w:pStyle w:val="OutcomeDescription"/>
              <w:spacing w:before="120" w:after="120"/>
              <w:rPr>
                <w:rFonts w:cs="Arial"/>
                <w:lang w:eastAsia="en-NZ"/>
              </w:rPr>
            </w:pPr>
          </w:p>
        </w:tc>
        <w:tc>
          <w:tcPr>
            <w:tcW w:w="0" w:type="auto"/>
          </w:tcPr>
          <w:p w14:paraId="7941F9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FAE7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1E7D7945"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Signed informed consent forms were in residents’ files.</w:t>
            </w:r>
          </w:p>
          <w:p w14:paraId="4EA2066F" w14:textId="77777777" w:rsidR="00000000" w:rsidRPr="00BE00C7" w:rsidRDefault="00000000" w:rsidP="00BE00C7">
            <w:pPr>
              <w:pStyle w:val="OutcomeDescription"/>
              <w:spacing w:before="120" w:after="120"/>
              <w:rPr>
                <w:rFonts w:cs="Arial"/>
                <w:lang w:eastAsia="en-NZ"/>
              </w:rPr>
            </w:pPr>
          </w:p>
        </w:tc>
      </w:tr>
      <w:tr w:rsidR="00E04710" w14:paraId="3AF77D1B" w14:textId="77777777">
        <w:tc>
          <w:tcPr>
            <w:tcW w:w="0" w:type="auto"/>
          </w:tcPr>
          <w:p w14:paraId="2DB2DD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1F9A3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1144221" w14:textId="77777777" w:rsidR="00000000" w:rsidRPr="00BE00C7" w:rsidRDefault="00000000" w:rsidP="00BE00C7">
            <w:pPr>
              <w:pStyle w:val="OutcomeDescription"/>
              <w:spacing w:before="120" w:after="120"/>
              <w:rPr>
                <w:rFonts w:cs="Arial"/>
                <w:lang w:eastAsia="en-NZ"/>
              </w:rPr>
            </w:pPr>
          </w:p>
        </w:tc>
        <w:tc>
          <w:tcPr>
            <w:tcW w:w="0" w:type="auto"/>
          </w:tcPr>
          <w:p w14:paraId="2139A8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F1FB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4D382DBC"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7F3F58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assures the process works equitably for Māori by ensuring culturally safe practices, partnering with Māori organisations, and providing a clear complaints process responsive to Māori needs.</w:t>
            </w:r>
          </w:p>
          <w:p w14:paraId="3C291F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three internal complaints/negative feedback received in February 2025, April 2025, and June 2025. Documentation sighted showed that complainants had been informed of findings following investigation and improvements had been made. The facility manager (FM) is aware of the process for managing complaints in a culturally sensitive manner and described this and would ensure the complaints process works equitably for Māori residents. The complainants were provided information on HDC advocacy services.</w:t>
            </w:r>
          </w:p>
          <w:p w14:paraId="10A208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332F5C5F" w14:textId="77777777" w:rsidR="00000000" w:rsidRPr="00BE00C7" w:rsidRDefault="00000000" w:rsidP="00BE00C7">
            <w:pPr>
              <w:pStyle w:val="OutcomeDescription"/>
              <w:spacing w:before="120" w:after="120"/>
              <w:rPr>
                <w:rFonts w:cs="Arial"/>
                <w:lang w:eastAsia="en-NZ"/>
              </w:rPr>
            </w:pPr>
          </w:p>
        </w:tc>
      </w:tr>
      <w:tr w:rsidR="00E04710" w14:paraId="05C5FC27" w14:textId="77777777">
        <w:tc>
          <w:tcPr>
            <w:tcW w:w="0" w:type="auto"/>
          </w:tcPr>
          <w:p w14:paraId="438751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94B6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1C29292B" w14:textId="77777777" w:rsidR="00000000" w:rsidRPr="00BE00C7" w:rsidRDefault="00000000" w:rsidP="00BE00C7">
            <w:pPr>
              <w:pStyle w:val="OutcomeDescription"/>
              <w:spacing w:before="120" w:after="120"/>
              <w:rPr>
                <w:rFonts w:cs="Arial"/>
                <w:lang w:eastAsia="en-NZ"/>
              </w:rPr>
            </w:pPr>
          </w:p>
        </w:tc>
        <w:tc>
          <w:tcPr>
            <w:tcW w:w="0" w:type="auto"/>
          </w:tcPr>
          <w:p w14:paraId="721D0C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6F6EDF"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 Trust (the owner of Gracedale Care Ltd) owns the care home building and the adjoining retirement village and is directly responsible for these assets. Since 2017, Grace Trust has contracted Howick Baptist Healthcare (HBH) Ltd to manage Gracedale Hospital services. HBH is responsible for the day‑to‑day running of the care home and for ensuring high‑quality services for residents, including meaningful Māori representation in governance.</w:t>
            </w:r>
          </w:p>
          <w:p w14:paraId="50FD58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group showed strong knowledge of Te Tiriti o Waitangi, health equity, and cultural safety. Grace Trust also has Māori and Pacific </w:t>
            </w:r>
            <w:r w:rsidRPr="00BE00C7">
              <w:rPr>
                <w:rFonts w:cs="Arial"/>
                <w:lang w:eastAsia="en-NZ"/>
              </w:rPr>
              <w:lastRenderedPageBreak/>
              <w:t>trustees and has expressed a commitment to delivering culturally and clinically appropriate and equitable services. Compliance with legislative, contractual, and regulatory requirements is managed by the leadership team and governance group, with external advice obtained when needed.</w:t>
            </w:r>
          </w:p>
          <w:p w14:paraId="222E5C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an interview with one of Grace Trust’s trustees. A commitment to the quality and risk management system was evident. Members of the governance group interviewed felt well informed on progress and risks. This was confirmed in a sample of reports to the board of directors. </w:t>
            </w:r>
          </w:p>
          <w:p w14:paraId="6792D9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with reporting to key roles and monitoring of resident safety and clinical indicators. The previous corrective action requiring improvement related to reporting processes has been addressed.</w:t>
            </w:r>
          </w:p>
          <w:p w14:paraId="07A281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(Te Whatu Ora) for rest home–level and hospital-level aged residential care. There were thirty residents at the time of the audit receiving long-term care/services under this contract, eight at rest home–level and twenty-two at hospital-level ARRC care.</w:t>
            </w:r>
          </w:p>
          <w:p w14:paraId="0048D953" w14:textId="77777777" w:rsidR="00000000" w:rsidRPr="00BE00C7" w:rsidRDefault="00000000" w:rsidP="00BE00C7">
            <w:pPr>
              <w:pStyle w:val="OutcomeDescription"/>
              <w:spacing w:before="120" w:after="120"/>
              <w:rPr>
                <w:rFonts w:cs="Arial"/>
                <w:lang w:eastAsia="en-NZ"/>
              </w:rPr>
            </w:pPr>
          </w:p>
        </w:tc>
      </w:tr>
      <w:tr w:rsidR="00E04710" w14:paraId="2406555C" w14:textId="77777777">
        <w:tc>
          <w:tcPr>
            <w:tcW w:w="0" w:type="auto"/>
          </w:tcPr>
          <w:p w14:paraId="176724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AE01F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w:t>
            </w:r>
            <w:r w:rsidRPr="00BE00C7">
              <w:rPr>
                <w:rFonts w:cs="Arial"/>
                <w:lang w:eastAsia="en-NZ"/>
              </w:rPr>
              <w:lastRenderedPageBreak/>
              <w:t>systems meet the needs of people using the services and our health care and support workers.</w:t>
            </w:r>
          </w:p>
          <w:p w14:paraId="3325F577" w14:textId="77777777" w:rsidR="00000000" w:rsidRPr="00BE00C7" w:rsidRDefault="00000000" w:rsidP="00BE00C7">
            <w:pPr>
              <w:pStyle w:val="OutcomeDescription"/>
              <w:spacing w:before="120" w:after="120"/>
              <w:rPr>
                <w:rFonts w:cs="Arial"/>
                <w:lang w:eastAsia="en-NZ"/>
              </w:rPr>
            </w:pPr>
          </w:p>
        </w:tc>
        <w:tc>
          <w:tcPr>
            <w:tcW w:w="0" w:type="auto"/>
          </w:tcPr>
          <w:p w14:paraId="5246A4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2887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based on continuous improvement, using the HBH quality and risk programme. This covers incidents, hazards, complaints, audits, outcome monitoring, policies and procedures, infections, and any use of restraint.</w:t>
            </w:r>
          </w:p>
          <w:p w14:paraId="5CF135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and staff contribute through an annual satisfaction survey and regular resident meetings. Survey results show high satisfaction with the services provided, and a summary of key findings is shared with residents and whānau.</w:t>
            </w:r>
          </w:p>
          <w:p w14:paraId="2CA31D35"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08A44B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reviewed covered all necessary aspects of the service and of contractual requirements and were current. </w:t>
            </w:r>
          </w:p>
          <w:p w14:paraId="21E4D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described the processes for the identification, documentation, monitoring, review and reporting of risks, including health and safety risks, and development of mitigation strategies. </w:t>
            </w:r>
          </w:p>
          <w:p w14:paraId="641D12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4A6457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understood and has complied with essential notification reporting requirements.</w:t>
            </w:r>
          </w:p>
          <w:p w14:paraId="068E8163" w14:textId="77777777" w:rsidR="00000000" w:rsidRPr="00BE00C7" w:rsidRDefault="00000000" w:rsidP="00BE00C7">
            <w:pPr>
              <w:pStyle w:val="OutcomeDescription"/>
              <w:spacing w:before="120" w:after="120"/>
              <w:rPr>
                <w:rFonts w:cs="Arial"/>
                <w:lang w:eastAsia="en-NZ"/>
              </w:rPr>
            </w:pPr>
          </w:p>
        </w:tc>
      </w:tr>
      <w:tr w:rsidR="00E04710" w14:paraId="52D78858" w14:textId="77777777">
        <w:tc>
          <w:tcPr>
            <w:tcW w:w="0" w:type="auto"/>
          </w:tcPr>
          <w:p w14:paraId="22056C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51519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5811593" w14:textId="77777777" w:rsidR="00000000" w:rsidRPr="00BE00C7" w:rsidRDefault="00000000" w:rsidP="00BE00C7">
            <w:pPr>
              <w:pStyle w:val="OutcomeDescription"/>
              <w:spacing w:before="120" w:after="120"/>
              <w:rPr>
                <w:rFonts w:cs="Arial"/>
                <w:lang w:eastAsia="en-NZ"/>
              </w:rPr>
            </w:pPr>
          </w:p>
        </w:tc>
        <w:tc>
          <w:tcPr>
            <w:tcW w:w="0" w:type="auto"/>
          </w:tcPr>
          <w:p w14:paraId="542597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3E30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Permanent staff work a fixed roster, and work in an allocated wing.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and there is 24/7 RN coverage in the hospital. Casual staff are rostered to fill remaining shifts not covered by permanent staff. Agency staff are sought to cover RN unplanned absences where able.</w:t>
            </w:r>
          </w:p>
          <w:p w14:paraId="09E8B6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3F9D713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vetting occurs during the recruitment process.</w:t>
            </w:r>
          </w:p>
          <w:p w14:paraId="160CDF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 biannual basis, including mandatory training requirements. Related competencies are assessed and support equitable service delivery. Records reviewed demonstrated completion of the required training and competency assessments. Staff felt well supported with development opportunities.  </w:t>
            </w:r>
          </w:p>
          <w:p w14:paraId="06EA55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partners must complete a NZQA programme to meet Te Whatu Ora requirements. Completion of orientation now provides a Level 2 qualification. Training records demonstrated that all required education and competencies were up to date. Staff reported feeling well supported and safe in their roles.</w:t>
            </w:r>
          </w:p>
          <w:p w14:paraId="66DD4CC8" w14:textId="77777777" w:rsidR="00000000" w:rsidRPr="00BE00C7" w:rsidRDefault="00000000" w:rsidP="00BE00C7">
            <w:pPr>
              <w:pStyle w:val="OutcomeDescription"/>
              <w:spacing w:before="120" w:after="120"/>
              <w:rPr>
                <w:rFonts w:cs="Arial"/>
                <w:lang w:eastAsia="en-NZ"/>
              </w:rPr>
            </w:pPr>
          </w:p>
        </w:tc>
      </w:tr>
      <w:tr w:rsidR="00E04710" w14:paraId="73BBF1EA" w14:textId="77777777">
        <w:tc>
          <w:tcPr>
            <w:tcW w:w="0" w:type="auto"/>
          </w:tcPr>
          <w:p w14:paraId="319683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633C5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B3AB209" w14:textId="77777777" w:rsidR="00000000" w:rsidRPr="00BE00C7" w:rsidRDefault="00000000" w:rsidP="00BE00C7">
            <w:pPr>
              <w:pStyle w:val="OutcomeDescription"/>
              <w:spacing w:before="120" w:after="120"/>
              <w:rPr>
                <w:rFonts w:cs="Arial"/>
                <w:lang w:eastAsia="en-NZ"/>
              </w:rPr>
            </w:pPr>
          </w:p>
        </w:tc>
        <w:tc>
          <w:tcPr>
            <w:tcW w:w="0" w:type="auto"/>
          </w:tcPr>
          <w:p w14:paraId="55CCDB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178F2C"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 sample of seven staff records reviewed confirmed the organisation’s policies are being consistently implemented, including staff completing an application, interviews, reference checks, and police vetting. Job descriptions were documented for each role. Professional qualifications and registration (where applicable) had been validated prior to employment, with processes in place to monitor that these remain current.</w:t>
            </w:r>
          </w:p>
          <w:p w14:paraId="35DC61D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62A1C97F" w14:textId="77777777" w:rsidR="00000000" w:rsidRPr="00BE00C7" w:rsidRDefault="00000000" w:rsidP="00BE00C7">
            <w:pPr>
              <w:pStyle w:val="OutcomeDescription"/>
              <w:spacing w:before="120" w:after="120"/>
              <w:rPr>
                <w:rFonts w:cs="Arial"/>
                <w:lang w:eastAsia="en-NZ"/>
              </w:rPr>
            </w:pPr>
          </w:p>
        </w:tc>
      </w:tr>
      <w:tr w:rsidR="00E04710" w14:paraId="11065FD6" w14:textId="77777777">
        <w:tc>
          <w:tcPr>
            <w:tcW w:w="0" w:type="auto"/>
          </w:tcPr>
          <w:p w14:paraId="0C3C83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891DD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EDFCC16" w14:textId="77777777" w:rsidR="00000000" w:rsidRPr="00BE00C7" w:rsidRDefault="00000000" w:rsidP="00BE00C7">
            <w:pPr>
              <w:pStyle w:val="OutcomeDescription"/>
              <w:spacing w:before="120" w:after="120"/>
              <w:rPr>
                <w:rFonts w:cs="Arial"/>
                <w:lang w:eastAsia="en-NZ"/>
              </w:rPr>
            </w:pPr>
          </w:p>
        </w:tc>
        <w:tc>
          <w:tcPr>
            <w:tcW w:w="0" w:type="auto"/>
          </w:tcPr>
          <w:p w14:paraId="4AA54A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2E8A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0E8F4D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general practitioner (GP) assessment, initial care plan, long-term care plan, and review timeframes meet contractual and policy requirements. Staff support Māori and whānau to identify their own pae ora outcomes in their care plan. This was verified </w:t>
            </w:r>
            <w:r w:rsidRPr="00BE00C7">
              <w:rPr>
                <w:rFonts w:cs="Arial"/>
                <w:lang w:eastAsia="en-NZ"/>
              </w:rPr>
              <w:lastRenderedPageBreak/>
              <w:t>by sampling residents’ records, and from interviews of clinical staff, residents, and whānau.</w:t>
            </w:r>
          </w:p>
          <w:p w14:paraId="2A91E4B0"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Changes in residents’ health were escalated to the GP and NP. Residents were referred to relevant specialist services as indicated. This was verified in records reviewed and in interviews with residents. The interviewed GP confirmed satisfaction with the care provided.</w:t>
            </w:r>
          </w:p>
          <w:p w14:paraId="39FF0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w:t>
            </w:r>
          </w:p>
          <w:p w14:paraId="620FBE5A" w14:textId="77777777" w:rsidR="00000000" w:rsidRPr="00BE00C7" w:rsidRDefault="00000000" w:rsidP="001F7DC3">
            <w:pPr>
              <w:pStyle w:val="OutcomeDescription"/>
              <w:spacing w:before="120" w:after="120"/>
              <w:rPr>
                <w:rFonts w:cs="Arial"/>
                <w:lang w:eastAsia="en-NZ"/>
              </w:rPr>
            </w:pPr>
          </w:p>
        </w:tc>
      </w:tr>
      <w:tr w:rsidR="00E04710" w14:paraId="028CE694" w14:textId="77777777">
        <w:tc>
          <w:tcPr>
            <w:tcW w:w="0" w:type="auto"/>
          </w:tcPr>
          <w:p w14:paraId="3C973F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1758C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5A0DB32" w14:textId="77777777" w:rsidR="00000000" w:rsidRPr="00BE00C7" w:rsidRDefault="00000000" w:rsidP="00BE00C7">
            <w:pPr>
              <w:pStyle w:val="OutcomeDescription"/>
              <w:spacing w:before="120" w:after="120"/>
              <w:rPr>
                <w:rFonts w:cs="Arial"/>
                <w:lang w:eastAsia="en-NZ"/>
              </w:rPr>
            </w:pPr>
          </w:p>
        </w:tc>
        <w:tc>
          <w:tcPr>
            <w:tcW w:w="0" w:type="auto"/>
          </w:tcPr>
          <w:p w14:paraId="6705FD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E5BB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administration competencies were in the relevant staff files.</w:t>
            </w:r>
          </w:p>
          <w:p w14:paraId="675F68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5235C4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73B9ED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There were residents who were self-administering medication at the time of the </w:t>
            </w:r>
            <w:r w:rsidRPr="00BE00C7">
              <w:rPr>
                <w:rFonts w:cs="Arial"/>
                <w:lang w:eastAsia="en-NZ"/>
              </w:rPr>
              <w:lastRenderedPageBreak/>
              <w:t>audit. Current self-administration medication assessments and competencies were available in relevant residents’ files.</w:t>
            </w:r>
          </w:p>
          <w:p w14:paraId="3EDB6A61" w14:textId="77777777" w:rsidR="00000000" w:rsidRPr="00BE00C7" w:rsidRDefault="00000000" w:rsidP="00BE00C7">
            <w:pPr>
              <w:pStyle w:val="OutcomeDescription"/>
              <w:spacing w:before="120" w:after="120"/>
              <w:rPr>
                <w:rFonts w:cs="Arial"/>
                <w:lang w:eastAsia="en-NZ"/>
              </w:rPr>
            </w:pPr>
          </w:p>
        </w:tc>
      </w:tr>
      <w:tr w:rsidR="00E04710" w14:paraId="28A6F0AF" w14:textId="77777777">
        <w:tc>
          <w:tcPr>
            <w:tcW w:w="0" w:type="auto"/>
          </w:tcPr>
          <w:p w14:paraId="72767F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70073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757B00C" w14:textId="77777777" w:rsidR="00000000" w:rsidRPr="00BE00C7" w:rsidRDefault="00000000" w:rsidP="00BE00C7">
            <w:pPr>
              <w:pStyle w:val="OutcomeDescription"/>
              <w:spacing w:before="120" w:after="120"/>
              <w:rPr>
                <w:rFonts w:cs="Arial"/>
                <w:lang w:eastAsia="en-NZ"/>
              </w:rPr>
            </w:pPr>
          </w:p>
        </w:tc>
        <w:tc>
          <w:tcPr>
            <w:tcW w:w="0" w:type="auto"/>
          </w:tcPr>
          <w:p w14:paraId="7A09AB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0CEF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6B4298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30 January 2027.</w:t>
            </w:r>
          </w:p>
          <w:p w14:paraId="74DBA070" w14:textId="77777777" w:rsidR="00000000" w:rsidRPr="00BE00C7" w:rsidRDefault="00000000" w:rsidP="00BE00C7">
            <w:pPr>
              <w:pStyle w:val="OutcomeDescription"/>
              <w:spacing w:before="120" w:after="120"/>
              <w:rPr>
                <w:rFonts w:cs="Arial"/>
                <w:lang w:eastAsia="en-NZ"/>
              </w:rPr>
            </w:pPr>
          </w:p>
        </w:tc>
      </w:tr>
      <w:tr w:rsidR="00E04710" w14:paraId="12855E5D" w14:textId="77777777">
        <w:tc>
          <w:tcPr>
            <w:tcW w:w="0" w:type="auto"/>
          </w:tcPr>
          <w:p w14:paraId="276C37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D8BA0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094E707" w14:textId="77777777" w:rsidR="00000000" w:rsidRPr="00BE00C7" w:rsidRDefault="00000000" w:rsidP="00BE00C7">
            <w:pPr>
              <w:pStyle w:val="OutcomeDescription"/>
              <w:spacing w:before="120" w:after="120"/>
              <w:rPr>
                <w:rFonts w:cs="Arial"/>
                <w:lang w:eastAsia="en-NZ"/>
              </w:rPr>
            </w:pPr>
          </w:p>
        </w:tc>
        <w:tc>
          <w:tcPr>
            <w:tcW w:w="0" w:type="auto"/>
          </w:tcPr>
          <w:p w14:paraId="1B6FFB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0FE5AB"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26EAA33F" w14:textId="77777777" w:rsidR="00000000" w:rsidRPr="00BE00C7" w:rsidRDefault="00000000" w:rsidP="00BE00C7">
            <w:pPr>
              <w:pStyle w:val="OutcomeDescription"/>
              <w:spacing w:before="120" w:after="120"/>
              <w:rPr>
                <w:rFonts w:cs="Arial"/>
                <w:lang w:eastAsia="en-NZ"/>
              </w:rPr>
            </w:pPr>
          </w:p>
        </w:tc>
      </w:tr>
      <w:tr w:rsidR="00E04710" w14:paraId="68994381" w14:textId="77777777">
        <w:tc>
          <w:tcPr>
            <w:tcW w:w="0" w:type="auto"/>
          </w:tcPr>
          <w:p w14:paraId="2181CB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B607D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FBC3488" w14:textId="77777777" w:rsidR="00000000" w:rsidRPr="00BE00C7" w:rsidRDefault="00000000" w:rsidP="00BE00C7">
            <w:pPr>
              <w:pStyle w:val="OutcomeDescription"/>
              <w:spacing w:before="120" w:after="120"/>
              <w:rPr>
                <w:rFonts w:cs="Arial"/>
                <w:lang w:eastAsia="en-NZ"/>
              </w:rPr>
            </w:pPr>
          </w:p>
        </w:tc>
        <w:tc>
          <w:tcPr>
            <w:tcW w:w="0" w:type="auto"/>
          </w:tcPr>
          <w:p w14:paraId="4237F7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1A4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electrical and bio-medical testing, and appropriate systems in place to ensure the physical environment is well maintained. The care home is made up of four wings. Each wing has a lounge/dining area. The care home main lounge is used for activities. </w:t>
            </w:r>
          </w:p>
          <w:p w14:paraId="23A38A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environment was comfortable and accessible, supporting independence and safe mobility. Personalised equipment was provided for residents with disabilities. The facility has sufficient accessible bathrooms.</w:t>
            </w:r>
          </w:p>
          <w:p w14:paraId="54056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underfloor heating and ventilation, natural light, privacy, and maintenance. </w:t>
            </w:r>
          </w:p>
          <w:p w14:paraId="6DDB79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w:t>
            </w:r>
          </w:p>
          <w:p w14:paraId="17D885FF" w14:textId="77777777" w:rsidR="00000000" w:rsidRPr="00BE00C7" w:rsidRDefault="00000000" w:rsidP="00BE00C7">
            <w:pPr>
              <w:pStyle w:val="OutcomeDescription"/>
              <w:spacing w:before="120" w:after="120"/>
              <w:rPr>
                <w:rFonts w:cs="Arial"/>
                <w:lang w:eastAsia="en-NZ"/>
              </w:rPr>
            </w:pPr>
          </w:p>
        </w:tc>
      </w:tr>
      <w:tr w:rsidR="00E04710" w14:paraId="3C21D533" w14:textId="77777777">
        <w:tc>
          <w:tcPr>
            <w:tcW w:w="0" w:type="auto"/>
          </w:tcPr>
          <w:p w14:paraId="5ABF8A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139B3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DA421E1" w14:textId="77777777" w:rsidR="00000000" w:rsidRPr="00BE00C7" w:rsidRDefault="00000000" w:rsidP="00BE00C7">
            <w:pPr>
              <w:pStyle w:val="OutcomeDescription"/>
              <w:spacing w:before="120" w:after="120"/>
              <w:rPr>
                <w:rFonts w:cs="Arial"/>
                <w:lang w:eastAsia="en-NZ"/>
              </w:rPr>
            </w:pPr>
          </w:p>
        </w:tc>
        <w:tc>
          <w:tcPr>
            <w:tcW w:w="0" w:type="auto"/>
          </w:tcPr>
          <w:p w14:paraId="3CB475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144B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governance body. The programme is linked to the quality improvement programme and is reviewed and reported on annually. It was reviewed in September 2025. This was confirmed by the IPCC and review of the programme documentation. </w:t>
            </w:r>
          </w:p>
          <w:p w14:paraId="0FAFAB7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6152AF74" w14:textId="77777777" w:rsidR="00000000" w:rsidRPr="00BE00C7" w:rsidRDefault="00000000" w:rsidP="00BE00C7">
            <w:pPr>
              <w:pStyle w:val="OutcomeDescription"/>
              <w:spacing w:before="120" w:after="120"/>
              <w:rPr>
                <w:rFonts w:cs="Arial"/>
                <w:lang w:eastAsia="en-NZ"/>
              </w:rPr>
            </w:pPr>
          </w:p>
        </w:tc>
      </w:tr>
      <w:tr w:rsidR="00E04710" w14:paraId="3E2AAD9D" w14:textId="77777777">
        <w:tc>
          <w:tcPr>
            <w:tcW w:w="0" w:type="auto"/>
          </w:tcPr>
          <w:p w14:paraId="78FCDA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748B3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B295F55" w14:textId="77777777" w:rsidR="00000000" w:rsidRPr="00BE00C7" w:rsidRDefault="00000000" w:rsidP="00BE00C7">
            <w:pPr>
              <w:pStyle w:val="OutcomeDescription"/>
              <w:spacing w:before="120" w:after="120"/>
              <w:rPr>
                <w:rFonts w:cs="Arial"/>
                <w:lang w:eastAsia="en-NZ"/>
              </w:rPr>
            </w:pPr>
          </w:p>
        </w:tc>
        <w:tc>
          <w:tcPr>
            <w:tcW w:w="0" w:type="auto"/>
          </w:tcPr>
          <w:p w14:paraId="5D3B1A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6A989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Surveillance tools and standardised surveillance definitions were used to collect infection data. Monthly surveillance data is collated and analysed to identify any trends, possible causative factors, and required actions. Surveillance includes ethnicity data.  Results of the surveillance programme are shared with staff and reported to the governing body. There have been no infection outbreaks reported since the previous audit.</w:t>
            </w:r>
          </w:p>
          <w:p w14:paraId="776D7B93" w14:textId="77777777" w:rsidR="00000000" w:rsidRPr="00BE00C7" w:rsidRDefault="00000000" w:rsidP="00BE00C7">
            <w:pPr>
              <w:pStyle w:val="OutcomeDescription"/>
              <w:spacing w:before="120" w:after="120"/>
              <w:rPr>
                <w:rFonts w:cs="Arial"/>
                <w:lang w:eastAsia="en-NZ"/>
              </w:rPr>
            </w:pPr>
          </w:p>
        </w:tc>
      </w:tr>
      <w:tr w:rsidR="00E04710" w14:paraId="3161592A" w14:textId="77777777">
        <w:tc>
          <w:tcPr>
            <w:tcW w:w="0" w:type="auto"/>
          </w:tcPr>
          <w:p w14:paraId="065339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1D498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EDB630" w14:textId="77777777" w:rsidR="00000000" w:rsidRPr="00BE00C7" w:rsidRDefault="00000000" w:rsidP="00BE00C7">
            <w:pPr>
              <w:pStyle w:val="OutcomeDescription"/>
              <w:spacing w:before="120" w:after="120"/>
              <w:rPr>
                <w:rFonts w:cs="Arial"/>
                <w:lang w:eastAsia="en-NZ"/>
              </w:rPr>
            </w:pPr>
          </w:p>
        </w:tc>
        <w:tc>
          <w:tcPr>
            <w:tcW w:w="0" w:type="auto"/>
          </w:tcPr>
          <w:p w14:paraId="21731C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0C5118"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HBH governance group demonstrated commitment to this, supported by a member of the executive leadership at operational level. The Grace Trust BPT also noted a commitment to services being restraint-free. This is in accordance with the Eden Alternative Philosophy of care</w:t>
            </w:r>
          </w:p>
          <w:p w14:paraId="6B8FFDC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reported, and documentation evidenced, that staff have been trained in the least restrictive practice, safe restraint practice, alternative cultural-specific interventions, and de-escalation techniques. At the time of audit there was no restraint used, and this has been the case since April 2025. Any use of restraint is reported to the governing body.</w:t>
            </w:r>
          </w:p>
          <w:p w14:paraId="0E06AE82" w14:textId="77777777" w:rsidR="00000000" w:rsidRPr="00BE00C7" w:rsidRDefault="00000000" w:rsidP="00BE00C7">
            <w:pPr>
              <w:pStyle w:val="OutcomeDescription"/>
              <w:spacing w:before="120" w:after="120"/>
              <w:rPr>
                <w:rFonts w:cs="Arial"/>
                <w:lang w:eastAsia="en-NZ"/>
              </w:rPr>
            </w:pPr>
          </w:p>
        </w:tc>
      </w:tr>
    </w:tbl>
    <w:p w14:paraId="7EA672F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295CF0A" w14:textId="77777777" w:rsidR="00000000" w:rsidRDefault="00000000">
      <w:pPr>
        <w:pStyle w:val="Heading1"/>
        <w:rPr>
          <w:rFonts w:cs="Arial"/>
        </w:rPr>
      </w:pPr>
      <w:r>
        <w:rPr>
          <w:rFonts w:cs="Arial"/>
        </w:rPr>
        <w:lastRenderedPageBreak/>
        <w:t>Specific results for criterion where corrective actions are required</w:t>
      </w:r>
    </w:p>
    <w:p w14:paraId="583493F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41D42B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9489F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04710" w14:paraId="0236AD42" w14:textId="77777777">
        <w:tc>
          <w:tcPr>
            <w:tcW w:w="0" w:type="auto"/>
          </w:tcPr>
          <w:p w14:paraId="5A7CD65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6A1699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95B6FB6" w14:textId="77777777" w:rsidR="00000000" w:rsidRDefault="00000000">
      <w:pPr>
        <w:pStyle w:val="Heading1"/>
        <w:rPr>
          <w:rFonts w:cs="Arial"/>
        </w:rPr>
      </w:pPr>
      <w:r>
        <w:rPr>
          <w:rFonts w:cs="Arial"/>
        </w:rPr>
        <w:lastRenderedPageBreak/>
        <w:t>Specific results for criterion where a continuous improvement has been recorded</w:t>
      </w:r>
    </w:p>
    <w:p w14:paraId="43D9850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D057A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BF3E7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04710" w14:paraId="452E6321" w14:textId="77777777">
        <w:tc>
          <w:tcPr>
            <w:tcW w:w="0" w:type="auto"/>
          </w:tcPr>
          <w:p w14:paraId="44CB454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F9DBFC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1D235F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922C" w14:textId="77777777" w:rsidR="00B862A9" w:rsidRDefault="00B862A9">
      <w:r>
        <w:separator/>
      </w:r>
    </w:p>
  </w:endnote>
  <w:endnote w:type="continuationSeparator" w:id="0">
    <w:p w14:paraId="37C275A1" w14:textId="77777777" w:rsidR="00B862A9" w:rsidRDefault="00B8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2534" w14:textId="77777777" w:rsidR="00000000" w:rsidRDefault="00000000">
    <w:pPr>
      <w:pStyle w:val="Footer"/>
    </w:pPr>
  </w:p>
  <w:p w14:paraId="3AB41282" w14:textId="77777777" w:rsidR="00000000" w:rsidRDefault="00000000"/>
  <w:p w14:paraId="2936DE2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478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Gracedale</w:t>
    </w:r>
    <w:proofErr w:type="spellEnd"/>
    <w:r>
      <w:rPr>
        <w:rFonts w:cs="Arial"/>
        <w:sz w:val="16"/>
        <w:szCs w:val="20"/>
      </w:rPr>
      <w:t xml:space="preserve"> Care Limited - </w:t>
    </w:r>
    <w:proofErr w:type="spellStart"/>
    <w:r>
      <w:rPr>
        <w:rFonts w:cs="Arial"/>
        <w:sz w:val="16"/>
        <w:szCs w:val="20"/>
      </w:rPr>
      <w:t>Gracedale</w:t>
    </w:r>
    <w:proofErr w:type="spellEnd"/>
    <w:r>
      <w:rPr>
        <w:rFonts w:cs="Arial"/>
        <w:sz w:val="16"/>
        <w:szCs w:val="20"/>
      </w:rPr>
      <w:t xml:space="preserve"> Hospital</w:t>
    </w:r>
    <w:bookmarkEnd w:id="59"/>
    <w:r>
      <w:rPr>
        <w:rFonts w:cs="Arial"/>
        <w:sz w:val="16"/>
        <w:szCs w:val="20"/>
      </w:rPr>
      <w:tab/>
      <w:t xml:space="preserve">Date of Audit: </w:t>
    </w:r>
    <w:bookmarkStart w:id="60" w:name="AuditStartDate1"/>
    <w:r>
      <w:rPr>
        <w:rFonts w:cs="Arial"/>
        <w:sz w:val="16"/>
        <w:szCs w:val="20"/>
      </w:rPr>
      <w:t>18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1F41C8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BA0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F829" w14:textId="77777777" w:rsidR="00B862A9" w:rsidRDefault="00B862A9">
      <w:r>
        <w:separator/>
      </w:r>
    </w:p>
  </w:footnote>
  <w:footnote w:type="continuationSeparator" w:id="0">
    <w:p w14:paraId="7A8BCD4C" w14:textId="77777777" w:rsidR="00B862A9" w:rsidRDefault="00B8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FB44" w14:textId="77777777" w:rsidR="00000000" w:rsidRDefault="00000000">
    <w:pPr>
      <w:pStyle w:val="Header"/>
    </w:pPr>
  </w:p>
  <w:p w14:paraId="444A43F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988E" w14:textId="77777777" w:rsidR="00000000" w:rsidRDefault="00000000">
    <w:pPr>
      <w:pStyle w:val="Header"/>
    </w:pPr>
  </w:p>
  <w:p w14:paraId="4122536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D0D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B86796C">
      <w:start w:val="1"/>
      <w:numFmt w:val="decimal"/>
      <w:lvlText w:val="%1."/>
      <w:lvlJc w:val="left"/>
      <w:pPr>
        <w:ind w:left="360" w:hanging="360"/>
      </w:pPr>
    </w:lvl>
    <w:lvl w:ilvl="1" w:tplc="9D6A60BC" w:tentative="1">
      <w:start w:val="1"/>
      <w:numFmt w:val="lowerLetter"/>
      <w:lvlText w:val="%2."/>
      <w:lvlJc w:val="left"/>
      <w:pPr>
        <w:ind w:left="1080" w:hanging="360"/>
      </w:pPr>
    </w:lvl>
    <w:lvl w:ilvl="2" w:tplc="62C6A978" w:tentative="1">
      <w:start w:val="1"/>
      <w:numFmt w:val="lowerRoman"/>
      <w:lvlText w:val="%3."/>
      <w:lvlJc w:val="right"/>
      <w:pPr>
        <w:ind w:left="1800" w:hanging="180"/>
      </w:pPr>
    </w:lvl>
    <w:lvl w:ilvl="3" w:tplc="0540B08A" w:tentative="1">
      <w:start w:val="1"/>
      <w:numFmt w:val="decimal"/>
      <w:lvlText w:val="%4."/>
      <w:lvlJc w:val="left"/>
      <w:pPr>
        <w:ind w:left="2520" w:hanging="360"/>
      </w:pPr>
    </w:lvl>
    <w:lvl w:ilvl="4" w:tplc="0F3A7A4A" w:tentative="1">
      <w:start w:val="1"/>
      <w:numFmt w:val="lowerLetter"/>
      <w:lvlText w:val="%5."/>
      <w:lvlJc w:val="left"/>
      <w:pPr>
        <w:ind w:left="3240" w:hanging="360"/>
      </w:pPr>
    </w:lvl>
    <w:lvl w:ilvl="5" w:tplc="E14EFDE4" w:tentative="1">
      <w:start w:val="1"/>
      <w:numFmt w:val="lowerRoman"/>
      <w:lvlText w:val="%6."/>
      <w:lvlJc w:val="right"/>
      <w:pPr>
        <w:ind w:left="3960" w:hanging="180"/>
      </w:pPr>
    </w:lvl>
    <w:lvl w:ilvl="6" w:tplc="B1C8CE70" w:tentative="1">
      <w:start w:val="1"/>
      <w:numFmt w:val="decimal"/>
      <w:lvlText w:val="%7."/>
      <w:lvlJc w:val="left"/>
      <w:pPr>
        <w:ind w:left="4680" w:hanging="360"/>
      </w:pPr>
    </w:lvl>
    <w:lvl w:ilvl="7" w:tplc="4F56FE06" w:tentative="1">
      <w:start w:val="1"/>
      <w:numFmt w:val="lowerLetter"/>
      <w:lvlText w:val="%8."/>
      <w:lvlJc w:val="left"/>
      <w:pPr>
        <w:ind w:left="5400" w:hanging="360"/>
      </w:pPr>
    </w:lvl>
    <w:lvl w:ilvl="8" w:tplc="BB18F8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82CF466">
      <w:start w:val="1"/>
      <w:numFmt w:val="bullet"/>
      <w:lvlText w:val=""/>
      <w:lvlJc w:val="left"/>
      <w:pPr>
        <w:ind w:left="720" w:hanging="360"/>
      </w:pPr>
      <w:rPr>
        <w:rFonts w:ascii="Symbol" w:hAnsi="Symbol" w:hint="default"/>
      </w:rPr>
    </w:lvl>
    <w:lvl w:ilvl="1" w:tplc="AFD2BCC0" w:tentative="1">
      <w:start w:val="1"/>
      <w:numFmt w:val="bullet"/>
      <w:lvlText w:val="o"/>
      <w:lvlJc w:val="left"/>
      <w:pPr>
        <w:ind w:left="1440" w:hanging="360"/>
      </w:pPr>
      <w:rPr>
        <w:rFonts w:ascii="Courier New" w:hAnsi="Courier New" w:cs="Courier New" w:hint="default"/>
      </w:rPr>
    </w:lvl>
    <w:lvl w:ilvl="2" w:tplc="84A4F974" w:tentative="1">
      <w:start w:val="1"/>
      <w:numFmt w:val="bullet"/>
      <w:lvlText w:val=""/>
      <w:lvlJc w:val="left"/>
      <w:pPr>
        <w:ind w:left="2160" w:hanging="360"/>
      </w:pPr>
      <w:rPr>
        <w:rFonts w:ascii="Wingdings" w:hAnsi="Wingdings" w:hint="default"/>
      </w:rPr>
    </w:lvl>
    <w:lvl w:ilvl="3" w:tplc="A0CEA46A" w:tentative="1">
      <w:start w:val="1"/>
      <w:numFmt w:val="bullet"/>
      <w:lvlText w:val=""/>
      <w:lvlJc w:val="left"/>
      <w:pPr>
        <w:ind w:left="2880" w:hanging="360"/>
      </w:pPr>
      <w:rPr>
        <w:rFonts w:ascii="Symbol" w:hAnsi="Symbol" w:hint="default"/>
      </w:rPr>
    </w:lvl>
    <w:lvl w:ilvl="4" w:tplc="F028CD6E" w:tentative="1">
      <w:start w:val="1"/>
      <w:numFmt w:val="bullet"/>
      <w:lvlText w:val="o"/>
      <w:lvlJc w:val="left"/>
      <w:pPr>
        <w:ind w:left="3600" w:hanging="360"/>
      </w:pPr>
      <w:rPr>
        <w:rFonts w:ascii="Courier New" w:hAnsi="Courier New" w:cs="Courier New" w:hint="default"/>
      </w:rPr>
    </w:lvl>
    <w:lvl w:ilvl="5" w:tplc="985EC986" w:tentative="1">
      <w:start w:val="1"/>
      <w:numFmt w:val="bullet"/>
      <w:lvlText w:val=""/>
      <w:lvlJc w:val="left"/>
      <w:pPr>
        <w:ind w:left="4320" w:hanging="360"/>
      </w:pPr>
      <w:rPr>
        <w:rFonts w:ascii="Wingdings" w:hAnsi="Wingdings" w:hint="default"/>
      </w:rPr>
    </w:lvl>
    <w:lvl w:ilvl="6" w:tplc="BB7C137C" w:tentative="1">
      <w:start w:val="1"/>
      <w:numFmt w:val="bullet"/>
      <w:lvlText w:val=""/>
      <w:lvlJc w:val="left"/>
      <w:pPr>
        <w:ind w:left="5040" w:hanging="360"/>
      </w:pPr>
      <w:rPr>
        <w:rFonts w:ascii="Symbol" w:hAnsi="Symbol" w:hint="default"/>
      </w:rPr>
    </w:lvl>
    <w:lvl w:ilvl="7" w:tplc="DAF0B0E4" w:tentative="1">
      <w:start w:val="1"/>
      <w:numFmt w:val="bullet"/>
      <w:lvlText w:val="o"/>
      <w:lvlJc w:val="left"/>
      <w:pPr>
        <w:ind w:left="5760" w:hanging="360"/>
      </w:pPr>
      <w:rPr>
        <w:rFonts w:ascii="Courier New" w:hAnsi="Courier New" w:cs="Courier New" w:hint="default"/>
      </w:rPr>
    </w:lvl>
    <w:lvl w:ilvl="8" w:tplc="CC186CEE" w:tentative="1">
      <w:start w:val="1"/>
      <w:numFmt w:val="bullet"/>
      <w:lvlText w:val=""/>
      <w:lvlJc w:val="left"/>
      <w:pPr>
        <w:ind w:left="6480" w:hanging="360"/>
      </w:pPr>
      <w:rPr>
        <w:rFonts w:ascii="Wingdings" w:hAnsi="Wingdings" w:hint="default"/>
      </w:rPr>
    </w:lvl>
  </w:abstractNum>
  <w:num w:numId="1" w16cid:durableId="1333534425">
    <w:abstractNumId w:val="1"/>
  </w:num>
  <w:num w:numId="2" w16cid:durableId="20711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10"/>
    <w:rsid w:val="001F7DC3"/>
    <w:rsid w:val="003818F8"/>
    <w:rsid w:val="00B862A9"/>
    <w:rsid w:val="00BC2BAC"/>
    <w:rsid w:val="00E047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E75B"/>
  <w15:docId w15:val="{D31BFD81-1CD3-4D3E-BE9E-FD3D4FC9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5723</Words>
  <Characters>33309</Characters>
  <Application>Microsoft Office Word</Application>
  <DocSecurity>0</DocSecurity>
  <Lines>774</Lines>
  <Paragraphs>300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2026-04-09T04:25:00Z</dcterms:created>
  <dcterms:modified xsi:type="dcterms:W3CDTF">2026-04-09T04:26:00Z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