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6319" w14:textId="77777777" w:rsidR="00000000" w:rsidRDefault="00000000">
      <w:pPr>
        <w:pStyle w:val="Heading1"/>
        <w:rPr>
          <w:rFonts w:cs="Arial"/>
        </w:rPr>
      </w:pPr>
      <w:bookmarkStart w:id="0" w:name="PRMS_RIName"/>
      <w:r>
        <w:rPr>
          <w:rFonts w:cs="Arial"/>
        </w:rPr>
        <w:t>Radius Residential Care Limited - Althorp</w:t>
      </w:r>
      <w:bookmarkEnd w:id="0"/>
    </w:p>
    <w:p w14:paraId="26FD7386" w14:textId="77777777" w:rsidR="00000000" w:rsidRDefault="00000000">
      <w:pPr>
        <w:pStyle w:val="Heading2"/>
        <w:spacing w:after="0"/>
        <w:rPr>
          <w:rFonts w:cs="Arial"/>
        </w:rPr>
      </w:pPr>
      <w:r>
        <w:rPr>
          <w:rFonts w:cs="Arial"/>
        </w:rPr>
        <w:t>Introduction</w:t>
      </w:r>
    </w:p>
    <w:p w14:paraId="6445B36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101049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F1AAE5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D9FE98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ACE74F3" w14:textId="77777777" w:rsidR="00000000" w:rsidRDefault="00000000">
      <w:pPr>
        <w:spacing w:before="240" w:after="240"/>
        <w:rPr>
          <w:rFonts w:cs="Arial"/>
          <w:lang w:eastAsia="en-NZ"/>
        </w:rPr>
      </w:pPr>
      <w:r>
        <w:rPr>
          <w:rFonts w:cs="Arial"/>
          <w:lang w:eastAsia="en-NZ"/>
        </w:rPr>
        <w:t>The specifics of this audit included:</w:t>
      </w:r>
    </w:p>
    <w:p w14:paraId="1D695BC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DF1CDE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707532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Althorp</w:t>
      </w:r>
      <w:bookmarkEnd w:id="5"/>
    </w:p>
    <w:p w14:paraId="5B1E02B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 Dementia care</w:t>
      </w:r>
      <w:bookmarkEnd w:id="6"/>
    </w:p>
    <w:p w14:paraId="295B91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January 2026</w:t>
      </w:r>
      <w:bookmarkEnd w:id="7"/>
      <w:r w:rsidRPr="009418D4">
        <w:rPr>
          <w:rFonts w:cs="Arial"/>
        </w:rPr>
        <w:tab/>
        <w:t xml:space="preserve">End date: </w:t>
      </w:r>
      <w:bookmarkStart w:id="8" w:name="AuditEndDate"/>
      <w:r>
        <w:rPr>
          <w:rFonts w:cs="Arial"/>
        </w:rPr>
        <w:t>23 January 2026</w:t>
      </w:r>
      <w:bookmarkEnd w:id="8"/>
    </w:p>
    <w:p w14:paraId="38E5211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9332395" w14:textId="77777777" w:rsidR="00D17BF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112</w:t>
      </w:r>
      <w:bookmarkEnd w:id="10"/>
    </w:p>
    <w:p w14:paraId="49E8D5C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45D4A06" w14:textId="77777777" w:rsidR="00000000" w:rsidRDefault="00000000">
      <w:pPr>
        <w:pStyle w:val="Heading1"/>
        <w:rPr>
          <w:rFonts w:cs="Arial"/>
        </w:rPr>
      </w:pPr>
      <w:r>
        <w:rPr>
          <w:rFonts w:cs="Arial"/>
        </w:rPr>
        <w:lastRenderedPageBreak/>
        <w:t>Executive summary of the audit</w:t>
      </w:r>
    </w:p>
    <w:p w14:paraId="09ED73CB" w14:textId="77777777" w:rsidR="00000000" w:rsidRDefault="00000000">
      <w:pPr>
        <w:pStyle w:val="Heading2"/>
        <w:rPr>
          <w:rFonts w:cs="Arial"/>
        </w:rPr>
      </w:pPr>
      <w:r>
        <w:rPr>
          <w:rFonts w:cs="Arial"/>
        </w:rPr>
        <w:t>Introduction</w:t>
      </w:r>
    </w:p>
    <w:p w14:paraId="757FDB4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50C3D4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97009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8FE851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7455E5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B41D6F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DF797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342F67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AF5E3D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17BF4" w14:paraId="1E997FF5" w14:textId="77777777">
        <w:trPr>
          <w:cantSplit/>
          <w:tblHeader/>
        </w:trPr>
        <w:tc>
          <w:tcPr>
            <w:tcW w:w="1260" w:type="dxa"/>
            <w:tcBorders>
              <w:bottom w:val="single" w:sz="4" w:space="0" w:color="000000"/>
            </w:tcBorders>
            <w:vAlign w:val="center"/>
          </w:tcPr>
          <w:p w14:paraId="0633445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7D1B12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285B5BA" w14:textId="77777777" w:rsidR="00000000" w:rsidRDefault="00000000">
            <w:pPr>
              <w:spacing w:before="60" w:after="60"/>
              <w:rPr>
                <w:rFonts w:eastAsia="Calibri"/>
                <w:b/>
                <w:szCs w:val="24"/>
              </w:rPr>
            </w:pPr>
            <w:r>
              <w:rPr>
                <w:rFonts w:eastAsia="Calibri"/>
                <w:b/>
                <w:szCs w:val="24"/>
              </w:rPr>
              <w:t>Definition</w:t>
            </w:r>
          </w:p>
        </w:tc>
      </w:tr>
      <w:tr w:rsidR="00D17BF4" w14:paraId="1FFFD5CE" w14:textId="77777777">
        <w:trPr>
          <w:cantSplit/>
          <w:trHeight w:val="964"/>
        </w:trPr>
        <w:tc>
          <w:tcPr>
            <w:tcW w:w="1260" w:type="dxa"/>
            <w:tcBorders>
              <w:bottom w:val="single" w:sz="4" w:space="0" w:color="000000"/>
            </w:tcBorders>
            <w:shd w:val="clear" w:color="0066FF" w:fill="0000FF"/>
            <w:vAlign w:val="center"/>
          </w:tcPr>
          <w:p w14:paraId="01CE9640"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D66CA3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B68D6A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17BF4" w14:paraId="75B7E325" w14:textId="77777777">
        <w:trPr>
          <w:cantSplit/>
          <w:trHeight w:val="964"/>
        </w:trPr>
        <w:tc>
          <w:tcPr>
            <w:tcW w:w="1260" w:type="dxa"/>
            <w:shd w:val="clear" w:color="33CC33" w:fill="00FF00"/>
            <w:vAlign w:val="center"/>
          </w:tcPr>
          <w:p w14:paraId="34BA1375" w14:textId="77777777" w:rsidR="00000000" w:rsidRDefault="00000000">
            <w:pPr>
              <w:spacing w:before="60" w:after="60"/>
              <w:rPr>
                <w:rFonts w:eastAsia="Calibri"/>
                <w:szCs w:val="24"/>
              </w:rPr>
            </w:pPr>
          </w:p>
        </w:tc>
        <w:tc>
          <w:tcPr>
            <w:tcW w:w="7095" w:type="dxa"/>
            <w:vAlign w:val="center"/>
          </w:tcPr>
          <w:p w14:paraId="61893E40"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692619C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17BF4" w14:paraId="508B9AFB" w14:textId="77777777">
        <w:trPr>
          <w:cantSplit/>
          <w:trHeight w:val="964"/>
        </w:trPr>
        <w:tc>
          <w:tcPr>
            <w:tcW w:w="1260" w:type="dxa"/>
            <w:tcBorders>
              <w:bottom w:val="single" w:sz="4" w:space="0" w:color="000000"/>
            </w:tcBorders>
            <w:shd w:val="clear" w:color="auto" w:fill="FFFF00"/>
            <w:vAlign w:val="center"/>
          </w:tcPr>
          <w:p w14:paraId="2A920C50" w14:textId="77777777" w:rsidR="00000000" w:rsidRDefault="00000000">
            <w:pPr>
              <w:spacing w:before="60" w:after="60"/>
              <w:rPr>
                <w:rFonts w:eastAsia="Calibri"/>
                <w:szCs w:val="24"/>
              </w:rPr>
            </w:pPr>
          </w:p>
        </w:tc>
        <w:tc>
          <w:tcPr>
            <w:tcW w:w="7095" w:type="dxa"/>
            <w:vAlign w:val="center"/>
          </w:tcPr>
          <w:p w14:paraId="3FEF14E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202CD5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17BF4" w14:paraId="79217305" w14:textId="77777777">
        <w:trPr>
          <w:cantSplit/>
          <w:trHeight w:val="964"/>
        </w:trPr>
        <w:tc>
          <w:tcPr>
            <w:tcW w:w="1260" w:type="dxa"/>
            <w:tcBorders>
              <w:bottom w:val="single" w:sz="4" w:space="0" w:color="000000"/>
            </w:tcBorders>
            <w:shd w:val="clear" w:color="auto" w:fill="FFC800"/>
            <w:vAlign w:val="center"/>
          </w:tcPr>
          <w:p w14:paraId="16C5610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D274AB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7692E4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17BF4" w14:paraId="3CFD5E20" w14:textId="77777777">
        <w:trPr>
          <w:cantSplit/>
          <w:trHeight w:val="964"/>
        </w:trPr>
        <w:tc>
          <w:tcPr>
            <w:tcW w:w="1260" w:type="dxa"/>
            <w:shd w:val="clear" w:color="auto" w:fill="FF0000"/>
            <w:vAlign w:val="center"/>
          </w:tcPr>
          <w:p w14:paraId="1346721E" w14:textId="77777777" w:rsidR="00000000" w:rsidRDefault="00000000">
            <w:pPr>
              <w:spacing w:before="60" w:after="60"/>
              <w:rPr>
                <w:rFonts w:eastAsia="Calibri"/>
                <w:szCs w:val="24"/>
              </w:rPr>
            </w:pPr>
          </w:p>
        </w:tc>
        <w:tc>
          <w:tcPr>
            <w:tcW w:w="7095" w:type="dxa"/>
            <w:vAlign w:val="center"/>
          </w:tcPr>
          <w:p w14:paraId="1094A09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0E0D94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F10D4D4" w14:textId="77777777" w:rsidR="00000000" w:rsidRDefault="00000000">
      <w:pPr>
        <w:pStyle w:val="Heading2"/>
        <w:spacing w:after="0"/>
        <w:rPr>
          <w:rFonts w:cs="Arial"/>
        </w:rPr>
      </w:pPr>
      <w:r>
        <w:rPr>
          <w:rFonts w:cs="Arial"/>
        </w:rPr>
        <w:t>General overview of the audit</w:t>
      </w:r>
    </w:p>
    <w:p w14:paraId="23C1B5BD" w14:textId="77777777" w:rsidR="00000000" w:rsidRDefault="00000000">
      <w:pPr>
        <w:spacing w:before="240" w:line="276" w:lineRule="auto"/>
        <w:rPr>
          <w:rFonts w:eastAsia="Calibri"/>
        </w:rPr>
      </w:pPr>
      <w:bookmarkStart w:id="13" w:name="GeneralOverview"/>
      <w:r w:rsidRPr="00A4268A">
        <w:rPr>
          <w:rFonts w:eastAsia="Calibri"/>
        </w:rPr>
        <w:t xml:space="preserve">Radius Residential Care Limited - Althorp is owned and operated by Radius Residential Care Limited. The service provides psychogeriatric hospital, rest home, and dementia levels of care for up to 119 residents. On the day of the audit, there were 112 residents. </w:t>
      </w:r>
    </w:p>
    <w:p w14:paraId="5965DCA4" w14:textId="77777777" w:rsidR="00D17BF4" w:rsidRPr="00A4268A" w:rsidRDefault="00000000">
      <w:pPr>
        <w:spacing w:before="240" w:line="276" w:lineRule="auto"/>
        <w:rPr>
          <w:rFonts w:eastAsia="Calibri"/>
        </w:rPr>
      </w:pPr>
      <w:r w:rsidRPr="00A4268A">
        <w:rPr>
          <w:rFonts w:eastAsia="Calibri"/>
        </w:rPr>
        <w:t>The service is governed by a Board of Directors. The chief executive officer and the senior leadership team provide executive oversight. Operational management is delivered through the regional manager, facility manager, clinical nurse managers, and clinical team leaders, with support from the office and property managers. Registered nurses and care staff support the management team to deliver day-to-day service provision.</w:t>
      </w:r>
    </w:p>
    <w:p w14:paraId="33CE5645" w14:textId="77777777" w:rsidR="00D17BF4"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0DD074FA" w14:textId="77777777" w:rsidR="00D17BF4" w:rsidRPr="00A4268A" w:rsidRDefault="00000000">
      <w:pPr>
        <w:spacing w:before="240" w:line="276" w:lineRule="auto"/>
        <w:rPr>
          <w:rFonts w:eastAsia="Calibri"/>
        </w:rPr>
      </w:pPr>
      <w:r w:rsidRPr="00A4268A">
        <w:rPr>
          <w:rFonts w:eastAsia="Calibri"/>
        </w:rPr>
        <w:t xml:space="preserve">There were no shortfalls identified at the previous audit. </w:t>
      </w:r>
    </w:p>
    <w:p w14:paraId="1124617B" w14:textId="77777777" w:rsidR="00D17BF4"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3BBC6A2D" w14:textId="77777777" w:rsidR="00D17BF4" w:rsidRPr="00A4268A" w:rsidRDefault="00D17BF4">
      <w:pPr>
        <w:spacing w:before="240" w:line="276" w:lineRule="auto"/>
        <w:rPr>
          <w:rFonts w:eastAsia="Calibri"/>
        </w:rPr>
      </w:pPr>
    </w:p>
    <w:p w14:paraId="4642068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7BF4" w14:paraId="460A43B7" w14:textId="77777777" w:rsidTr="00A4268A">
        <w:trPr>
          <w:cantSplit/>
        </w:trPr>
        <w:tc>
          <w:tcPr>
            <w:tcW w:w="10206" w:type="dxa"/>
            <w:vAlign w:val="center"/>
          </w:tcPr>
          <w:p w14:paraId="6E0256F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D02D3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63297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A3B752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2D4A890" w14:textId="77777777" w:rsidR="00000000" w:rsidRDefault="00000000">
      <w:pPr>
        <w:spacing w:before="240" w:line="276" w:lineRule="auto"/>
        <w:rPr>
          <w:rFonts w:eastAsia="Calibri"/>
        </w:rPr>
      </w:pPr>
      <w:bookmarkStart w:id="16" w:name="ConsumerRights"/>
      <w:r w:rsidRPr="00A4268A">
        <w:rPr>
          <w:rFonts w:eastAsia="Calibri"/>
        </w:rPr>
        <w:t xml:space="preserve">Radius Residential Care Limited - Althorp provide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A Pacific health plan is in place. </w:t>
      </w:r>
    </w:p>
    <w:p w14:paraId="03535111" w14:textId="77777777" w:rsidR="00D17BF4"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2E59A7DC" w14:textId="77777777" w:rsidR="00D17BF4"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40895C9F" w14:textId="77777777" w:rsidR="00D17BF4" w:rsidRPr="00A4268A" w:rsidRDefault="00D17BF4">
      <w:pPr>
        <w:spacing w:before="240" w:line="276" w:lineRule="auto"/>
        <w:rPr>
          <w:rFonts w:eastAsia="Calibri"/>
        </w:rPr>
      </w:pPr>
    </w:p>
    <w:p w14:paraId="70B304F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7BF4" w14:paraId="71983AD7" w14:textId="77777777" w:rsidTr="00A4268A">
        <w:trPr>
          <w:cantSplit/>
        </w:trPr>
        <w:tc>
          <w:tcPr>
            <w:tcW w:w="10206" w:type="dxa"/>
            <w:vAlign w:val="center"/>
          </w:tcPr>
          <w:p w14:paraId="1ED37E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29C98E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CA3C3B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8163181"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organisation’s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0676152F" w14:textId="77777777" w:rsidR="00D17BF4" w:rsidRPr="00A4268A" w:rsidRDefault="00000000">
      <w:pPr>
        <w:spacing w:before="240" w:line="276" w:lineRule="auto"/>
        <w:rPr>
          <w:rFonts w:eastAsia="Calibri"/>
        </w:rPr>
      </w:pPr>
      <w:r w:rsidRPr="00A4268A">
        <w:rPr>
          <w:rFonts w:eastAsia="Calibri"/>
        </w:rPr>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7B174E2A" w14:textId="77777777" w:rsidR="00D17BF4"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481E93E6" w14:textId="77777777" w:rsidR="00D17BF4" w:rsidRPr="00A4268A" w:rsidRDefault="00D17BF4">
      <w:pPr>
        <w:spacing w:before="240" w:line="276" w:lineRule="auto"/>
        <w:rPr>
          <w:rFonts w:eastAsia="Calibri"/>
        </w:rPr>
      </w:pPr>
    </w:p>
    <w:p w14:paraId="581CB51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7BF4" w14:paraId="317277EC" w14:textId="77777777" w:rsidTr="00A4268A">
        <w:trPr>
          <w:cantSplit/>
        </w:trPr>
        <w:tc>
          <w:tcPr>
            <w:tcW w:w="10206" w:type="dxa"/>
            <w:vAlign w:val="center"/>
          </w:tcPr>
          <w:p w14:paraId="605C520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0C4B1F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ECF4A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F6F56A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On admission, the facility manager, clinical nurse managers, and nursing staff work collaboratively to ensure a coordinated and smooth admission process. Comprehensive assessments are completed in a timely manner and consider residents’ life experiences, cultural needs, values, and beliefs. Care plans are developed promptly with input from residents and their whānau where appropriate. Cultural needs are documented, and each resident has an individualised care plan that reflects their assessed needs and is reviewed and updated when their condition or circumstances change. </w:t>
      </w:r>
    </w:p>
    <w:p w14:paraId="3D5B1350" w14:textId="77777777" w:rsidR="00D17BF4" w:rsidRPr="00A4268A" w:rsidRDefault="00000000" w:rsidP="00621629">
      <w:pPr>
        <w:spacing w:before="240" w:line="276" w:lineRule="auto"/>
        <w:rPr>
          <w:rFonts w:eastAsia="Calibri"/>
        </w:rPr>
      </w:pPr>
      <w:r w:rsidRPr="00A4268A">
        <w:rPr>
          <w:rFonts w:eastAsia="Calibri"/>
        </w:rPr>
        <w:t>The service uses a safe medication management system, including pre-packed medicines and an electronic medication record system. Medication is administered by trained and competent staff. Medicine-related allergies and sensitivities are recorded where applicable. Self-medication is supported where appropriate, with safe systems in place to ensure this is managed safely.</w:t>
      </w:r>
    </w:p>
    <w:p w14:paraId="6A00C012" w14:textId="77777777" w:rsidR="00D17BF4"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 to support their ongoing care needs.</w:t>
      </w:r>
    </w:p>
    <w:bookmarkEnd w:id="22"/>
    <w:p w14:paraId="39D574D7" w14:textId="77777777" w:rsidR="00D17BF4" w:rsidRPr="00A4268A" w:rsidRDefault="00D17BF4" w:rsidP="00621629">
      <w:pPr>
        <w:spacing w:before="240" w:line="276" w:lineRule="auto"/>
        <w:rPr>
          <w:rFonts w:eastAsia="Calibri"/>
        </w:rPr>
      </w:pPr>
    </w:p>
    <w:p w14:paraId="4CF0311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7BF4" w14:paraId="4E8E0848" w14:textId="77777777" w:rsidTr="00A4268A">
        <w:trPr>
          <w:cantSplit/>
        </w:trPr>
        <w:tc>
          <w:tcPr>
            <w:tcW w:w="10206" w:type="dxa"/>
            <w:vAlign w:val="center"/>
          </w:tcPr>
          <w:p w14:paraId="35977E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FEFAEF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918FC2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9E0A147"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7997E294" w14:textId="77777777" w:rsidR="00D17BF4" w:rsidRPr="00A4268A" w:rsidRDefault="00D17BF4">
      <w:pPr>
        <w:spacing w:before="240" w:line="276" w:lineRule="auto"/>
        <w:rPr>
          <w:rFonts w:eastAsia="Calibri"/>
        </w:rPr>
      </w:pPr>
    </w:p>
    <w:p w14:paraId="52DC340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7BF4" w14:paraId="424C604B" w14:textId="77777777" w:rsidTr="00A4268A">
        <w:trPr>
          <w:cantSplit/>
        </w:trPr>
        <w:tc>
          <w:tcPr>
            <w:tcW w:w="10206" w:type="dxa"/>
            <w:vAlign w:val="center"/>
          </w:tcPr>
          <w:p w14:paraId="64C529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ACBFF8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F17776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716E7CE"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appropriate to the size and complexity of the service and has been developed by personnel with infection prevention expertise. The programme is aligned with the quality improvement programme and has been approved by the governance body. It is led by a suitably qualified infection control nurse and is reviewed annually to ensure it remains current and effective.</w:t>
      </w:r>
    </w:p>
    <w:p w14:paraId="14C7730D" w14:textId="77777777" w:rsidR="00D17BF4" w:rsidRPr="00A4268A" w:rsidRDefault="00000000">
      <w:pPr>
        <w:spacing w:before="240" w:line="276" w:lineRule="auto"/>
        <w:rPr>
          <w:rFonts w:eastAsia="Calibri"/>
        </w:rPr>
      </w:pPr>
      <w:r w:rsidRPr="00A4268A">
        <w:rPr>
          <w:rFonts w:eastAsia="Calibri"/>
        </w:rPr>
        <w:lastRenderedPageBreak/>
        <w:t>Staff demonstrated an understanding of infection prevention and control principles and practices, which are guided by current policies and reinforced through ongoing education and training. Infection prevention education is included in staff orientation and provided annually thereafter.</w:t>
      </w:r>
    </w:p>
    <w:p w14:paraId="42956974" w14:textId="77777777" w:rsidR="00D17BF4" w:rsidRPr="00A4268A" w:rsidRDefault="00000000">
      <w:pPr>
        <w:spacing w:before="240" w:line="276" w:lineRule="auto"/>
        <w:rPr>
          <w:rFonts w:eastAsia="Calibri"/>
        </w:rPr>
      </w:pPr>
      <w:r w:rsidRPr="00A4268A">
        <w:rPr>
          <w:rFonts w:eastAsia="Calibri"/>
        </w:rPr>
        <w:t>Surveillance of healthcare-associated infections is undertaken, with results communicated to staff. Follow-up actions are implemented when indicated. Infection outbreaks since the previous audit have been managed effectively and in accordance with organisational policy.</w:t>
      </w:r>
    </w:p>
    <w:bookmarkEnd w:id="28"/>
    <w:p w14:paraId="78FB55AA" w14:textId="77777777" w:rsidR="00D17BF4" w:rsidRPr="00A4268A" w:rsidRDefault="00D17BF4">
      <w:pPr>
        <w:spacing w:before="240" w:line="276" w:lineRule="auto"/>
        <w:rPr>
          <w:rFonts w:eastAsia="Calibri"/>
        </w:rPr>
      </w:pPr>
    </w:p>
    <w:p w14:paraId="5D12426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7BF4" w14:paraId="6DE1EAB4" w14:textId="77777777" w:rsidTr="00A4268A">
        <w:trPr>
          <w:cantSplit/>
        </w:trPr>
        <w:tc>
          <w:tcPr>
            <w:tcW w:w="10206" w:type="dxa"/>
            <w:vAlign w:val="center"/>
          </w:tcPr>
          <w:p w14:paraId="20898B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7BAC9C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DAD9C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EF5F0CE" w14:textId="77777777" w:rsidR="00000000" w:rsidRDefault="00000000">
      <w:pPr>
        <w:spacing w:before="240" w:line="276" w:lineRule="auto"/>
        <w:rPr>
          <w:rFonts w:eastAsia="Calibri"/>
        </w:rPr>
      </w:pPr>
      <w:bookmarkStart w:id="31" w:name="InfectionPreventionAndControl"/>
      <w:r w:rsidRPr="00A4268A">
        <w:rPr>
          <w:rFonts w:eastAsia="Calibri"/>
        </w:rPr>
        <w:t>A non-restraint policy is applied by the organisation. A comprehensive assessment, approval, and monitoring process, with regular reviews, is in place. A suitably qualified restraint coordinator (Clinical nurse manager) manages the process. The staff interviewed demonstrated a sound knowledge and understanding of providing the least restrictive practice, de-escalation techniques, alternative interventions to restraint, and restraint monitoring. There was one restraint (bedrails) in use at the service.</w:t>
      </w:r>
    </w:p>
    <w:bookmarkEnd w:id="31"/>
    <w:p w14:paraId="0C23DA98" w14:textId="77777777" w:rsidR="00D17BF4" w:rsidRPr="00A4268A" w:rsidRDefault="00D17BF4">
      <w:pPr>
        <w:spacing w:before="240" w:line="276" w:lineRule="auto"/>
        <w:rPr>
          <w:rFonts w:eastAsia="Calibri"/>
        </w:rPr>
      </w:pPr>
    </w:p>
    <w:p w14:paraId="56859ED5" w14:textId="77777777" w:rsidR="00000000" w:rsidRDefault="00000000" w:rsidP="000E6E02">
      <w:pPr>
        <w:pStyle w:val="Heading2"/>
        <w:spacing w:before="0"/>
        <w:rPr>
          <w:rFonts w:cs="Arial"/>
        </w:rPr>
      </w:pPr>
      <w:r>
        <w:rPr>
          <w:rFonts w:cs="Arial"/>
        </w:rPr>
        <w:lastRenderedPageBreak/>
        <w:t>Summary of attainment</w:t>
      </w:r>
    </w:p>
    <w:p w14:paraId="5F2B324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17BF4" w14:paraId="16038BF1" w14:textId="77777777">
        <w:tc>
          <w:tcPr>
            <w:tcW w:w="1384" w:type="dxa"/>
            <w:vAlign w:val="center"/>
          </w:tcPr>
          <w:p w14:paraId="173408D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44B591" w14:textId="77777777" w:rsidR="00000000" w:rsidRDefault="00000000">
            <w:pPr>
              <w:keepNext/>
              <w:spacing w:before="60" w:after="60"/>
              <w:jc w:val="center"/>
              <w:rPr>
                <w:rFonts w:cs="Arial"/>
                <w:b/>
                <w:sz w:val="20"/>
                <w:szCs w:val="20"/>
              </w:rPr>
            </w:pPr>
            <w:r>
              <w:rPr>
                <w:rFonts w:cs="Arial"/>
                <w:b/>
                <w:sz w:val="20"/>
                <w:szCs w:val="20"/>
              </w:rPr>
              <w:t>Continuous Improvement</w:t>
            </w:r>
          </w:p>
          <w:p w14:paraId="60F646C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305341A" w14:textId="77777777" w:rsidR="00000000" w:rsidRDefault="00000000">
            <w:pPr>
              <w:keepNext/>
              <w:spacing w:before="60" w:after="60"/>
              <w:jc w:val="center"/>
              <w:rPr>
                <w:rFonts w:cs="Arial"/>
                <w:b/>
                <w:sz w:val="20"/>
                <w:szCs w:val="20"/>
              </w:rPr>
            </w:pPr>
            <w:r>
              <w:rPr>
                <w:rFonts w:cs="Arial"/>
                <w:b/>
                <w:sz w:val="20"/>
                <w:szCs w:val="20"/>
              </w:rPr>
              <w:t>Fully Attained</w:t>
            </w:r>
          </w:p>
          <w:p w14:paraId="59ACA90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FDE4F3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E927FC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53C93A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FF8C3B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578DB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885164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4B41C9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CBAEB8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9E9BBB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6D2F4BA" w14:textId="77777777" w:rsidR="00000000" w:rsidRDefault="00000000">
            <w:pPr>
              <w:keepNext/>
              <w:spacing w:before="60" w:after="60"/>
              <w:jc w:val="center"/>
              <w:rPr>
                <w:rFonts w:cs="Arial"/>
                <w:b/>
                <w:sz w:val="20"/>
                <w:szCs w:val="20"/>
              </w:rPr>
            </w:pPr>
            <w:r>
              <w:rPr>
                <w:rFonts w:cs="Arial"/>
                <w:b/>
                <w:sz w:val="20"/>
                <w:szCs w:val="20"/>
              </w:rPr>
              <w:t>(PA Critical)</w:t>
            </w:r>
          </w:p>
        </w:tc>
      </w:tr>
      <w:tr w:rsidR="00D17BF4" w14:paraId="39381FF5" w14:textId="77777777">
        <w:tc>
          <w:tcPr>
            <w:tcW w:w="1384" w:type="dxa"/>
            <w:vAlign w:val="center"/>
          </w:tcPr>
          <w:p w14:paraId="211C668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995476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EE1A49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173409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80D81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2EF976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C90B76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D94BA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17BF4" w14:paraId="4064D994" w14:textId="77777777">
        <w:tc>
          <w:tcPr>
            <w:tcW w:w="1384" w:type="dxa"/>
            <w:vAlign w:val="center"/>
          </w:tcPr>
          <w:p w14:paraId="392ECF2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3CCBF4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D34A5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4D8620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3629D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4F11CD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0EB385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ADE620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FBCD9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17BF4" w14:paraId="1724AFBD" w14:textId="77777777">
        <w:tc>
          <w:tcPr>
            <w:tcW w:w="1384" w:type="dxa"/>
            <w:vAlign w:val="center"/>
          </w:tcPr>
          <w:p w14:paraId="120C11D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15779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699B9D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27A5860" w14:textId="77777777" w:rsidR="00000000" w:rsidRDefault="00000000">
            <w:pPr>
              <w:keepNext/>
              <w:spacing w:before="60" w:after="60"/>
              <w:jc w:val="center"/>
              <w:rPr>
                <w:rFonts w:cs="Arial"/>
                <w:b/>
                <w:sz w:val="20"/>
                <w:szCs w:val="20"/>
              </w:rPr>
            </w:pPr>
            <w:r>
              <w:rPr>
                <w:rFonts w:cs="Arial"/>
                <w:b/>
                <w:sz w:val="20"/>
                <w:szCs w:val="20"/>
              </w:rPr>
              <w:t>Unattained Low Risk</w:t>
            </w:r>
          </w:p>
          <w:p w14:paraId="2A9D1F7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8CBC6E2" w14:textId="77777777" w:rsidR="00000000" w:rsidRDefault="00000000">
            <w:pPr>
              <w:keepNext/>
              <w:spacing w:before="60" w:after="60"/>
              <w:jc w:val="center"/>
              <w:rPr>
                <w:rFonts w:cs="Arial"/>
                <w:b/>
                <w:sz w:val="20"/>
                <w:szCs w:val="20"/>
              </w:rPr>
            </w:pPr>
            <w:r>
              <w:rPr>
                <w:rFonts w:cs="Arial"/>
                <w:b/>
                <w:sz w:val="20"/>
                <w:szCs w:val="20"/>
              </w:rPr>
              <w:t>Unattained Moderate Risk</w:t>
            </w:r>
          </w:p>
          <w:p w14:paraId="6C99A99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E0CB9E2" w14:textId="77777777" w:rsidR="00000000" w:rsidRDefault="00000000">
            <w:pPr>
              <w:keepNext/>
              <w:spacing w:before="60" w:after="60"/>
              <w:jc w:val="center"/>
              <w:rPr>
                <w:rFonts w:cs="Arial"/>
                <w:b/>
                <w:sz w:val="20"/>
                <w:szCs w:val="20"/>
              </w:rPr>
            </w:pPr>
            <w:r>
              <w:rPr>
                <w:rFonts w:cs="Arial"/>
                <w:b/>
                <w:sz w:val="20"/>
                <w:szCs w:val="20"/>
              </w:rPr>
              <w:t>Unattained High Risk</w:t>
            </w:r>
          </w:p>
          <w:p w14:paraId="294408D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212FB1D" w14:textId="77777777" w:rsidR="00000000" w:rsidRDefault="00000000">
            <w:pPr>
              <w:keepNext/>
              <w:spacing w:before="60" w:after="60"/>
              <w:jc w:val="center"/>
              <w:rPr>
                <w:rFonts w:cs="Arial"/>
                <w:b/>
                <w:sz w:val="20"/>
                <w:szCs w:val="20"/>
              </w:rPr>
            </w:pPr>
            <w:r>
              <w:rPr>
                <w:rFonts w:cs="Arial"/>
                <w:b/>
                <w:sz w:val="20"/>
                <w:szCs w:val="20"/>
              </w:rPr>
              <w:t>Unattained Critical Risk</w:t>
            </w:r>
          </w:p>
          <w:p w14:paraId="1D38626D" w14:textId="77777777" w:rsidR="00000000" w:rsidRDefault="00000000">
            <w:pPr>
              <w:keepNext/>
              <w:spacing w:before="60" w:after="60"/>
              <w:jc w:val="center"/>
              <w:rPr>
                <w:rFonts w:cs="Arial"/>
                <w:b/>
                <w:sz w:val="20"/>
                <w:szCs w:val="20"/>
              </w:rPr>
            </w:pPr>
            <w:r>
              <w:rPr>
                <w:rFonts w:cs="Arial"/>
                <w:b/>
                <w:sz w:val="20"/>
                <w:szCs w:val="20"/>
              </w:rPr>
              <w:t>(UA Critical)</w:t>
            </w:r>
          </w:p>
        </w:tc>
      </w:tr>
      <w:tr w:rsidR="00D17BF4" w14:paraId="3D5F41B5" w14:textId="77777777">
        <w:tc>
          <w:tcPr>
            <w:tcW w:w="1384" w:type="dxa"/>
            <w:vAlign w:val="center"/>
          </w:tcPr>
          <w:p w14:paraId="7576ABB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A6855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55356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6EE034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01E09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710DF9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17BF4" w14:paraId="7061460E" w14:textId="77777777">
        <w:tc>
          <w:tcPr>
            <w:tcW w:w="1384" w:type="dxa"/>
            <w:vAlign w:val="center"/>
          </w:tcPr>
          <w:p w14:paraId="0A68950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929B99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C2528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E4585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81CBE0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1B38E2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EC989C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4B6CF4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43B0E5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8A306E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371"/>
        <w:gridCol w:w="6865"/>
      </w:tblGrid>
      <w:tr w:rsidR="00D17BF4" w14:paraId="0A81F58D" w14:textId="77777777">
        <w:tc>
          <w:tcPr>
            <w:tcW w:w="0" w:type="auto"/>
          </w:tcPr>
          <w:p w14:paraId="714C0B0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5000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24C40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17BF4" w14:paraId="39EECB61" w14:textId="77777777">
        <w:tc>
          <w:tcPr>
            <w:tcW w:w="0" w:type="auto"/>
          </w:tcPr>
          <w:p w14:paraId="36B5D8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52800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D05B09B" w14:textId="77777777" w:rsidR="00000000" w:rsidRPr="00BE00C7" w:rsidRDefault="00000000" w:rsidP="00BE00C7">
            <w:pPr>
              <w:pStyle w:val="OutcomeDescription"/>
              <w:spacing w:before="120" w:after="120"/>
              <w:rPr>
                <w:rFonts w:cs="Arial"/>
                <w:lang w:eastAsia="en-NZ"/>
              </w:rPr>
            </w:pPr>
          </w:p>
        </w:tc>
        <w:tc>
          <w:tcPr>
            <w:tcW w:w="0" w:type="auto"/>
          </w:tcPr>
          <w:p w14:paraId="0E5509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4AA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has residents who identify as Māori. Radius Residential Care Limited – Althorp is committed to integrating equality and diversity and upholding a culture that actively values difference. A National Cultural Committee is in place and meets three monthly with a standing agenda in place. Collecting ethnicity data for residents and staff is a priority. </w:t>
            </w:r>
          </w:p>
          <w:p w14:paraId="1F2909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The managers reported that there were residents and staff who identified as Māori. </w:t>
            </w:r>
          </w:p>
          <w:p w14:paraId="0459179F"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management that include the FM, two CNMs, RM, office manager (OM), property manager (PM); and staff that included two registered nurses, one clinical team leader, nine health care assistants (HCAs), two housekeepers and a chef, confirmed that the service delivers a service that is focused on the health, well-being, and cultural needs of its residents.</w:t>
            </w:r>
          </w:p>
          <w:p w14:paraId="68EBD247" w14:textId="77777777" w:rsidR="00000000" w:rsidRPr="00BE00C7" w:rsidRDefault="00000000" w:rsidP="00BE00C7">
            <w:pPr>
              <w:pStyle w:val="OutcomeDescription"/>
              <w:spacing w:before="120" w:after="120"/>
              <w:rPr>
                <w:rFonts w:cs="Arial"/>
                <w:lang w:eastAsia="en-NZ"/>
              </w:rPr>
            </w:pPr>
          </w:p>
        </w:tc>
      </w:tr>
      <w:tr w:rsidR="00D17BF4" w14:paraId="1D1DE333" w14:textId="77777777">
        <w:tc>
          <w:tcPr>
            <w:tcW w:w="0" w:type="auto"/>
          </w:tcPr>
          <w:p w14:paraId="18FD1D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1509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B3B5BE7" w14:textId="77777777" w:rsidR="00000000" w:rsidRPr="00BE00C7" w:rsidRDefault="00000000" w:rsidP="00BE00C7">
            <w:pPr>
              <w:pStyle w:val="OutcomeDescription"/>
              <w:spacing w:before="120" w:after="120"/>
              <w:rPr>
                <w:rFonts w:cs="Arial"/>
                <w:lang w:eastAsia="en-NZ"/>
              </w:rPr>
            </w:pPr>
          </w:p>
        </w:tc>
        <w:tc>
          <w:tcPr>
            <w:tcW w:w="0" w:type="auto"/>
          </w:tcPr>
          <w:p w14:paraId="3F4188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1AC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is the basis of the Radius Pacific Health Plan. The aim is to uphold the principles of Pacific people by acknowledging respectful relationships, valuing families, and providing high-quality healthcare.</w:t>
            </w:r>
          </w:p>
          <w:p w14:paraId="2F8FAE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had residents and staff who identify as Pacific. The staff interviewed highlighted the importance of understanding and supporting each other’s culture.</w:t>
            </w:r>
          </w:p>
          <w:p w14:paraId="363151DA" w14:textId="77777777" w:rsidR="00000000" w:rsidRPr="00BE00C7" w:rsidRDefault="00000000" w:rsidP="00BE00C7">
            <w:pPr>
              <w:pStyle w:val="OutcomeDescription"/>
              <w:spacing w:before="120" w:after="120"/>
              <w:rPr>
                <w:rFonts w:cs="Arial"/>
                <w:lang w:eastAsia="en-NZ"/>
              </w:rPr>
            </w:pPr>
          </w:p>
        </w:tc>
      </w:tr>
      <w:tr w:rsidR="00D17BF4" w14:paraId="6276105E" w14:textId="77777777">
        <w:tc>
          <w:tcPr>
            <w:tcW w:w="0" w:type="auto"/>
          </w:tcPr>
          <w:p w14:paraId="1EA1EE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54954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3EF5A1" w14:textId="77777777" w:rsidR="00000000" w:rsidRPr="00BE00C7" w:rsidRDefault="00000000" w:rsidP="00BE00C7">
            <w:pPr>
              <w:pStyle w:val="OutcomeDescription"/>
              <w:spacing w:before="120" w:after="120"/>
              <w:rPr>
                <w:rFonts w:cs="Arial"/>
                <w:lang w:eastAsia="en-NZ"/>
              </w:rPr>
            </w:pPr>
          </w:p>
        </w:tc>
        <w:tc>
          <w:tcPr>
            <w:tcW w:w="0" w:type="auto"/>
          </w:tcPr>
          <w:p w14:paraId="6F61F3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9E3D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Code of Health and Disability Services Consumers’ Rights (the Code) and were observed supporting residents to follow their wishes. Nine (9) family/whānau (six hospital, and three dementia), and eight (8) residents including one rest home and seven hospital reported being made aware of the Health and Disability Commissioner’s (HDC) Code of Health and Disability Services Consumers Rights (the Code) and the Nationwide Health and Disability Advocacy Service (Advocacy Service) and confirmed they were provided with opportunities to discuss and clarify their rights.</w:t>
            </w:r>
          </w:p>
          <w:p w14:paraId="11075C8C" w14:textId="77777777" w:rsidR="00000000" w:rsidRPr="00BE00C7" w:rsidRDefault="00000000" w:rsidP="00BE00C7">
            <w:pPr>
              <w:pStyle w:val="OutcomeDescription"/>
              <w:spacing w:before="120" w:after="120"/>
              <w:rPr>
                <w:rFonts w:cs="Arial"/>
                <w:lang w:eastAsia="en-NZ"/>
              </w:rPr>
            </w:pPr>
          </w:p>
        </w:tc>
      </w:tr>
      <w:tr w:rsidR="00D17BF4" w14:paraId="6A2C8166" w14:textId="77777777">
        <w:tc>
          <w:tcPr>
            <w:tcW w:w="0" w:type="auto"/>
          </w:tcPr>
          <w:p w14:paraId="665ED8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F95B4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D4B4451" w14:textId="77777777" w:rsidR="00000000" w:rsidRPr="00BE00C7" w:rsidRDefault="00000000" w:rsidP="00BE00C7">
            <w:pPr>
              <w:pStyle w:val="OutcomeDescription"/>
              <w:spacing w:before="120" w:after="120"/>
              <w:rPr>
                <w:rFonts w:cs="Arial"/>
                <w:lang w:eastAsia="en-NZ"/>
              </w:rPr>
            </w:pPr>
          </w:p>
        </w:tc>
        <w:tc>
          <w:tcPr>
            <w:tcW w:w="0" w:type="auto"/>
          </w:tcPr>
          <w:p w14:paraId="1B8884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5CBC1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03A7A6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CNMs reported that staff are guided by the code of conduct to ensure the environment is safe and free from any form of institutional and/or systemic racism. Whānau members stated that residents were free from any type of discrimination, harassment, physical or sexual abuse, or neglect and were safe. Policies and procedures, such as the harassment, </w:t>
            </w:r>
            <w:r w:rsidRPr="00BE00C7">
              <w:rPr>
                <w:rFonts w:cs="Arial"/>
                <w:lang w:eastAsia="en-NZ"/>
              </w:rPr>
              <w:lastRenderedPageBreak/>
              <w:t>discrimination, and bullying policy, are in place. The policy applies to all staff, contractors, visitors, and residents.</w:t>
            </w:r>
          </w:p>
          <w:p w14:paraId="519C09B0" w14:textId="77777777" w:rsidR="00000000" w:rsidRPr="00BE00C7" w:rsidRDefault="00000000" w:rsidP="00BE00C7">
            <w:pPr>
              <w:pStyle w:val="OutcomeDescription"/>
              <w:spacing w:before="120" w:after="120"/>
              <w:rPr>
                <w:rFonts w:cs="Arial"/>
                <w:lang w:eastAsia="en-NZ"/>
              </w:rPr>
            </w:pPr>
          </w:p>
        </w:tc>
      </w:tr>
      <w:tr w:rsidR="00D17BF4" w14:paraId="2CE78BE6" w14:textId="77777777">
        <w:tc>
          <w:tcPr>
            <w:tcW w:w="0" w:type="auto"/>
          </w:tcPr>
          <w:p w14:paraId="486D05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9767C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18B2495" w14:textId="77777777" w:rsidR="00000000" w:rsidRPr="00BE00C7" w:rsidRDefault="00000000" w:rsidP="00BE00C7">
            <w:pPr>
              <w:pStyle w:val="OutcomeDescription"/>
              <w:spacing w:before="120" w:after="120"/>
              <w:rPr>
                <w:rFonts w:cs="Arial"/>
                <w:lang w:eastAsia="en-NZ"/>
              </w:rPr>
            </w:pPr>
          </w:p>
        </w:tc>
        <w:tc>
          <w:tcPr>
            <w:tcW w:w="0" w:type="auto"/>
          </w:tcPr>
          <w:p w14:paraId="020752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E49D1C"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 Residents in the dementia and psychogeriatric units had activated enduring powers of attorney (EPOAs), and copies of the relevant documentation were held on file.</w:t>
            </w:r>
          </w:p>
          <w:p w14:paraId="766C1ED3" w14:textId="77777777" w:rsidR="00000000" w:rsidRPr="00BE00C7" w:rsidRDefault="00000000" w:rsidP="00BE00C7">
            <w:pPr>
              <w:pStyle w:val="OutcomeDescription"/>
              <w:spacing w:before="120" w:after="120"/>
              <w:rPr>
                <w:rFonts w:cs="Arial"/>
                <w:lang w:eastAsia="en-NZ"/>
              </w:rPr>
            </w:pPr>
          </w:p>
        </w:tc>
      </w:tr>
      <w:tr w:rsidR="00D17BF4" w14:paraId="709B9EED" w14:textId="77777777">
        <w:tc>
          <w:tcPr>
            <w:tcW w:w="0" w:type="auto"/>
          </w:tcPr>
          <w:p w14:paraId="49EECB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8F44D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4AC8D3" w14:textId="77777777" w:rsidR="00000000" w:rsidRPr="00BE00C7" w:rsidRDefault="00000000" w:rsidP="00BE00C7">
            <w:pPr>
              <w:pStyle w:val="OutcomeDescription"/>
              <w:spacing w:before="120" w:after="120"/>
              <w:rPr>
                <w:rFonts w:cs="Arial"/>
                <w:lang w:eastAsia="en-NZ"/>
              </w:rPr>
            </w:pPr>
          </w:p>
        </w:tc>
        <w:tc>
          <w:tcPr>
            <w:tcW w:w="0" w:type="auto"/>
          </w:tcPr>
          <w:p w14:paraId="730747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4A30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management policy and procedures were clearly documented to guide staff. The process complies with Right 10 of the Code, which is the right to complain, to be taken seriously, respected and to receive a timely response. The service maintains a complaints register. There were nine complaints in 2025, and one in 2026 (year to date) since the previous audit. The FM reported that the complaint process timeframes are adhered to, and service improvement measures are implemented as required. Documentation, including follow-up letters and resolution, was completed and managed in accordance with guidelines set by the HDC. Discussions with residents and family/whānau confirmed that they are provided with information on the complaints process and remarked that any concerns or issues they had, were addressed promptly. The FM reported that any issues are discussed promptly with the residents before they escalate into complaints. Satisfaction and dissatisfaction outcomes of the complainant were documented.</w:t>
            </w:r>
          </w:p>
          <w:p w14:paraId="2E3282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Family/whānau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The Residents and family/whānau spoken with expressed satisfaction with the complaint process. In the event of a complaint from a Māori resident or family/whānau member, the service would seek the assistance of an interpreter or cultural advisor if needed.</w:t>
            </w:r>
          </w:p>
          <w:p w14:paraId="62D39B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external complaints received since the last audit. The Regional Service Improvement Team, Commissioning (dated 9 December 2025), requested a follow-up on aspects of a complaint that included possible delayed identification of a resident’s hip fracture and related care including poor communication regarding falls prevention and post-fall care. Improvement actions were identified and implemented as requested, including providing staff with further and relevant education. There were no identified issues with respect to these complaints.</w:t>
            </w:r>
          </w:p>
          <w:p w14:paraId="6AEF123D" w14:textId="77777777" w:rsidR="00000000" w:rsidRPr="00BE00C7" w:rsidRDefault="00000000" w:rsidP="00BE00C7">
            <w:pPr>
              <w:pStyle w:val="OutcomeDescription"/>
              <w:spacing w:before="120" w:after="120"/>
              <w:rPr>
                <w:rFonts w:cs="Arial"/>
                <w:lang w:eastAsia="en-NZ"/>
              </w:rPr>
            </w:pPr>
          </w:p>
        </w:tc>
      </w:tr>
      <w:tr w:rsidR="00D17BF4" w14:paraId="19EC85B5" w14:textId="77777777">
        <w:tc>
          <w:tcPr>
            <w:tcW w:w="0" w:type="auto"/>
          </w:tcPr>
          <w:p w14:paraId="1D2CD2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B87C7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2F80B69" w14:textId="77777777" w:rsidR="00000000" w:rsidRPr="00BE00C7" w:rsidRDefault="00000000" w:rsidP="00BE00C7">
            <w:pPr>
              <w:pStyle w:val="OutcomeDescription"/>
              <w:spacing w:before="120" w:after="120"/>
              <w:rPr>
                <w:rFonts w:cs="Arial"/>
                <w:lang w:eastAsia="en-NZ"/>
              </w:rPr>
            </w:pPr>
          </w:p>
        </w:tc>
        <w:tc>
          <w:tcPr>
            <w:tcW w:w="0" w:type="auto"/>
          </w:tcPr>
          <w:p w14:paraId="00DA7F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61FDF3"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Residential Care Limited – Althorp has a total of 119 beds and is certified for; Hospital services - Psychogeriatric services; Hospital services - Medical services; Hospital services - Geriatric services (excl. psychogeriatric); Rest home care (excluding dementia care); and Dementia care. There are 57 dual-purpose beds, 30 dementia- level beds and 32 psychogeriatric beds.</w:t>
            </w:r>
          </w:p>
          <w:p w14:paraId="1F5830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112 beds occupied. This included six rest home level care residents, including one respite, one Accident Compensation Corporation (ACC), 44 residents at hospital level of care, including one resident on a younger person with a disability (YPD) contract, one (ACC), none under the palliative care contract and one respite. There were 30 residents in the dementia units and 32 in the psychogeriatric units. </w:t>
            </w:r>
          </w:p>
          <w:p w14:paraId="155449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Radius Care is the Board of Directors, comprising the Managing Director/Executive Chairman and four professional directors. The Board holds overall accountability for organisational governance and strategic decision-making. Operational responsibility is delegated to the Chief Executive Officer (CEO), who provides overall leadership and </w:t>
            </w:r>
            <w:r w:rsidRPr="00BE00C7">
              <w:rPr>
                <w:rFonts w:cs="Arial"/>
                <w:lang w:eastAsia="en-NZ"/>
              </w:rPr>
              <w:lastRenderedPageBreak/>
              <w:t>oversight of the management team. Day-to-day operational management is the responsibility of the senior management team. A structured weekly and monthly reporting framework is in place to provide assurance to the CEO and the Board regarding organisational performance and operations.</w:t>
            </w:r>
          </w:p>
          <w:p w14:paraId="5D9EA743"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on the board have an appropriate mix of skills, knowledge, experience, and diversity to meet governance responsibilities. The regional manager and facility manager have experience in the aged care sector and demonstrated an understanding of relevant legislative and contractual requirements.</w:t>
            </w:r>
          </w:p>
          <w:p w14:paraId="2A83A4FC"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business plan (April 2025–March 2026), aligned with the 2023–2028 strategic plan, is in place and outlines clearly defined goals that reflect the service’s vision, mission, and values. The plan includes annual and long-term objectives supported by operational plans. Objectives sighted were time-framed with defined actions, and regular reporting occurred through management meetings. The regional manager reported that key performance indicators are reviewed monthly, and meeting minutes evidenced discussion of objectives and progress toward planned actions. A quality and risk management plan is in place, reviewed at least annually, and updated as required. The clinical governance team completes an annual review of all components of the quality programme.</w:t>
            </w:r>
          </w:p>
          <w:p w14:paraId="175D23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is accountable for ensuring the delivery of safe, equitable, and high-quality services and demonstrates a commitment to Te Tiriti o Waitangi and improving outcomes for Māori and Pacific peoples. The Radius Board of Directors has adopted the Radius Māori Health Strategy as a key framework for addressing health inequities for Māori and Pacific peoples. A national cultural committee meets three-monthly to guide culturally responsive decision-making and strengthen Māori influence. This commitment is reflected in policy and planning documents, which include actions to support equity, resident choice, and access to information. Information on the Code of Health and Disability Services Consumers’ Rights, complaints processes, and infection prevention and control is available in alternative languages to reduce barriers to access.</w:t>
            </w:r>
          </w:p>
          <w:p w14:paraId="6B314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national quality manager and the risk and compliance manager. Regular quality, compliance, and risk reports are provided and include analysis of operational and financial key performance indicators. Outcomes and required corrective actions are discussed at the compliance and risk meeting, chaired by a board member. </w:t>
            </w:r>
            <w:r w:rsidRPr="00BE00C7">
              <w:rPr>
                <w:rFonts w:cs="Arial"/>
                <w:lang w:eastAsia="en-NZ"/>
              </w:rPr>
              <w:lastRenderedPageBreak/>
              <w:t>High-risk areas are reviewed with corresponding corrective measures identified, implemented, and monitored until the desired outcome or goal is achieved.</w:t>
            </w:r>
          </w:p>
          <w:p w14:paraId="5D442281" w14:textId="77777777" w:rsidR="00000000" w:rsidRPr="00BE00C7" w:rsidRDefault="00000000" w:rsidP="00BE00C7">
            <w:pPr>
              <w:pStyle w:val="OutcomeDescription"/>
              <w:spacing w:before="120" w:after="120"/>
              <w:rPr>
                <w:rFonts w:cs="Arial"/>
                <w:lang w:eastAsia="en-NZ"/>
              </w:rPr>
            </w:pPr>
          </w:p>
        </w:tc>
      </w:tr>
      <w:tr w:rsidR="00D17BF4" w14:paraId="6AAFA0CA" w14:textId="77777777">
        <w:tc>
          <w:tcPr>
            <w:tcW w:w="0" w:type="auto"/>
          </w:tcPr>
          <w:p w14:paraId="21D238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C43A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B07FF01" w14:textId="77777777" w:rsidR="00000000" w:rsidRPr="00BE00C7" w:rsidRDefault="00000000" w:rsidP="00BE00C7">
            <w:pPr>
              <w:pStyle w:val="OutcomeDescription"/>
              <w:spacing w:before="120" w:after="120"/>
              <w:rPr>
                <w:rFonts w:cs="Arial"/>
                <w:lang w:eastAsia="en-NZ"/>
              </w:rPr>
            </w:pPr>
          </w:p>
        </w:tc>
        <w:tc>
          <w:tcPr>
            <w:tcW w:w="0" w:type="auto"/>
          </w:tcPr>
          <w:p w14:paraId="3CCEAE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183F63"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Althorp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1D449BA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clinical, such as infections, bruising, pressure injuries, skin tears, urinary tract infections, restraint, etc), quality data, health and safety, infection control/pandemic strategies, complaints received (if any), staffing, and education. Meeting minutes and quality data tables are available for staff review.</w:t>
            </w:r>
          </w:p>
          <w:p w14:paraId="6C13EB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Radius Althorp resident and family/whānau satisfaction survey reported an overall satisfaction rating of 83%. Net Promoter Scores were +50 for the dementia service, +43 for the hospital service, and +100 for palliative care. Respondents indicated high levels of satisfaction with communication (100%), healthcare services (94%), spiritual and cultural support (94%), and facilities (84%).</w:t>
            </w:r>
          </w:p>
          <w:p w14:paraId="5334B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plan, supported by relevant policies and procedures, identifies internal and external risks and outlines mitigation strategies consistent with the National Adverse Event Reporting Policy. Management demonstrated understanding of Severity Assessment Codes (SAC), including the reporting requirements for SAC 1 and SAC 2 events. A total of 19 SAC 2 notifications were completed, relating to falls with injury and unstageable pressure injuries. Management interviews evidenced awareness of essential notification requirements. Section 31 notifications </w:t>
            </w:r>
            <w:r w:rsidRPr="00BE00C7">
              <w:rPr>
                <w:rFonts w:cs="Arial"/>
                <w:lang w:eastAsia="en-NZ"/>
              </w:rPr>
              <w:lastRenderedPageBreak/>
              <w:t>were submitted for relevant events including notification of two outbreaks to the appropriate authorities.</w:t>
            </w:r>
          </w:p>
          <w:p w14:paraId="282C01A0"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is completed, and an up-to-date hazard register was sighted. Health and safety policies are overseen by the health and safety committee. Manual handling education is provided regularly to staff. Staff interviewed reported they are kept informed of health and safety matters.</w:t>
            </w:r>
          </w:p>
          <w:p w14:paraId="3B4730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reports are completed for each incident or accident, with immediate actions recorded and any required follow-up documented. Incident and accident data is collated monthly and analysed for trends, with results discussed at management and staff meetings. Ten resident-related incident and accident forms were reviewed, and each demonstrated that a clinical assessment and appropriate follow-up were completed by registered nurses. </w:t>
            </w:r>
          </w:p>
          <w:p w14:paraId="35146691" w14:textId="77777777" w:rsidR="00000000" w:rsidRPr="00BE00C7" w:rsidRDefault="00000000" w:rsidP="00BE00C7">
            <w:pPr>
              <w:pStyle w:val="OutcomeDescription"/>
              <w:spacing w:before="120" w:after="120"/>
              <w:rPr>
                <w:rFonts w:cs="Arial"/>
                <w:lang w:eastAsia="en-NZ"/>
              </w:rPr>
            </w:pPr>
          </w:p>
        </w:tc>
      </w:tr>
      <w:tr w:rsidR="00D17BF4" w14:paraId="7128352F" w14:textId="77777777">
        <w:tc>
          <w:tcPr>
            <w:tcW w:w="0" w:type="auto"/>
          </w:tcPr>
          <w:p w14:paraId="6EB856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0DF1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8353A9" w14:textId="77777777" w:rsidR="00000000" w:rsidRPr="00BE00C7" w:rsidRDefault="00000000" w:rsidP="00BE00C7">
            <w:pPr>
              <w:pStyle w:val="OutcomeDescription"/>
              <w:spacing w:before="120" w:after="120"/>
              <w:rPr>
                <w:rFonts w:cs="Arial"/>
                <w:lang w:eastAsia="en-NZ"/>
              </w:rPr>
            </w:pPr>
          </w:p>
        </w:tc>
        <w:tc>
          <w:tcPr>
            <w:tcW w:w="0" w:type="auto"/>
          </w:tcPr>
          <w:p w14:paraId="3E2D7E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632A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w:t>
            </w:r>
          </w:p>
          <w:p w14:paraId="615A43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from the past four weeks showed that all shifts were covered by experienced registered nurses and care staff, with support from the management team. The service employs 21 full-time registered nurses, including the CNMs, clinical team leaders. All shifts are covered by the registered nurses. </w:t>
            </w:r>
          </w:p>
          <w:p w14:paraId="5EE537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 OM and CNMs reported that most of the training is completed online or face-to-face, every month. Evidence of regular education provided to staff was sighted in attendance records. Training topics included (but not limited to): Covid-19 (donning and doffing of personal protective equipment and standard infection control precautions); promoting equality; falls management and balancing risk; chemical training; health and safety; enabling good lives; introduction to Te Tiriti o Waitangi; death and dying; E-case training; resuscitation; pressure </w:t>
            </w:r>
            <w:r w:rsidRPr="00BE00C7">
              <w:rPr>
                <w:rFonts w:cs="Arial"/>
                <w:lang w:eastAsia="en-NZ"/>
              </w:rPr>
              <w:lastRenderedPageBreak/>
              <w:t>injuries; challenging behaviour; restraint minimisation; emergency procedures; suctioning; sexuality and intimacy; cultural safety; first aid; fire evacuation; and restraint management.</w:t>
            </w:r>
          </w:p>
          <w:p w14:paraId="1A959A0D"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85 care staff employed. Sixty-four have achieved NZQA qualification level four, 12 with level three, and nine with level one. The management team reported that the model of care ensured that all residents are treated equitably.</w:t>
            </w:r>
          </w:p>
          <w:p w14:paraId="7843B305"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26 care staff who work in the dementia and psychogeriatric units have completed dementia training and relevant training as per the contract including training around challenging behaviour, ageing process, cognitive and sensory stimulation, mental illness, and principles of enabling good lives.</w:t>
            </w:r>
          </w:p>
          <w:p w14:paraId="5837BFE6"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registered nurses are accredited and maintain competencies to conduct interRAI assessments. These staff records sampled demonstrated completion of the required training and competency assessments.</w:t>
            </w:r>
          </w:p>
          <w:p w14:paraId="6DC9C8C6" w14:textId="77777777" w:rsidR="00000000" w:rsidRPr="00BE00C7" w:rsidRDefault="00000000" w:rsidP="00BE00C7">
            <w:pPr>
              <w:pStyle w:val="OutcomeDescription"/>
              <w:spacing w:before="120" w:after="120"/>
              <w:rPr>
                <w:rFonts w:cs="Arial"/>
                <w:lang w:eastAsia="en-NZ"/>
              </w:rPr>
            </w:pPr>
          </w:p>
        </w:tc>
      </w:tr>
      <w:tr w:rsidR="00D17BF4" w14:paraId="68A17A4D" w14:textId="77777777">
        <w:tc>
          <w:tcPr>
            <w:tcW w:w="0" w:type="auto"/>
          </w:tcPr>
          <w:p w14:paraId="2E8D43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C66A0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829C02D" w14:textId="77777777" w:rsidR="00000000" w:rsidRPr="00BE00C7" w:rsidRDefault="00000000" w:rsidP="00BE00C7">
            <w:pPr>
              <w:pStyle w:val="OutcomeDescription"/>
              <w:spacing w:before="120" w:after="120"/>
              <w:rPr>
                <w:rFonts w:cs="Arial"/>
                <w:lang w:eastAsia="en-NZ"/>
              </w:rPr>
            </w:pPr>
          </w:p>
        </w:tc>
        <w:tc>
          <w:tcPr>
            <w:tcW w:w="0" w:type="auto"/>
          </w:tcPr>
          <w:p w14:paraId="44BE43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309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2E4910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registered nurses and associated health contractors. </w:t>
            </w:r>
          </w:p>
          <w:p w14:paraId="4413FC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staff records reviewed confirmed the organisation’s policies are being consistently implemented. All staff records reviewed evidenced completed induction and orientation. A total of seven staff files (clinical nurse manager, two registered nurses, one diversional therapist, two healthcare assistants, and one housekeeper) were reviewed. Staff files included reference checks; police checks; appraisals; competencies; </w:t>
            </w:r>
            <w:r w:rsidRPr="00BE00C7">
              <w:rPr>
                <w:rFonts w:cs="Arial"/>
                <w:lang w:eastAsia="en-NZ"/>
              </w:rPr>
              <w:lastRenderedPageBreak/>
              <w:t>individual training plans; professional qualifications; orientation; employment agreements; and position descriptions.</w:t>
            </w:r>
          </w:p>
          <w:p w14:paraId="4DCD6C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5CB6B743" w14:textId="77777777" w:rsidR="00000000" w:rsidRPr="00BE00C7" w:rsidRDefault="00000000" w:rsidP="00BE00C7">
            <w:pPr>
              <w:pStyle w:val="OutcomeDescription"/>
              <w:spacing w:before="120" w:after="120"/>
              <w:rPr>
                <w:rFonts w:cs="Arial"/>
                <w:lang w:eastAsia="en-NZ"/>
              </w:rPr>
            </w:pPr>
          </w:p>
        </w:tc>
      </w:tr>
      <w:tr w:rsidR="00D17BF4" w14:paraId="24B44353" w14:textId="77777777">
        <w:tc>
          <w:tcPr>
            <w:tcW w:w="0" w:type="auto"/>
          </w:tcPr>
          <w:p w14:paraId="15DDCA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8B0FA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8370E7" w14:textId="77777777" w:rsidR="00000000" w:rsidRPr="00BE00C7" w:rsidRDefault="00000000" w:rsidP="00BE00C7">
            <w:pPr>
              <w:pStyle w:val="OutcomeDescription"/>
              <w:spacing w:before="120" w:after="120"/>
              <w:rPr>
                <w:rFonts w:cs="Arial"/>
                <w:lang w:eastAsia="en-NZ"/>
              </w:rPr>
            </w:pPr>
          </w:p>
        </w:tc>
        <w:tc>
          <w:tcPr>
            <w:tcW w:w="0" w:type="auto"/>
          </w:tcPr>
          <w:p w14:paraId="258F10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8B3676"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residents’ files were reviewed: two residents receiving specialised hospital dementia care (psychogeriatric), three hospital level (including one on respite care), one rest home level, and one receiving dementia level of care.</w:t>
            </w:r>
          </w:p>
          <w:p w14:paraId="03B53F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(RNs) and the clinical nurse manager (CNM) are responsible for completing admission assessments, developing, and evaluating care plans. The initial nursing assessments and initial care plans were developed within 24 hours of admission in consultation with residents, their enduring power of attorney (EPOA), and family/whānau as appropriate, with the resident’s consent. Assessment tools used considered residents lived experiences, cultural needs, values, and beliefs. Organisational nursing assessments tools are used to assess ACC and respite care residents and used to inform planning. The initial interRAI assessments (for all other ARRC funded residents) and long-term care plans were completed within three weeks of admission. The cultural safety assessment process acknowledges and validates Māori healing methodologies such as karakia, rongoā, and spiritual assistance. All RNs have completed cultural safety training. Residents confirmed they were able to practice their culture as desired. The service applies the Te Whare Tapa Whā model of care, supporting kaupapa Māori perspectives to guide the assessment process and identify pae ora (healthy futures) outcomes for residents who identify as Māori.</w:t>
            </w:r>
          </w:p>
          <w:p w14:paraId="5B4F54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clinical assessments, referral information, observations, and NASC assessments formed the basis for care planning. Care plans demonstrated a strong focus on partnership and collaboration with residents, whānau, and extended family/whānau as applicable. The staff interviewed were familiar with these processes and were able to describe how they support residents and family/whānau. Residents, EPOAs, and </w:t>
            </w:r>
            <w:r w:rsidRPr="00BE00C7">
              <w:rPr>
                <w:rFonts w:cs="Arial"/>
                <w:lang w:eastAsia="en-NZ"/>
              </w:rPr>
              <w:lastRenderedPageBreak/>
              <w:t>nominated family/whānau representatives confirmed their involvement in assessment and care planning. Long-term care plans reflected residents’ strengths, goals, and aspirations, and identified early warning signs and risks that may affect well-being.</w:t>
            </w:r>
          </w:p>
          <w:p w14:paraId="0D75F1C8"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specific medical conditions was well documented, with evidence of systematic monitoring and regular evaluation of care effectiveness. Behaviour management plans were in place for relevant residents. Wound care was managed effectively, with regular evaluation and documentation. Adequate wound care supplies were available.</w:t>
            </w:r>
          </w:p>
          <w:p w14:paraId="00C931F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integration with medical and allied health professionals was evident in the residents’ records. Changes in residents’ conditions were promptly escalated to the general practitioner (GP), and referrals were made to specialist services as required. Evidence of referrals included those to mental health services for older adults, urology, diabetes specialists, wound care nurse specialists, ophthalmology, hospice, and radiology. The contracted GP service visits the facility three times per week for routine reviews and urgent consultations. An after-hours on-call service is available as needed. GP assessments are completed within two to five working days of admission, with three-monthly routine reviews or more frequently if clinically indicated. Multidisciplinary team (MDT) meetings are completed within three to six weeks post-admission and subsequently every six months. Additional contracted services include podiatry (six-weekly) and hairdressing (weekly).</w:t>
            </w:r>
          </w:p>
          <w:p w14:paraId="418DAB7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each shift by healthcare assistants and recorded in the progress notes. Acute changes in condition are promptly reported to the RN or CNM. Long-term care plans are reviewed at least six-monthly, following each interRAI reassessment. Short-term care plans are developed for acute issues, reviewed as clinically indicated, and signed off when resolved. Evaluations reflect progress toward the achievement of goals set. Where expected outcomes are not achieved, care plans are updated accordingly. When residents’ conditions changed significantly, referrals are made to the NASC team for reassessment of the level of care.</w:t>
            </w:r>
          </w:p>
          <w:p w14:paraId="72F6CD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observations, and interviews verified that the care provided aligns with assessed needs, goals, and aspirations. A range of equipment and resources was available and appropriate for the levels of care provided. Residents and family/whānau confirmed their active </w:t>
            </w:r>
            <w:r w:rsidRPr="00BE00C7">
              <w:rPr>
                <w:rFonts w:cs="Arial"/>
                <w:lang w:eastAsia="en-NZ"/>
              </w:rPr>
              <w:lastRenderedPageBreak/>
              <w:t>involvement in care evaluation and planning and stated that care provided met their needs and expectations.</w:t>
            </w:r>
          </w:p>
          <w:p w14:paraId="1451E469" w14:textId="77777777" w:rsidR="00000000" w:rsidRPr="00BE00C7" w:rsidRDefault="00000000" w:rsidP="005F6416">
            <w:pPr>
              <w:pStyle w:val="OutcomeDescription"/>
              <w:spacing w:before="120" w:after="120"/>
              <w:rPr>
                <w:rFonts w:cs="Arial"/>
                <w:lang w:eastAsia="en-NZ"/>
              </w:rPr>
            </w:pPr>
          </w:p>
        </w:tc>
      </w:tr>
      <w:tr w:rsidR="00D17BF4" w14:paraId="3CA9E04E" w14:textId="77777777">
        <w:tc>
          <w:tcPr>
            <w:tcW w:w="0" w:type="auto"/>
          </w:tcPr>
          <w:p w14:paraId="32877C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2D160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56284E6" w14:textId="77777777" w:rsidR="00000000" w:rsidRPr="00BE00C7" w:rsidRDefault="00000000" w:rsidP="00BE00C7">
            <w:pPr>
              <w:pStyle w:val="OutcomeDescription"/>
              <w:spacing w:before="120" w:after="120"/>
              <w:rPr>
                <w:rFonts w:cs="Arial"/>
                <w:lang w:eastAsia="en-NZ"/>
              </w:rPr>
            </w:pPr>
          </w:p>
        </w:tc>
        <w:tc>
          <w:tcPr>
            <w:tcW w:w="0" w:type="auto"/>
          </w:tcPr>
          <w:p w14:paraId="2F911F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047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medication management policy aligned with the Medicines Care Guide for Residential Aged Care. An electronic medication management system is in use. Medication administration records are accurately maintained. Staff with current medication administration competencies manage medication, including receiving, storage, administration, monitoring, safe disposal, or returning to the pharmacy. Medications are supplied by a contracted pharmacy. An RN was observed safely administering medications in line with policy and best practice.</w:t>
            </w:r>
          </w:p>
          <w:p w14:paraId="21A6D228"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14 medicine charts (four hospital, three rest home, four dementia, and three psychogeriatric) were reviewed. Allergies and sensitivities were documented on each chart. Standing orders are not used.</w:t>
            </w:r>
          </w:p>
          <w:p w14:paraId="17D916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pre-packaged medication rolls. Medications and related documentation are stored securely with restricted access to the medication storage room. Medication reconciliation is completed by registered nurses (RNs) upon receipt of new pharmacy packs and when residents return from external appointments or hospital transfers. Records sampled verified this process. All medicines reviewed were within current use-by dates. Clinical pharmacist input is available on request. Unwanted or expired medications are returned to the pharmacy promptly. Medication room and fridge temperatures are monitored and recorded; the records seen were within the recommended range. Opened eye drops were dated appropriately.</w:t>
            </w:r>
          </w:p>
          <w:p w14:paraId="7E4DBC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were self-administering medications at the time of the audit. Appropriate procedures are in place to ensure safe management when required. The service has a structured process for medication error analysis, with corrective actions implemented as needed. Medication audits are conducted regularly, and results are used for quality improvement.</w:t>
            </w:r>
          </w:p>
          <w:p w14:paraId="0735F94E" w14:textId="77777777" w:rsidR="00000000" w:rsidRPr="00BE00C7" w:rsidRDefault="00000000" w:rsidP="00BE00C7">
            <w:pPr>
              <w:pStyle w:val="OutcomeDescription"/>
              <w:spacing w:before="120" w:after="120"/>
              <w:rPr>
                <w:rFonts w:cs="Arial"/>
                <w:lang w:eastAsia="en-NZ"/>
              </w:rPr>
            </w:pPr>
          </w:p>
        </w:tc>
      </w:tr>
      <w:tr w:rsidR="00D17BF4" w14:paraId="7B0FAFBE" w14:textId="77777777">
        <w:tc>
          <w:tcPr>
            <w:tcW w:w="0" w:type="auto"/>
          </w:tcPr>
          <w:p w14:paraId="5C0EE8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2F2B5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4204BF0" w14:textId="77777777" w:rsidR="00000000" w:rsidRPr="00BE00C7" w:rsidRDefault="00000000" w:rsidP="00BE00C7">
            <w:pPr>
              <w:pStyle w:val="OutcomeDescription"/>
              <w:spacing w:before="120" w:after="120"/>
              <w:rPr>
                <w:rFonts w:cs="Arial"/>
                <w:lang w:eastAsia="en-NZ"/>
              </w:rPr>
            </w:pPr>
          </w:p>
        </w:tc>
        <w:tc>
          <w:tcPr>
            <w:tcW w:w="0" w:type="auto"/>
          </w:tcPr>
          <w:p w14:paraId="160E21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249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is outsourced to an external company, with all meals prepared and cooked on site. Food is prepared in accordance with </w:t>
            </w:r>
            <w:r w:rsidRPr="00BE00C7">
              <w:rPr>
                <w:rFonts w:cs="Arial"/>
                <w:lang w:eastAsia="en-NZ"/>
              </w:rPr>
              <w:lastRenderedPageBreak/>
              <w:t>recognised nutritional guidelines for older people. The service operates under an approved food control plan that is valid until 30 March 2026.</w:t>
            </w:r>
          </w:p>
          <w:p w14:paraId="10C023E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needs are assessed on admission in consultation with the resident and their family/whānau. Assessments identify preferences, allergies, intolerances, cultural needs, special diets, and texture modifications. This information is accessible in the kitchen folder. A four-week seasonal menu is used and was reviewed by a registered dietitian on 19 September 2025.</w:t>
            </w:r>
          </w:p>
          <w:p w14:paraId="362D1CAC" w14:textId="77777777" w:rsidR="00000000" w:rsidRPr="00BE00C7" w:rsidRDefault="00000000" w:rsidP="00BE00C7">
            <w:pPr>
              <w:pStyle w:val="OutcomeDescription"/>
              <w:spacing w:before="120" w:after="120"/>
              <w:rPr>
                <w:rFonts w:cs="Arial"/>
                <w:lang w:eastAsia="en-NZ"/>
              </w:rPr>
            </w:pPr>
            <w:r w:rsidRPr="00BE00C7">
              <w:rPr>
                <w:rFonts w:cs="Arial"/>
                <w:lang w:eastAsia="en-NZ"/>
              </w:rPr>
              <w:t>Kitchen staff demonstrated knowledge of residents’ dietary requirements. Snacks and fluids are always available for residents including for residents in the dementia and psychogeriatric units.</w:t>
            </w:r>
          </w:p>
          <w:p w14:paraId="7BB1B338"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expressed satisfaction with the food service.</w:t>
            </w:r>
          </w:p>
          <w:p w14:paraId="6B356925" w14:textId="77777777" w:rsidR="00000000" w:rsidRPr="00BE00C7" w:rsidRDefault="00000000" w:rsidP="00BE00C7">
            <w:pPr>
              <w:pStyle w:val="OutcomeDescription"/>
              <w:spacing w:before="120" w:after="120"/>
              <w:rPr>
                <w:rFonts w:cs="Arial"/>
                <w:lang w:eastAsia="en-NZ"/>
              </w:rPr>
            </w:pPr>
          </w:p>
        </w:tc>
      </w:tr>
      <w:tr w:rsidR="00D17BF4" w14:paraId="08E5F427" w14:textId="77777777">
        <w:tc>
          <w:tcPr>
            <w:tcW w:w="0" w:type="auto"/>
          </w:tcPr>
          <w:p w14:paraId="23D5F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360F8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A311E27" w14:textId="77777777" w:rsidR="00000000" w:rsidRPr="00BE00C7" w:rsidRDefault="00000000" w:rsidP="00BE00C7">
            <w:pPr>
              <w:pStyle w:val="OutcomeDescription"/>
              <w:spacing w:before="120" w:after="120"/>
              <w:rPr>
                <w:rFonts w:cs="Arial"/>
                <w:lang w:eastAsia="en-NZ"/>
              </w:rPr>
            </w:pPr>
          </w:p>
        </w:tc>
        <w:tc>
          <w:tcPr>
            <w:tcW w:w="0" w:type="auto"/>
          </w:tcPr>
          <w:p w14:paraId="695E8A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E3AE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transfer and discharge policy that clearly guides staff on required processes. Transfers and discharges are managed efficiently and in consultation with the resident, their family/whānau, and the GP. Escorts are provided as required. </w:t>
            </w:r>
          </w:p>
          <w:p w14:paraId="3BA870C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documentation accompanies all transfers. Relevant clinical and medical information was sighted in sampled records, supporting continuity of care. The reason for transfer is consistently recorded in the transfer documentation and corresponding progress notes. Transfer and discharge planning reflected the resident’s current needs and included relevant risk mitigation strategies.</w:t>
            </w:r>
          </w:p>
          <w:p w14:paraId="47FB7E0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were kept informed of the referral process and the reasons for transfer.</w:t>
            </w:r>
          </w:p>
          <w:p w14:paraId="161D9B92" w14:textId="77777777" w:rsidR="00000000" w:rsidRPr="00BE00C7" w:rsidRDefault="00000000" w:rsidP="00BE00C7">
            <w:pPr>
              <w:pStyle w:val="OutcomeDescription"/>
              <w:spacing w:before="120" w:after="120"/>
              <w:rPr>
                <w:rFonts w:cs="Arial"/>
                <w:lang w:eastAsia="en-NZ"/>
              </w:rPr>
            </w:pPr>
          </w:p>
        </w:tc>
      </w:tr>
      <w:tr w:rsidR="00D17BF4" w14:paraId="2F3720BB" w14:textId="77777777">
        <w:tc>
          <w:tcPr>
            <w:tcW w:w="0" w:type="auto"/>
          </w:tcPr>
          <w:p w14:paraId="78D433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FD87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setting are designed to be </w:t>
            </w:r>
            <w:r w:rsidRPr="00BE00C7">
              <w:rPr>
                <w:rFonts w:cs="Arial"/>
                <w:lang w:eastAsia="en-NZ"/>
              </w:rPr>
              <w:lastRenderedPageBreak/>
              <w:t>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635A45" w14:textId="77777777" w:rsidR="00000000" w:rsidRPr="00BE00C7" w:rsidRDefault="00000000" w:rsidP="00BE00C7">
            <w:pPr>
              <w:pStyle w:val="OutcomeDescription"/>
              <w:spacing w:before="120" w:after="120"/>
              <w:rPr>
                <w:rFonts w:cs="Arial"/>
                <w:lang w:eastAsia="en-NZ"/>
              </w:rPr>
            </w:pPr>
          </w:p>
        </w:tc>
        <w:tc>
          <w:tcPr>
            <w:tcW w:w="0" w:type="auto"/>
          </w:tcPr>
          <w:p w14:paraId="348ACD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F3D5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purpose. There is a current building warrant of fitness expiring 22 November 2026. Calibration of equipment, and electrical checks were completed, and an inventory was maintained. Hot water temperatures are monitored monthly, </w:t>
            </w:r>
            <w:r w:rsidRPr="00BE00C7">
              <w:rPr>
                <w:rFonts w:cs="Arial"/>
                <w:lang w:eastAsia="en-NZ"/>
              </w:rPr>
              <w:lastRenderedPageBreak/>
              <w:t>with the maintenance team addressing any issues as they arise. There are also contracted tradespeople if required.</w:t>
            </w:r>
          </w:p>
          <w:p w14:paraId="6446DC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0D86AF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and psychogeriatric environments were observed to be safe and secure. Internal and external doors were appropriately monitored, and a secure outdoor area was available, providing residents with access to a safe space for fresh air and activities. The layout supported residents to move freely within the unit and outdoor areas, while maintaining their safety.</w:t>
            </w:r>
          </w:p>
          <w:p w14:paraId="03109BD6" w14:textId="77777777" w:rsidR="00000000" w:rsidRPr="00BE00C7" w:rsidRDefault="00000000" w:rsidP="00BE00C7">
            <w:pPr>
              <w:pStyle w:val="OutcomeDescription"/>
              <w:spacing w:before="120" w:after="120"/>
              <w:rPr>
                <w:rFonts w:cs="Arial"/>
                <w:lang w:eastAsia="en-NZ"/>
              </w:rPr>
            </w:pPr>
          </w:p>
        </w:tc>
      </w:tr>
      <w:tr w:rsidR="00D17BF4" w14:paraId="53AFF6F6" w14:textId="77777777">
        <w:tc>
          <w:tcPr>
            <w:tcW w:w="0" w:type="auto"/>
          </w:tcPr>
          <w:p w14:paraId="70EF84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FB7EF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E6F2AEE" w14:textId="77777777" w:rsidR="00000000" w:rsidRPr="00BE00C7" w:rsidRDefault="00000000" w:rsidP="00BE00C7">
            <w:pPr>
              <w:pStyle w:val="OutcomeDescription"/>
              <w:spacing w:before="120" w:after="120"/>
              <w:rPr>
                <w:rFonts w:cs="Arial"/>
                <w:lang w:eastAsia="en-NZ"/>
              </w:rPr>
            </w:pPr>
          </w:p>
        </w:tc>
        <w:tc>
          <w:tcPr>
            <w:tcW w:w="0" w:type="auto"/>
          </w:tcPr>
          <w:p w14:paraId="49CEB3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C30A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implemented IP programme is clearly documented and was developed with input from external infection prevention and control (IPC) services. The IP programme was approved by the governance body and is linked to the quality improvement programme. The IP programme was reviewed on 01 April 2025. The nominated infection control nurse (ICN) has completed relevant external infection prevention and control education through Health NZ and has appropriate skills to lead the team. Staff have received education on infection prevention and control through orientation and ongoing annual education. </w:t>
            </w:r>
          </w:p>
          <w:p w14:paraId="6A7171FE"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IPC training/education is provided to staff and residents as verified in staff education records, residents’ progress notes, infection reports seen and in interviews with staff and residents.</w:t>
            </w:r>
          </w:p>
          <w:p w14:paraId="1D2EFF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ICN follows a documented process for accessing appropriate multidisciplinary expertise and advice when required. They have access to residents’ clinical records and diagnostic results. </w:t>
            </w:r>
          </w:p>
          <w:p w14:paraId="2F185635" w14:textId="77777777" w:rsidR="00000000" w:rsidRPr="00BE00C7" w:rsidRDefault="00000000" w:rsidP="00BE00C7">
            <w:pPr>
              <w:pStyle w:val="OutcomeDescription"/>
              <w:spacing w:before="120" w:after="120"/>
              <w:rPr>
                <w:rFonts w:cs="Arial"/>
                <w:lang w:eastAsia="en-NZ"/>
              </w:rPr>
            </w:pPr>
          </w:p>
        </w:tc>
      </w:tr>
      <w:tr w:rsidR="00D17BF4" w14:paraId="203C4B52" w14:textId="77777777">
        <w:tc>
          <w:tcPr>
            <w:tcW w:w="0" w:type="auto"/>
          </w:tcPr>
          <w:p w14:paraId="20A20E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41A4F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05C5801" w14:textId="77777777" w:rsidR="00000000" w:rsidRPr="00BE00C7" w:rsidRDefault="00000000" w:rsidP="00BE00C7">
            <w:pPr>
              <w:pStyle w:val="OutcomeDescription"/>
              <w:spacing w:before="120" w:after="120"/>
              <w:rPr>
                <w:rFonts w:cs="Arial"/>
                <w:lang w:eastAsia="en-NZ"/>
              </w:rPr>
            </w:pPr>
          </w:p>
        </w:tc>
        <w:tc>
          <w:tcPr>
            <w:tcW w:w="0" w:type="auto"/>
          </w:tcPr>
          <w:p w14:paraId="71A8CB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A6C0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to the size and complexity of the service and is implemented in line with organisational policy. National surveillance programmes and guidance are applied when required. Surveillance methods, tools, documentation, and analysis are </w:t>
            </w:r>
            <w:r w:rsidRPr="00BE00C7">
              <w:rPr>
                <w:rFonts w:cs="Arial"/>
                <w:lang w:eastAsia="en-NZ"/>
              </w:rPr>
              <w:lastRenderedPageBreak/>
              <w:t>described and documented using standardised surveillance definitions. Infection data is collected, monitored, and reviewed monthly. All healthcare-associated infections (HAIs) are monitored by the infection control nurse (ICN). Infection registers are completed for all identified infections, and monthly infection data analysis is undertaken by the ICN to identify trends and implement corrective actions where required.</w:t>
            </w:r>
          </w:p>
          <w:p w14:paraId="5F41D49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surveillance data is reported to the clinical nurse manager and facility manager and communicated to staff through meetings. Surveillance data includes ethnicity information. Infection surveillance data is discussed in senior management meetings monthly. Surveillance reports are sent to the governance body and senior management team on a monthly basis.</w:t>
            </w:r>
          </w:p>
          <w:p w14:paraId="7B85C43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outbreaks reported since the previous audit have been managed effectively and in accordance with organisational policy.</w:t>
            </w:r>
          </w:p>
          <w:p w14:paraId="55C5CC52" w14:textId="77777777" w:rsidR="00000000" w:rsidRPr="00BE00C7" w:rsidRDefault="00000000" w:rsidP="00BE00C7">
            <w:pPr>
              <w:pStyle w:val="OutcomeDescription"/>
              <w:spacing w:before="120" w:after="120"/>
              <w:rPr>
                <w:rFonts w:cs="Arial"/>
                <w:lang w:eastAsia="en-NZ"/>
              </w:rPr>
            </w:pPr>
          </w:p>
        </w:tc>
      </w:tr>
      <w:tr w:rsidR="00D17BF4" w14:paraId="0033A925" w14:textId="77777777">
        <w:tc>
          <w:tcPr>
            <w:tcW w:w="0" w:type="auto"/>
          </w:tcPr>
          <w:p w14:paraId="442240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123E6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9442161" w14:textId="77777777" w:rsidR="00000000" w:rsidRPr="00BE00C7" w:rsidRDefault="00000000" w:rsidP="00BE00C7">
            <w:pPr>
              <w:pStyle w:val="OutcomeDescription"/>
              <w:spacing w:before="120" w:after="120"/>
              <w:rPr>
                <w:rFonts w:cs="Arial"/>
                <w:lang w:eastAsia="en-NZ"/>
              </w:rPr>
            </w:pPr>
          </w:p>
        </w:tc>
        <w:tc>
          <w:tcPr>
            <w:tcW w:w="0" w:type="auto"/>
          </w:tcPr>
          <w:p w14:paraId="15C145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9BDE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elimination and safe practice specify that the organisation is committed to providing a restraint-free environment. This is supported by the governing body and management staff. At the time of the audit, one resident was using bedrails for safety as a restraint.</w:t>
            </w:r>
          </w:p>
          <w:p w14:paraId="20B22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records showed that all clinical staff attended restraint education and completed a restraint competency during orientation/induction. Staff demonstrated awareness of de-escalation techniques and the management of challenging behaviours, which is essential in dementia and psychogeriatric settings. Training is planned and delivered annually with discussions and talks in the dementia and psychogeriatric units as required during the year. </w:t>
            </w:r>
          </w:p>
          <w:p w14:paraId="6D91749D" w14:textId="77777777" w:rsidR="00000000" w:rsidRPr="00BE00C7" w:rsidRDefault="00000000" w:rsidP="00BE00C7">
            <w:pPr>
              <w:pStyle w:val="OutcomeDescription"/>
              <w:spacing w:before="120" w:after="120"/>
              <w:rPr>
                <w:rFonts w:cs="Arial"/>
                <w:lang w:eastAsia="en-NZ"/>
              </w:rPr>
            </w:pPr>
          </w:p>
        </w:tc>
      </w:tr>
    </w:tbl>
    <w:p w14:paraId="58EC988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7A453B5" w14:textId="77777777" w:rsidR="00000000" w:rsidRDefault="00000000">
      <w:pPr>
        <w:pStyle w:val="Heading1"/>
        <w:rPr>
          <w:rFonts w:cs="Arial"/>
        </w:rPr>
      </w:pPr>
      <w:r>
        <w:rPr>
          <w:rFonts w:cs="Arial"/>
        </w:rPr>
        <w:lastRenderedPageBreak/>
        <w:t>Specific results for criterion where corrective actions are required</w:t>
      </w:r>
    </w:p>
    <w:p w14:paraId="462BEE6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E654F8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FA9397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17BF4" w14:paraId="71846990" w14:textId="77777777">
        <w:tc>
          <w:tcPr>
            <w:tcW w:w="0" w:type="auto"/>
          </w:tcPr>
          <w:p w14:paraId="0A0EB6B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D2A66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F46CF9A" w14:textId="77777777" w:rsidR="00000000" w:rsidRDefault="00000000">
      <w:pPr>
        <w:pStyle w:val="Heading1"/>
        <w:rPr>
          <w:rFonts w:cs="Arial"/>
        </w:rPr>
      </w:pPr>
      <w:r>
        <w:rPr>
          <w:rFonts w:cs="Arial"/>
        </w:rPr>
        <w:lastRenderedPageBreak/>
        <w:t>Specific results for criterion where a continuous improvement has been recorded</w:t>
      </w:r>
    </w:p>
    <w:p w14:paraId="6A972F7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504F75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A91C24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17BF4" w14:paraId="5CABD61E" w14:textId="77777777">
        <w:tc>
          <w:tcPr>
            <w:tcW w:w="0" w:type="auto"/>
          </w:tcPr>
          <w:p w14:paraId="74D64F4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4224D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F8B8A0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3D5B" w14:textId="77777777" w:rsidR="009A475A" w:rsidRDefault="009A475A">
      <w:r>
        <w:separator/>
      </w:r>
    </w:p>
  </w:endnote>
  <w:endnote w:type="continuationSeparator" w:id="0">
    <w:p w14:paraId="69DDDBE8" w14:textId="77777777" w:rsidR="009A475A" w:rsidRDefault="009A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8424" w14:textId="77777777" w:rsidR="00000000" w:rsidRDefault="00000000">
    <w:pPr>
      <w:pStyle w:val="Footer"/>
    </w:pPr>
  </w:p>
  <w:p w14:paraId="33194221" w14:textId="77777777" w:rsidR="00000000" w:rsidRDefault="00000000"/>
  <w:p w14:paraId="6B0AB8F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3F4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Althorp</w:t>
    </w:r>
    <w:bookmarkEnd w:id="59"/>
    <w:r>
      <w:rPr>
        <w:rFonts w:cs="Arial"/>
        <w:sz w:val="16"/>
        <w:szCs w:val="20"/>
      </w:rPr>
      <w:tab/>
      <w:t xml:space="preserve">Date of Audit: </w:t>
    </w:r>
    <w:bookmarkStart w:id="60" w:name="AuditStartDate1"/>
    <w:r>
      <w:rPr>
        <w:rFonts w:cs="Arial"/>
        <w:sz w:val="16"/>
        <w:szCs w:val="20"/>
      </w:rPr>
      <w:t>22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6C959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CB3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F36F" w14:textId="77777777" w:rsidR="009A475A" w:rsidRDefault="009A475A">
      <w:r>
        <w:separator/>
      </w:r>
    </w:p>
  </w:footnote>
  <w:footnote w:type="continuationSeparator" w:id="0">
    <w:p w14:paraId="5D6245B8" w14:textId="77777777" w:rsidR="009A475A" w:rsidRDefault="009A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E2AE" w14:textId="77777777" w:rsidR="00000000" w:rsidRDefault="00000000">
    <w:pPr>
      <w:pStyle w:val="Header"/>
    </w:pPr>
  </w:p>
  <w:p w14:paraId="54BE22F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F84C" w14:textId="77777777" w:rsidR="00000000" w:rsidRDefault="00000000">
    <w:pPr>
      <w:pStyle w:val="Header"/>
    </w:pPr>
  </w:p>
  <w:p w14:paraId="2D4D627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368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0BC8892">
      <w:start w:val="1"/>
      <w:numFmt w:val="decimal"/>
      <w:lvlText w:val="%1."/>
      <w:lvlJc w:val="left"/>
      <w:pPr>
        <w:ind w:left="360" w:hanging="360"/>
      </w:pPr>
    </w:lvl>
    <w:lvl w:ilvl="1" w:tplc="B4A80FB2" w:tentative="1">
      <w:start w:val="1"/>
      <w:numFmt w:val="lowerLetter"/>
      <w:lvlText w:val="%2."/>
      <w:lvlJc w:val="left"/>
      <w:pPr>
        <w:ind w:left="1080" w:hanging="360"/>
      </w:pPr>
    </w:lvl>
    <w:lvl w:ilvl="2" w:tplc="70246F9E" w:tentative="1">
      <w:start w:val="1"/>
      <w:numFmt w:val="lowerRoman"/>
      <w:lvlText w:val="%3."/>
      <w:lvlJc w:val="right"/>
      <w:pPr>
        <w:ind w:left="1800" w:hanging="180"/>
      </w:pPr>
    </w:lvl>
    <w:lvl w:ilvl="3" w:tplc="7FFC7638" w:tentative="1">
      <w:start w:val="1"/>
      <w:numFmt w:val="decimal"/>
      <w:lvlText w:val="%4."/>
      <w:lvlJc w:val="left"/>
      <w:pPr>
        <w:ind w:left="2520" w:hanging="360"/>
      </w:pPr>
    </w:lvl>
    <w:lvl w:ilvl="4" w:tplc="B2D292F2" w:tentative="1">
      <w:start w:val="1"/>
      <w:numFmt w:val="lowerLetter"/>
      <w:lvlText w:val="%5."/>
      <w:lvlJc w:val="left"/>
      <w:pPr>
        <w:ind w:left="3240" w:hanging="360"/>
      </w:pPr>
    </w:lvl>
    <w:lvl w:ilvl="5" w:tplc="E67A9780" w:tentative="1">
      <w:start w:val="1"/>
      <w:numFmt w:val="lowerRoman"/>
      <w:lvlText w:val="%6."/>
      <w:lvlJc w:val="right"/>
      <w:pPr>
        <w:ind w:left="3960" w:hanging="180"/>
      </w:pPr>
    </w:lvl>
    <w:lvl w:ilvl="6" w:tplc="97120E94" w:tentative="1">
      <w:start w:val="1"/>
      <w:numFmt w:val="decimal"/>
      <w:lvlText w:val="%7."/>
      <w:lvlJc w:val="left"/>
      <w:pPr>
        <w:ind w:left="4680" w:hanging="360"/>
      </w:pPr>
    </w:lvl>
    <w:lvl w:ilvl="7" w:tplc="AE4C344E" w:tentative="1">
      <w:start w:val="1"/>
      <w:numFmt w:val="lowerLetter"/>
      <w:lvlText w:val="%8."/>
      <w:lvlJc w:val="left"/>
      <w:pPr>
        <w:ind w:left="5400" w:hanging="360"/>
      </w:pPr>
    </w:lvl>
    <w:lvl w:ilvl="8" w:tplc="12F6BF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9DC76E8">
      <w:start w:val="1"/>
      <w:numFmt w:val="bullet"/>
      <w:lvlText w:val=""/>
      <w:lvlJc w:val="left"/>
      <w:pPr>
        <w:ind w:left="720" w:hanging="360"/>
      </w:pPr>
      <w:rPr>
        <w:rFonts w:ascii="Symbol" w:hAnsi="Symbol" w:hint="default"/>
      </w:rPr>
    </w:lvl>
    <w:lvl w:ilvl="1" w:tplc="042E9340" w:tentative="1">
      <w:start w:val="1"/>
      <w:numFmt w:val="bullet"/>
      <w:lvlText w:val="o"/>
      <w:lvlJc w:val="left"/>
      <w:pPr>
        <w:ind w:left="1440" w:hanging="360"/>
      </w:pPr>
      <w:rPr>
        <w:rFonts w:ascii="Courier New" w:hAnsi="Courier New" w:cs="Courier New" w:hint="default"/>
      </w:rPr>
    </w:lvl>
    <w:lvl w:ilvl="2" w:tplc="A4386686" w:tentative="1">
      <w:start w:val="1"/>
      <w:numFmt w:val="bullet"/>
      <w:lvlText w:val=""/>
      <w:lvlJc w:val="left"/>
      <w:pPr>
        <w:ind w:left="2160" w:hanging="360"/>
      </w:pPr>
      <w:rPr>
        <w:rFonts w:ascii="Wingdings" w:hAnsi="Wingdings" w:hint="default"/>
      </w:rPr>
    </w:lvl>
    <w:lvl w:ilvl="3" w:tplc="8226641A" w:tentative="1">
      <w:start w:val="1"/>
      <w:numFmt w:val="bullet"/>
      <w:lvlText w:val=""/>
      <w:lvlJc w:val="left"/>
      <w:pPr>
        <w:ind w:left="2880" w:hanging="360"/>
      </w:pPr>
      <w:rPr>
        <w:rFonts w:ascii="Symbol" w:hAnsi="Symbol" w:hint="default"/>
      </w:rPr>
    </w:lvl>
    <w:lvl w:ilvl="4" w:tplc="9440088E" w:tentative="1">
      <w:start w:val="1"/>
      <w:numFmt w:val="bullet"/>
      <w:lvlText w:val="o"/>
      <w:lvlJc w:val="left"/>
      <w:pPr>
        <w:ind w:left="3600" w:hanging="360"/>
      </w:pPr>
      <w:rPr>
        <w:rFonts w:ascii="Courier New" w:hAnsi="Courier New" w:cs="Courier New" w:hint="default"/>
      </w:rPr>
    </w:lvl>
    <w:lvl w:ilvl="5" w:tplc="889C6F36" w:tentative="1">
      <w:start w:val="1"/>
      <w:numFmt w:val="bullet"/>
      <w:lvlText w:val=""/>
      <w:lvlJc w:val="left"/>
      <w:pPr>
        <w:ind w:left="4320" w:hanging="360"/>
      </w:pPr>
      <w:rPr>
        <w:rFonts w:ascii="Wingdings" w:hAnsi="Wingdings" w:hint="default"/>
      </w:rPr>
    </w:lvl>
    <w:lvl w:ilvl="6" w:tplc="E490F978" w:tentative="1">
      <w:start w:val="1"/>
      <w:numFmt w:val="bullet"/>
      <w:lvlText w:val=""/>
      <w:lvlJc w:val="left"/>
      <w:pPr>
        <w:ind w:left="5040" w:hanging="360"/>
      </w:pPr>
      <w:rPr>
        <w:rFonts w:ascii="Symbol" w:hAnsi="Symbol" w:hint="default"/>
      </w:rPr>
    </w:lvl>
    <w:lvl w:ilvl="7" w:tplc="2E92F01A" w:tentative="1">
      <w:start w:val="1"/>
      <w:numFmt w:val="bullet"/>
      <w:lvlText w:val="o"/>
      <w:lvlJc w:val="left"/>
      <w:pPr>
        <w:ind w:left="5760" w:hanging="360"/>
      </w:pPr>
      <w:rPr>
        <w:rFonts w:ascii="Courier New" w:hAnsi="Courier New" w:cs="Courier New" w:hint="default"/>
      </w:rPr>
    </w:lvl>
    <w:lvl w:ilvl="8" w:tplc="D6DC6A98" w:tentative="1">
      <w:start w:val="1"/>
      <w:numFmt w:val="bullet"/>
      <w:lvlText w:val=""/>
      <w:lvlJc w:val="left"/>
      <w:pPr>
        <w:ind w:left="6480" w:hanging="360"/>
      </w:pPr>
      <w:rPr>
        <w:rFonts w:ascii="Wingdings" w:hAnsi="Wingdings" w:hint="default"/>
      </w:rPr>
    </w:lvl>
  </w:abstractNum>
  <w:num w:numId="1" w16cid:durableId="775514844">
    <w:abstractNumId w:val="1"/>
  </w:num>
  <w:num w:numId="2" w16cid:durableId="94989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4"/>
    <w:rsid w:val="005F6416"/>
    <w:rsid w:val="00723573"/>
    <w:rsid w:val="00750D8A"/>
    <w:rsid w:val="009A475A"/>
    <w:rsid w:val="00D17B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810F"/>
  <w15:docId w15:val="{46C92A3F-AFAB-4C96-AFD2-8684DF41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7567</Words>
  <Characters>45252</Characters>
  <Application>Microsoft Office Word</Application>
  <DocSecurity>0</DocSecurity>
  <Lines>942</Lines>
  <Paragraphs>303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2026-03-26T02:01:00Z</dcterms:created>
  <dcterms:modified xsi:type="dcterms:W3CDTF">2026-03-26T02:03:00Z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