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F48B" w14:textId="77777777" w:rsidR="00A47EF3" w:rsidRDefault="00A47EF3">
      <w:pPr>
        <w:pStyle w:val="Heading1"/>
        <w:rPr>
          <w:rFonts w:cs="Arial"/>
        </w:rPr>
      </w:pPr>
      <w:bookmarkStart w:id="0" w:name="PRMS_RIName"/>
      <w:r>
        <w:rPr>
          <w:rFonts w:cs="Arial"/>
        </w:rPr>
        <w:t>Kaylex Care Limited - Eastcare Residential Home</w:t>
      </w:r>
      <w:bookmarkEnd w:id="0"/>
    </w:p>
    <w:p w14:paraId="582B6CDC" w14:textId="77777777" w:rsidR="00A47EF3" w:rsidRDefault="00A47EF3">
      <w:pPr>
        <w:pStyle w:val="Heading2"/>
        <w:spacing w:after="0"/>
        <w:rPr>
          <w:rFonts w:cs="Arial"/>
        </w:rPr>
      </w:pPr>
      <w:r>
        <w:rPr>
          <w:rFonts w:cs="Arial"/>
        </w:rPr>
        <w:t>Introduction</w:t>
      </w:r>
    </w:p>
    <w:p w14:paraId="14FC1123" w14:textId="77777777" w:rsidR="00A47EF3" w:rsidRDefault="00A47EF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52A1DB2" w14:textId="77777777" w:rsidR="00A47EF3" w:rsidRDefault="00A47EF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5BC1EF0F" w14:textId="77777777" w:rsidR="00A47EF3" w:rsidRDefault="00A47EF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9FCF189" w14:textId="77777777" w:rsidR="00A47EF3" w:rsidRDefault="00A47EF3"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37CADB81" w14:textId="77777777" w:rsidR="00A47EF3" w:rsidRDefault="00A47EF3">
      <w:pPr>
        <w:spacing w:before="240" w:after="240"/>
        <w:rPr>
          <w:rFonts w:cs="Arial"/>
          <w:lang w:eastAsia="en-NZ"/>
        </w:rPr>
      </w:pPr>
      <w:r>
        <w:rPr>
          <w:rFonts w:cs="Arial"/>
          <w:lang w:eastAsia="en-NZ"/>
        </w:rPr>
        <w:t>The specifics of this audit included:</w:t>
      </w:r>
    </w:p>
    <w:p w14:paraId="7C53A952" w14:textId="77777777" w:rsidR="00A47EF3" w:rsidRPr="009D18F5" w:rsidRDefault="00A47EF3" w:rsidP="009D18F5">
      <w:pPr>
        <w:pBdr>
          <w:top w:val="single" w:sz="4" w:space="1" w:color="auto"/>
          <w:left w:val="single" w:sz="4" w:space="4" w:color="auto"/>
          <w:bottom w:val="single" w:sz="4" w:space="1" w:color="auto"/>
          <w:right w:val="single" w:sz="4" w:space="4" w:color="auto"/>
        </w:pBdr>
        <w:rPr>
          <w:rFonts w:cs="Arial"/>
        </w:rPr>
      </w:pPr>
    </w:p>
    <w:p w14:paraId="3093973E" w14:textId="77777777" w:rsidR="00A47EF3" w:rsidRPr="009418D4" w:rsidRDefault="00A47EF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Kaylex Care Limited</w:t>
      </w:r>
      <w:bookmarkEnd w:id="4"/>
    </w:p>
    <w:p w14:paraId="291DE118" w14:textId="77777777" w:rsidR="00A47EF3" w:rsidRPr="009418D4" w:rsidRDefault="00A47E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Eastcare Residential Home</w:t>
      </w:r>
      <w:bookmarkEnd w:id="5"/>
    </w:p>
    <w:p w14:paraId="7A5118B4" w14:textId="77777777" w:rsidR="00A47EF3" w:rsidRPr="009418D4" w:rsidRDefault="00A47E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42D9A12" w14:textId="77777777" w:rsidR="00A47EF3" w:rsidRPr="009418D4" w:rsidRDefault="00A47E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2026</w:t>
      </w:r>
      <w:bookmarkEnd w:id="7"/>
      <w:r w:rsidRPr="009418D4">
        <w:rPr>
          <w:rFonts w:cs="Arial"/>
        </w:rPr>
        <w:tab/>
        <w:t xml:space="preserve">End date: </w:t>
      </w:r>
      <w:bookmarkStart w:id="8" w:name="AuditEndDate"/>
      <w:r>
        <w:rPr>
          <w:rFonts w:cs="Arial"/>
        </w:rPr>
        <w:t>19 February 2026</w:t>
      </w:r>
      <w:bookmarkEnd w:id="8"/>
    </w:p>
    <w:p w14:paraId="347C4E93" w14:textId="77777777" w:rsidR="00A47EF3" w:rsidRPr="009418D4" w:rsidRDefault="00A47EF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FDF336C" w14:textId="77777777" w:rsidR="00350B3B" w:rsidRPr="009418D4" w:rsidRDefault="00A47EF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50C47DCA" w14:textId="77777777" w:rsidR="00A47EF3" w:rsidRDefault="00A47EF3" w:rsidP="009D18F5">
      <w:pPr>
        <w:pBdr>
          <w:top w:val="single" w:sz="4" w:space="1" w:color="auto"/>
          <w:left w:val="single" w:sz="4" w:space="4" w:color="auto"/>
          <w:bottom w:val="single" w:sz="4" w:space="1" w:color="auto"/>
          <w:right w:val="single" w:sz="4" w:space="4" w:color="auto"/>
        </w:pBdr>
        <w:rPr>
          <w:rFonts w:cs="Arial"/>
          <w:lang w:eastAsia="en-NZ"/>
        </w:rPr>
      </w:pPr>
    </w:p>
    <w:p w14:paraId="1D1A9A22" w14:textId="77777777" w:rsidR="00A47EF3" w:rsidRDefault="00A47EF3">
      <w:pPr>
        <w:pStyle w:val="Heading1"/>
        <w:rPr>
          <w:rFonts w:cs="Arial"/>
        </w:rPr>
      </w:pPr>
      <w:r>
        <w:rPr>
          <w:rFonts w:cs="Arial"/>
        </w:rPr>
        <w:lastRenderedPageBreak/>
        <w:t>Executive summary of the audit</w:t>
      </w:r>
    </w:p>
    <w:p w14:paraId="2097C579" w14:textId="77777777" w:rsidR="00A47EF3" w:rsidRDefault="00A47EF3">
      <w:pPr>
        <w:pStyle w:val="Heading2"/>
        <w:rPr>
          <w:rFonts w:cs="Arial"/>
        </w:rPr>
      </w:pPr>
      <w:r>
        <w:rPr>
          <w:rFonts w:cs="Arial"/>
        </w:rPr>
        <w:t>Introduction</w:t>
      </w:r>
    </w:p>
    <w:p w14:paraId="797F727E" w14:textId="77777777" w:rsidR="00A47EF3" w:rsidRDefault="00A47EF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584D2D" w14:textId="77777777" w:rsidR="00A47EF3" w:rsidRDefault="00A47EF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958580" w14:textId="77777777" w:rsidR="00A47EF3" w:rsidRDefault="00A47EF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2F4448" w14:textId="77777777" w:rsidR="00A47EF3" w:rsidRDefault="00A47EF3"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1A5B749F" w14:textId="77777777" w:rsidR="00A47EF3" w:rsidRDefault="00A47EF3"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4195B1FB" w14:textId="77777777" w:rsidR="00A47EF3" w:rsidRDefault="00A47EF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D9C932" w14:textId="77777777" w:rsidR="00A47EF3" w:rsidRDefault="00A47EF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C0842EE" w14:textId="77777777" w:rsidR="00A47EF3" w:rsidRDefault="00A47EF3">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33FC6E0B" w14:textId="77777777" w:rsidR="00A47EF3" w:rsidRDefault="00A47EF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0B3B" w14:paraId="3211D77D" w14:textId="77777777">
        <w:trPr>
          <w:cantSplit/>
          <w:tblHeader/>
        </w:trPr>
        <w:tc>
          <w:tcPr>
            <w:tcW w:w="1260" w:type="dxa"/>
            <w:tcBorders>
              <w:bottom w:val="single" w:sz="4" w:space="0" w:color="000000"/>
            </w:tcBorders>
            <w:vAlign w:val="center"/>
          </w:tcPr>
          <w:p w14:paraId="76165DB5" w14:textId="77777777" w:rsidR="00A47EF3" w:rsidRDefault="00A47EF3">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315CE0E" w14:textId="77777777" w:rsidR="00A47EF3" w:rsidRDefault="00A47EF3">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68EDF1C" w14:textId="77777777" w:rsidR="00A47EF3" w:rsidRDefault="00A47EF3">
            <w:pPr>
              <w:spacing w:before="60" w:after="60"/>
              <w:rPr>
                <w:rFonts w:eastAsia="Calibri"/>
                <w:b/>
                <w:szCs w:val="24"/>
              </w:rPr>
            </w:pPr>
            <w:r>
              <w:rPr>
                <w:rFonts w:eastAsia="Calibri"/>
                <w:b/>
                <w:szCs w:val="24"/>
              </w:rPr>
              <w:t>Definition</w:t>
            </w:r>
          </w:p>
        </w:tc>
      </w:tr>
      <w:tr w:rsidR="00350B3B" w14:paraId="3F6D60B9" w14:textId="77777777">
        <w:trPr>
          <w:cantSplit/>
          <w:trHeight w:val="964"/>
        </w:trPr>
        <w:tc>
          <w:tcPr>
            <w:tcW w:w="1260" w:type="dxa"/>
            <w:tcBorders>
              <w:bottom w:val="single" w:sz="4" w:space="0" w:color="000000"/>
            </w:tcBorders>
            <w:shd w:val="clear" w:color="0066FF" w:fill="0000FF"/>
            <w:vAlign w:val="center"/>
          </w:tcPr>
          <w:p w14:paraId="7184B797" w14:textId="77777777" w:rsidR="00A47EF3" w:rsidRDefault="00A47EF3">
            <w:pPr>
              <w:spacing w:before="60" w:after="60"/>
              <w:rPr>
                <w:rFonts w:eastAsia="Calibri"/>
                <w:szCs w:val="24"/>
              </w:rPr>
            </w:pPr>
          </w:p>
        </w:tc>
        <w:tc>
          <w:tcPr>
            <w:tcW w:w="7095" w:type="dxa"/>
            <w:tcBorders>
              <w:bottom w:val="single" w:sz="4" w:space="0" w:color="000000"/>
            </w:tcBorders>
            <w:vAlign w:val="center"/>
          </w:tcPr>
          <w:p w14:paraId="0B840C40" w14:textId="77777777" w:rsidR="00A47EF3" w:rsidRDefault="00A47EF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3D6B868" w14:textId="09F3690F" w:rsidR="00A47EF3" w:rsidRDefault="00A47EF3">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attained with some subsections exceeded</w:t>
            </w:r>
          </w:p>
        </w:tc>
      </w:tr>
      <w:tr w:rsidR="00350B3B" w14:paraId="3836951F" w14:textId="77777777">
        <w:trPr>
          <w:cantSplit/>
          <w:trHeight w:val="964"/>
        </w:trPr>
        <w:tc>
          <w:tcPr>
            <w:tcW w:w="1260" w:type="dxa"/>
            <w:shd w:val="clear" w:color="33CC33" w:fill="00FF00"/>
            <w:vAlign w:val="center"/>
          </w:tcPr>
          <w:p w14:paraId="6224651C" w14:textId="77777777" w:rsidR="00A47EF3" w:rsidRDefault="00A47EF3">
            <w:pPr>
              <w:spacing w:before="60" w:after="60"/>
              <w:rPr>
                <w:rFonts w:eastAsia="Calibri"/>
                <w:szCs w:val="24"/>
              </w:rPr>
            </w:pPr>
          </w:p>
        </w:tc>
        <w:tc>
          <w:tcPr>
            <w:tcW w:w="7095" w:type="dxa"/>
            <w:vAlign w:val="center"/>
          </w:tcPr>
          <w:p w14:paraId="2947BD16" w14:textId="77777777" w:rsidR="00A47EF3" w:rsidRDefault="00A47EF3">
            <w:pPr>
              <w:spacing w:before="60" w:after="60"/>
              <w:ind w:left="50"/>
              <w:rPr>
                <w:rFonts w:eastAsia="Calibri"/>
                <w:szCs w:val="24"/>
              </w:rPr>
            </w:pPr>
            <w:r>
              <w:rPr>
                <w:rFonts w:eastAsia="Calibri"/>
                <w:szCs w:val="24"/>
              </w:rPr>
              <w:t>No short falls</w:t>
            </w:r>
          </w:p>
        </w:tc>
        <w:tc>
          <w:tcPr>
            <w:tcW w:w="7096" w:type="dxa"/>
            <w:vAlign w:val="center"/>
          </w:tcPr>
          <w:p w14:paraId="402DCDA2" w14:textId="6967C146" w:rsidR="00A47EF3" w:rsidRDefault="00A47EF3">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350B3B" w14:paraId="0F0AADB2" w14:textId="77777777">
        <w:trPr>
          <w:cantSplit/>
          <w:trHeight w:val="964"/>
        </w:trPr>
        <w:tc>
          <w:tcPr>
            <w:tcW w:w="1260" w:type="dxa"/>
            <w:tcBorders>
              <w:bottom w:val="single" w:sz="4" w:space="0" w:color="000000"/>
            </w:tcBorders>
            <w:shd w:val="clear" w:color="auto" w:fill="FFFF00"/>
            <w:vAlign w:val="center"/>
          </w:tcPr>
          <w:p w14:paraId="210394DD" w14:textId="77777777" w:rsidR="00A47EF3" w:rsidRDefault="00A47EF3">
            <w:pPr>
              <w:spacing w:before="60" w:after="60"/>
              <w:rPr>
                <w:rFonts w:eastAsia="Calibri"/>
                <w:szCs w:val="24"/>
              </w:rPr>
            </w:pPr>
          </w:p>
        </w:tc>
        <w:tc>
          <w:tcPr>
            <w:tcW w:w="7095" w:type="dxa"/>
            <w:vAlign w:val="center"/>
          </w:tcPr>
          <w:p w14:paraId="2172AA85" w14:textId="77777777" w:rsidR="00A47EF3" w:rsidRDefault="00A47EF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70467B0" w14:textId="2AFBFEF1" w:rsidR="00A47EF3" w:rsidRDefault="00A47EF3">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350B3B" w14:paraId="69750312" w14:textId="77777777">
        <w:trPr>
          <w:cantSplit/>
          <w:trHeight w:val="964"/>
        </w:trPr>
        <w:tc>
          <w:tcPr>
            <w:tcW w:w="1260" w:type="dxa"/>
            <w:tcBorders>
              <w:bottom w:val="single" w:sz="4" w:space="0" w:color="000000"/>
            </w:tcBorders>
            <w:shd w:val="clear" w:color="auto" w:fill="FFC800"/>
            <w:vAlign w:val="center"/>
          </w:tcPr>
          <w:p w14:paraId="27B64894" w14:textId="77777777" w:rsidR="00A47EF3" w:rsidRDefault="00A47EF3">
            <w:pPr>
              <w:spacing w:before="60" w:after="60"/>
              <w:rPr>
                <w:rFonts w:eastAsia="Calibri"/>
                <w:szCs w:val="24"/>
              </w:rPr>
            </w:pPr>
          </w:p>
        </w:tc>
        <w:tc>
          <w:tcPr>
            <w:tcW w:w="7095" w:type="dxa"/>
            <w:tcBorders>
              <w:bottom w:val="single" w:sz="4" w:space="0" w:color="000000"/>
            </w:tcBorders>
            <w:vAlign w:val="center"/>
          </w:tcPr>
          <w:p w14:paraId="170B111D" w14:textId="77777777" w:rsidR="00A47EF3" w:rsidRDefault="00A47EF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E9C339E" w14:textId="602DC663" w:rsidR="00A47EF3" w:rsidRDefault="00A47EF3">
            <w:pPr>
              <w:spacing w:before="60" w:after="60"/>
              <w:ind w:left="50"/>
              <w:rPr>
                <w:rFonts w:eastAsia="Calibri"/>
                <w:szCs w:val="24"/>
              </w:rPr>
            </w:pPr>
            <w:r>
              <w:rPr>
                <w:rFonts w:eastAsia="Calibri"/>
                <w:szCs w:val="24"/>
              </w:rPr>
              <w:t>Some subsections applicable to this service are partially attained and of medium or high risk and/or unattained and of low risk</w:t>
            </w:r>
          </w:p>
        </w:tc>
      </w:tr>
      <w:tr w:rsidR="00350B3B" w14:paraId="14221F85" w14:textId="77777777">
        <w:trPr>
          <w:cantSplit/>
          <w:trHeight w:val="964"/>
        </w:trPr>
        <w:tc>
          <w:tcPr>
            <w:tcW w:w="1260" w:type="dxa"/>
            <w:shd w:val="clear" w:color="auto" w:fill="FF0000"/>
            <w:vAlign w:val="center"/>
          </w:tcPr>
          <w:p w14:paraId="4903BF1A" w14:textId="77777777" w:rsidR="00A47EF3" w:rsidRDefault="00A47EF3">
            <w:pPr>
              <w:spacing w:before="60" w:after="60"/>
              <w:rPr>
                <w:rFonts w:eastAsia="Calibri"/>
                <w:szCs w:val="24"/>
              </w:rPr>
            </w:pPr>
          </w:p>
        </w:tc>
        <w:tc>
          <w:tcPr>
            <w:tcW w:w="7095" w:type="dxa"/>
            <w:vAlign w:val="center"/>
          </w:tcPr>
          <w:p w14:paraId="2FC72210" w14:textId="77777777" w:rsidR="00A47EF3" w:rsidRDefault="00A47EF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5727C95" w14:textId="2420F6E9" w:rsidR="00A47EF3" w:rsidRDefault="00A47EF3">
            <w:pPr>
              <w:spacing w:before="60" w:after="60"/>
              <w:ind w:left="50"/>
              <w:rPr>
                <w:rFonts w:eastAsia="Calibri"/>
                <w:szCs w:val="24"/>
              </w:rPr>
            </w:pPr>
            <w:r>
              <w:rPr>
                <w:rFonts w:eastAsia="Calibri"/>
                <w:szCs w:val="24"/>
              </w:rPr>
              <w:t>Some subsections applicable to this service are unattained and of moderate or high risk</w:t>
            </w:r>
          </w:p>
        </w:tc>
      </w:tr>
    </w:tbl>
    <w:p w14:paraId="7C1FFE6A" w14:textId="77777777" w:rsidR="00A47EF3" w:rsidRDefault="00A47EF3">
      <w:pPr>
        <w:pStyle w:val="Heading2"/>
        <w:spacing w:after="0"/>
        <w:rPr>
          <w:rFonts w:cs="Arial"/>
        </w:rPr>
      </w:pPr>
      <w:r>
        <w:rPr>
          <w:rFonts w:cs="Arial"/>
        </w:rPr>
        <w:t>General overview of the audit</w:t>
      </w:r>
    </w:p>
    <w:p w14:paraId="72702530" w14:textId="77777777" w:rsidR="00A47EF3" w:rsidRDefault="00A47EF3">
      <w:pPr>
        <w:spacing w:before="240" w:line="276" w:lineRule="auto"/>
        <w:rPr>
          <w:rFonts w:eastAsia="Calibri"/>
        </w:rPr>
      </w:pPr>
      <w:bookmarkStart w:id="13" w:name="GeneralOverview"/>
      <w:r w:rsidRPr="00A4268A">
        <w:rPr>
          <w:rFonts w:eastAsia="Calibri"/>
        </w:rPr>
        <w:t>Eastcare Residential Home (Eastcare) provides rest home and dementia levels of care for up to 47 residents. On the days of the audit, there were 42 residents in the service. The service is owned and operated by Kaylex Care Limited.</w:t>
      </w:r>
    </w:p>
    <w:p w14:paraId="534F85DE" w14:textId="77777777" w:rsidR="00350B3B" w:rsidRPr="00A4268A" w:rsidRDefault="00A47EF3">
      <w:pPr>
        <w:spacing w:before="240" w:line="276" w:lineRule="auto"/>
        <w:rPr>
          <w:rFonts w:eastAsia="Calibri"/>
        </w:rPr>
      </w:pPr>
      <w:r w:rsidRPr="00A4268A">
        <w:rPr>
          <w:rFonts w:eastAsia="Calibri"/>
        </w:rPr>
        <w:t>This certification audit process was conducted against the Ngā Paerewa Health and Disability Services Standard NZS 8134:2021 and the service’s contracts held with Health New Zealand – Te Whatu Ora. It included a review of policies and procedures, a review of residents’ and staff files, observations, and interviews with residents and whānau, a governance representative, staff, and a nurse practitioner. The facility is managed by an experienced manager, supported by an experienced clinical nurse manager who has clinical oversight of the facility. Feedback from residents, whānau, staff, and the nurse practitioner was positive.</w:t>
      </w:r>
    </w:p>
    <w:p w14:paraId="2CCF70FD" w14:textId="77777777" w:rsidR="00350B3B" w:rsidRPr="00A4268A" w:rsidRDefault="00A47EF3">
      <w:pPr>
        <w:spacing w:before="240" w:line="276" w:lineRule="auto"/>
        <w:rPr>
          <w:rFonts w:eastAsia="Calibri"/>
        </w:rPr>
      </w:pPr>
      <w:r w:rsidRPr="00A4268A">
        <w:rPr>
          <w:rFonts w:eastAsia="Calibri"/>
        </w:rPr>
        <w:t>A strength of the service, resulting in a continuous improvement rating, related to a reduction in adverse events. Improvements are required from this audit to address completion of the facility’s internal audit schedule, completion of performance appraisals for staff, the facility environment, civil defence preparedness, and the completion of restraint-related education.</w:t>
      </w:r>
    </w:p>
    <w:bookmarkEnd w:id="13"/>
    <w:p w14:paraId="2D2E5D7F" w14:textId="77777777" w:rsidR="00350B3B" w:rsidRPr="00A4268A" w:rsidRDefault="00350B3B">
      <w:pPr>
        <w:spacing w:before="240" w:line="276" w:lineRule="auto"/>
        <w:rPr>
          <w:rFonts w:eastAsia="Calibri"/>
        </w:rPr>
      </w:pPr>
    </w:p>
    <w:p w14:paraId="66C5A4D4" w14:textId="77777777" w:rsidR="00A47EF3" w:rsidRDefault="00A47EF3"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B3B" w14:paraId="2B156820" w14:textId="77777777" w:rsidTr="00A4268A">
        <w:trPr>
          <w:cantSplit/>
        </w:trPr>
        <w:tc>
          <w:tcPr>
            <w:tcW w:w="10206" w:type="dxa"/>
            <w:vAlign w:val="center"/>
          </w:tcPr>
          <w:p w14:paraId="47515519" w14:textId="77777777" w:rsidR="00A47EF3" w:rsidRPr="00FB778F" w:rsidRDefault="00A47EF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63A7222" w14:textId="77777777" w:rsidR="00A47EF3" w:rsidRPr="00621629" w:rsidRDefault="00A47EF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B3931DB" w14:textId="77777777" w:rsidR="00A47EF3" w:rsidRPr="00621629" w:rsidRDefault="00A47EF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C3A7E8B" w14:textId="0F81F220" w:rsidR="00A47EF3" w:rsidRPr="00621629" w:rsidRDefault="00A47EF3" w:rsidP="008F3634">
            <w:pPr>
              <w:spacing w:before="60" w:after="60" w:line="276" w:lineRule="auto"/>
              <w:rPr>
                <w:rFonts w:eastAsia="Calibri"/>
              </w:rPr>
            </w:pPr>
            <w:bookmarkStart w:id="15" w:name="IndicatorDescription1_1"/>
            <w:bookmarkEnd w:id="15"/>
            <w:r>
              <w:t>Subsections applicable to this service are fully attained.</w:t>
            </w:r>
          </w:p>
        </w:tc>
      </w:tr>
    </w:tbl>
    <w:p w14:paraId="6F484DFE" w14:textId="77777777" w:rsidR="00A47EF3" w:rsidRDefault="00A47EF3">
      <w:pPr>
        <w:spacing w:before="240" w:line="276" w:lineRule="auto"/>
        <w:rPr>
          <w:rFonts w:eastAsia="Calibri"/>
        </w:rPr>
      </w:pPr>
      <w:bookmarkStart w:id="16" w:name="ConsumerRights"/>
      <w:r w:rsidRPr="00A4268A">
        <w:rPr>
          <w:rFonts w:eastAsia="Calibri"/>
        </w:rPr>
        <w:t>Eastcare provided an environment that supported residents’ rights and culturally safe care. Staff demonstrated an understanding of residents' rights and obligations. There was a health plan that encapsulated care specifically directed at Māori, Pacific peoples, and other ethnicities. Eastcare worked collaboratively with internal and external Māori supports to encourage a Māori worldview of health in service delivery. Māori were provided with equitable and effective services based on Te Tiriti o Waitangi and the principles of mana motuhake, and this was confirmed by Māori residents and staff interviewed. There were no Pacific residents at Eastcare at the time of the audit; however, systems and processes were in place to enable Pacific peoples to be provided with services that recognised their worldviews in a culturally safe manner. There were staff members in the service who identified as Pacific peoples.</w:t>
      </w:r>
    </w:p>
    <w:p w14:paraId="43E4F638" w14:textId="77777777" w:rsidR="00350B3B" w:rsidRPr="00A4268A" w:rsidRDefault="00A47EF3">
      <w:pPr>
        <w:spacing w:before="240" w:line="276" w:lineRule="auto"/>
        <w:rPr>
          <w:rFonts w:eastAsia="Calibri"/>
        </w:rPr>
      </w:pPr>
      <w:r w:rsidRPr="00A4268A">
        <w:rPr>
          <w:rFonts w:eastAsia="Calibri"/>
        </w:rPr>
        <w:t>Residents of Eastcare and their whānau were informed of their rights under the Code of Health and Disability Services Consumers’ Rights (the Code), and these rights were consistently upheld. The service protected residents from abuse and respected their dignity, privacy, and independence. Care was inclusive and acknowledged each person’s unique identity and experiences.</w:t>
      </w:r>
    </w:p>
    <w:p w14:paraId="41C6A061" w14:textId="77777777" w:rsidR="00350B3B" w:rsidRPr="00A4268A" w:rsidRDefault="00A47EF3">
      <w:pPr>
        <w:spacing w:before="240" w:line="276" w:lineRule="auto"/>
        <w:rPr>
          <w:rFonts w:eastAsia="Calibri"/>
        </w:rPr>
      </w:pPr>
      <w:r w:rsidRPr="00A4268A">
        <w:rPr>
          <w:rFonts w:eastAsia="Calibri"/>
        </w:rPr>
        <w:t>Care plans were formulated to reflect and respect the choices and preferences of residents and/or their whānau, ensuring that individual needs and wishes remained central to the delivery of care. Documentation demonstrated that residents and their whānau were consistently kept well informed regarding all aspects of their care and the services offered.</w:t>
      </w:r>
    </w:p>
    <w:p w14:paraId="7C038180" w14:textId="77777777" w:rsidR="00350B3B" w:rsidRPr="00A4268A" w:rsidRDefault="00A47EF3">
      <w:pPr>
        <w:spacing w:before="240" w:line="276" w:lineRule="auto"/>
        <w:rPr>
          <w:rFonts w:eastAsia="Calibri"/>
        </w:rPr>
      </w:pPr>
      <w:r w:rsidRPr="00A4268A">
        <w:rPr>
          <w:rFonts w:eastAsia="Calibri"/>
        </w:rPr>
        <w:t>Residents and their whānau received clear information and participated in care decisions. Communication was open, and interpreter services were available. Whānau and legal representatives took part in lawful decision-making, and advance directives were respected when possible.</w:t>
      </w:r>
    </w:p>
    <w:p w14:paraId="2D8C0AA8" w14:textId="77777777" w:rsidR="00350B3B" w:rsidRPr="00A4268A" w:rsidRDefault="00A47EF3">
      <w:pPr>
        <w:spacing w:before="240" w:line="276" w:lineRule="auto"/>
        <w:rPr>
          <w:rFonts w:eastAsia="Calibri"/>
        </w:rPr>
      </w:pPr>
      <w:r w:rsidRPr="00A4268A">
        <w:rPr>
          <w:rFonts w:eastAsia="Calibri"/>
        </w:rPr>
        <w:lastRenderedPageBreak/>
        <w:t>Complaints were resolved promptly and effectively in collaboration with all parties involved. There were processes in place to ensure that the complaints process works equitably for Māori. Complaints were fully documented, with corrective actions in place where these were required.</w:t>
      </w:r>
    </w:p>
    <w:bookmarkEnd w:id="16"/>
    <w:p w14:paraId="70818BF2" w14:textId="77777777" w:rsidR="00350B3B" w:rsidRPr="00A4268A" w:rsidRDefault="00350B3B">
      <w:pPr>
        <w:spacing w:before="240" w:line="276" w:lineRule="auto"/>
        <w:rPr>
          <w:rFonts w:eastAsia="Calibri"/>
        </w:rPr>
      </w:pPr>
    </w:p>
    <w:p w14:paraId="34E2B69B" w14:textId="77777777" w:rsidR="00A47EF3" w:rsidRDefault="00A47EF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B3B" w14:paraId="79CFED61" w14:textId="77777777" w:rsidTr="00A4268A">
        <w:trPr>
          <w:cantSplit/>
        </w:trPr>
        <w:tc>
          <w:tcPr>
            <w:tcW w:w="10206" w:type="dxa"/>
            <w:vAlign w:val="center"/>
          </w:tcPr>
          <w:p w14:paraId="78841D2A" w14:textId="77777777" w:rsidR="00A47EF3" w:rsidRPr="00621629" w:rsidRDefault="00A47EF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F5FD1AF" w14:textId="77777777" w:rsidR="00A47EF3" w:rsidRPr="00621629" w:rsidRDefault="00A47EF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9FC297A" w14:textId="502B51E2" w:rsidR="00A47EF3" w:rsidRPr="00621629" w:rsidRDefault="00A47EF3" w:rsidP="00621629">
            <w:pPr>
              <w:spacing w:before="60" w:after="60" w:line="276" w:lineRule="auto"/>
              <w:rPr>
                <w:rFonts w:eastAsia="Calibri"/>
              </w:rPr>
            </w:pPr>
            <w:bookmarkStart w:id="18" w:name="IndicatorDescription1_2"/>
            <w:bookmarkEnd w:id="18"/>
            <w:r>
              <w:t>Some subsections applicable to this service are partially attained and of medium or high risk and/or unattained and of low risk.</w:t>
            </w:r>
          </w:p>
        </w:tc>
      </w:tr>
    </w:tbl>
    <w:p w14:paraId="38D2AE0E" w14:textId="77777777" w:rsidR="00A47EF3" w:rsidRDefault="00A47EF3">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Pacific peoples, and tāngata whaikaha (people with disabilities).</w:t>
      </w:r>
    </w:p>
    <w:p w14:paraId="056C26D5" w14:textId="77777777" w:rsidR="00350B3B" w:rsidRPr="00A4268A" w:rsidRDefault="00A47EF3">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211A6165" w14:textId="77777777" w:rsidR="00350B3B" w:rsidRPr="00A4268A" w:rsidRDefault="00A47EF3">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participate in quality activities. Processes to collect and analyse quality improvement data are documented in policy and procedure documents.</w:t>
      </w:r>
    </w:p>
    <w:p w14:paraId="0C171305" w14:textId="77777777" w:rsidR="00350B3B" w:rsidRPr="00A4268A" w:rsidRDefault="00A47EF3">
      <w:pPr>
        <w:spacing w:before="240" w:line="276" w:lineRule="auto"/>
        <w:rPr>
          <w:rFonts w:eastAsia="Calibri"/>
        </w:rPr>
      </w:pPr>
      <w:r w:rsidRPr="00A4268A">
        <w:rPr>
          <w:rFonts w:eastAsia="Calibri"/>
        </w:rPr>
        <w:t>The National Adverse Events Policy is followed, with corrective actions supporting systems learnings. The service complies with statutory and regulatory reporting obligations.</w:t>
      </w:r>
    </w:p>
    <w:p w14:paraId="6C416A8D" w14:textId="77777777" w:rsidR="00350B3B" w:rsidRPr="00A4268A" w:rsidRDefault="00A47EF3">
      <w:pPr>
        <w:spacing w:before="240" w:line="276" w:lineRule="auto"/>
        <w:rPr>
          <w:rFonts w:eastAsia="Calibri"/>
        </w:rPr>
      </w:pPr>
      <w:r w:rsidRPr="00A4268A">
        <w:rPr>
          <w:rFonts w:eastAsia="Calibri"/>
        </w:rPr>
        <w:lastRenderedPageBreak/>
        <w:t>Staffing levels and skill mix meet the cultural and clinical needs of residents. Staff are appointed and orientated using current good practice. A systematic approach to identify and deliver ongoing learning supports safe, equitable service delivery.</w:t>
      </w:r>
    </w:p>
    <w:p w14:paraId="24A184DB" w14:textId="77777777" w:rsidR="00350B3B" w:rsidRPr="00A4268A" w:rsidRDefault="00A47EF3">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6372931C" w14:textId="77777777" w:rsidR="00350B3B" w:rsidRPr="00A4268A" w:rsidRDefault="00350B3B">
      <w:pPr>
        <w:spacing w:before="240" w:line="276" w:lineRule="auto"/>
        <w:rPr>
          <w:rFonts w:eastAsia="Calibri"/>
        </w:rPr>
      </w:pPr>
    </w:p>
    <w:p w14:paraId="3D8272F0" w14:textId="77777777" w:rsidR="00A47EF3" w:rsidRDefault="00A47EF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B3B" w14:paraId="775991C6" w14:textId="77777777" w:rsidTr="00A4268A">
        <w:trPr>
          <w:cantSplit/>
        </w:trPr>
        <w:tc>
          <w:tcPr>
            <w:tcW w:w="10206" w:type="dxa"/>
            <w:vAlign w:val="center"/>
          </w:tcPr>
          <w:p w14:paraId="50802BE4" w14:textId="77777777" w:rsidR="00A47EF3" w:rsidRPr="00621629" w:rsidRDefault="00A47EF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020A756" w14:textId="77777777" w:rsidR="00A47EF3" w:rsidRPr="00621629" w:rsidRDefault="00A47EF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FC08274" w14:textId="4FA6F502" w:rsidR="00A47EF3" w:rsidRPr="00621629" w:rsidRDefault="00A47EF3" w:rsidP="00621629">
            <w:pPr>
              <w:spacing w:before="60" w:after="60" w:line="276" w:lineRule="auto"/>
              <w:rPr>
                <w:rFonts w:eastAsia="Calibri"/>
              </w:rPr>
            </w:pPr>
            <w:bookmarkStart w:id="21" w:name="IndicatorDescription1_3"/>
            <w:bookmarkEnd w:id="21"/>
            <w:r>
              <w:t>Subsections applicable to this service are fully attained.</w:t>
            </w:r>
          </w:p>
        </w:tc>
      </w:tr>
    </w:tbl>
    <w:p w14:paraId="423A5FE0" w14:textId="77777777" w:rsidR="00A47EF3" w:rsidRPr="005E14A4" w:rsidRDefault="00A47EF3" w:rsidP="00621629">
      <w:pPr>
        <w:spacing w:before="240" w:line="276" w:lineRule="auto"/>
        <w:rPr>
          <w:rFonts w:eastAsia="Calibri"/>
        </w:rPr>
      </w:pPr>
      <w:bookmarkStart w:id="22" w:name="ContinuumOfServiceDelivery"/>
      <w:r w:rsidRPr="00A4268A">
        <w:rPr>
          <w:rFonts w:eastAsia="Calibri"/>
        </w:rPr>
        <w:t>Upon admission to Eastcare, a person-centred and whānau-centred approach was implemented. Comprehensive and relevant information was provided to prospective residents and their whānau.</w:t>
      </w:r>
    </w:p>
    <w:p w14:paraId="547CF375" w14:textId="77777777" w:rsidR="00350B3B" w:rsidRPr="00A4268A" w:rsidRDefault="00A47EF3" w:rsidP="00621629">
      <w:pPr>
        <w:spacing w:before="240" w:line="276" w:lineRule="auto"/>
        <w:rPr>
          <w:rFonts w:eastAsia="Calibri"/>
        </w:rPr>
      </w:pPr>
      <w:r w:rsidRPr="00A4268A">
        <w:rPr>
          <w:rFonts w:eastAsia="Calibri"/>
        </w:rPr>
        <w:t>The staff of Eastcare collaborated with residents and their whānau to assess, plan, and evaluate care. Individualised care plans were developed based on thorough assessments, accommodating any emerging concerns as they arose. Documentation reviewed indicated that care consistently met the needs of residents and their whānau, and evaluations occurred regularly and in a timely manner.</w:t>
      </w:r>
    </w:p>
    <w:p w14:paraId="5894BC99" w14:textId="77777777" w:rsidR="00350B3B" w:rsidRPr="00A4268A" w:rsidRDefault="00A47EF3"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D142567" w14:textId="77777777" w:rsidR="00350B3B" w:rsidRPr="00A4268A" w:rsidRDefault="00A47EF3"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68EBC8DE" w14:textId="77777777" w:rsidR="00350B3B" w:rsidRPr="00A4268A" w:rsidRDefault="00A47EF3" w:rsidP="00621629">
      <w:pPr>
        <w:spacing w:before="240" w:line="276" w:lineRule="auto"/>
        <w:rPr>
          <w:rFonts w:eastAsia="Calibri"/>
        </w:rPr>
      </w:pPr>
      <w:r w:rsidRPr="00A4268A">
        <w:rPr>
          <w:rFonts w:eastAsia="Calibri"/>
        </w:rPr>
        <w:t>The food service was safely managed and met the nutritional needs of the residents, with special and cultural needs catered for.</w:t>
      </w:r>
    </w:p>
    <w:p w14:paraId="3885CE6E" w14:textId="77777777" w:rsidR="00350B3B" w:rsidRPr="00A4268A" w:rsidRDefault="00A47EF3"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004D2D61" w14:textId="77777777" w:rsidR="00350B3B" w:rsidRPr="00A4268A" w:rsidRDefault="00350B3B" w:rsidP="00621629">
      <w:pPr>
        <w:spacing w:before="240" w:line="276" w:lineRule="auto"/>
        <w:rPr>
          <w:rFonts w:eastAsia="Calibri"/>
        </w:rPr>
      </w:pPr>
    </w:p>
    <w:p w14:paraId="2BD2866E" w14:textId="77777777" w:rsidR="00A47EF3" w:rsidRDefault="00A47EF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B3B" w14:paraId="4880F5D5" w14:textId="77777777" w:rsidTr="00A4268A">
        <w:trPr>
          <w:cantSplit/>
        </w:trPr>
        <w:tc>
          <w:tcPr>
            <w:tcW w:w="10206" w:type="dxa"/>
            <w:vAlign w:val="center"/>
          </w:tcPr>
          <w:p w14:paraId="467BF989" w14:textId="77777777" w:rsidR="00A47EF3" w:rsidRPr="00621629" w:rsidRDefault="00A47EF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1D20E140" w14:textId="77777777" w:rsidR="00A47EF3" w:rsidRPr="00621629" w:rsidRDefault="00A47EF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6E1DFC" w14:textId="236A4305" w:rsidR="00A47EF3" w:rsidRPr="00621629" w:rsidRDefault="00A47EF3" w:rsidP="00621629">
            <w:pPr>
              <w:spacing w:before="60" w:after="60" w:line="276" w:lineRule="auto"/>
              <w:rPr>
                <w:rFonts w:eastAsia="Calibri"/>
              </w:rPr>
            </w:pPr>
            <w:bookmarkStart w:id="24" w:name="IndicatorDescription1_4"/>
            <w:bookmarkEnd w:id="24"/>
            <w:r>
              <w:t>Some subsections applicable to this service are partially attained and of medium or high risk and/or unattained and of low risk.</w:t>
            </w:r>
          </w:p>
        </w:tc>
      </w:tr>
    </w:tbl>
    <w:p w14:paraId="1663C971" w14:textId="77777777" w:rsidR="00A47EF3" w:rsidRDefault="00A47EF3">
      <w:pPr>
        <w:spacing w:before="240" w:line="276" w:lineRule="auto"/>
        <w:rPr>
          <w:rFonts w:eastAsia="Calibri"/>
        </w:rPr>
      </w:pPr>
      <w:bookmarkStart w:id="25" w:name="SafeAndAppropriateEnvironment"/>
      <w:r w:rsidRPr="00A4268A">
        <w:rPr>
          <w:rFonts w:eastAsia="Calibri"/>
        </w:rPr>
        <w:t>The facility met the needs of residents. There was a current building warrant of fitness. Electrical equipment had been tested as required. External areas were accessible and provided shade and seating. Internal areas met the mobility needs of tāngata whaikaha.</w:t>
      </w:r>
    </w:p>
    <w:p w14:paraId="0D33BE75" w14:textId="77777777" w:rsidR="00350B3B" w:rsidRPr="00A4268A" w:rsidRDefault="00A47EF3">
      <w:pPr>
        <w:spacing w:before="240" w:line="276" w:lineRule="auto"/>
        <w:rPr>
          <w:rFonts w:eastAsia="Calibri"/>
        </w:rPr>
      </w:pPr>
      <w:r w:rsidRPr="00A4268A">
        <w:rPr>
          <w:rFonts w:eastAsia="Calibri"/>
        </w:rPr>
        <w:t>Staff had trained in emergency procedures, the use of emergency equipment, and they had attended regular fire drills. Staff, residents and whānau understood emergency and security arrangements. Residents reported a timely staff response to call bells.</w:t>
      </w:r>
    </w:p>
    <w:bookmarkEnd w:id="25"/>
    <w:p w14:paraId="151E5025" w14:textId="77777777" w:rsidR="00350B3B" w:rsidRPr="00A4268A" w:rsidRDefault="00350B3B">
      <w:pPr>
        <w:spacing w:before="240" w:line="276" w:lineRule="auto"/>
        <w:rPr>
          <w:rFonts w:eastAsia="Calibri"/>
        </w:rPr>
      </w:pPr>
    </w:p>
    <w:p w14:paraId="46F5536A" w14:textId="77777777" w:rsidR="00A47EF3" w:rsidRDefault="00A47EF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B3B" w14:paraId="29ECC3B2" w14:textId="77777777" w:rsidTr="00A4268A">
        <w:trPr>
          <w:cantSplit/>
        </w:trPr>
        <w:tc>
          <w:tcPr>
            <w:tcW w:w="10206" w:type="dxa"/>
            <w:vAlign w:val="center"/>
          </w:tcPr>
          <w:p w14:paraId="4C8DD748" w14:textId="77777777" w:rsidR="00A47EF3" w:rsidRPr="00621629" w:rsidRDefault="00A47EF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88D3D2" w14:textId="77777777" w:rsidR="00A47EF3" w:rsidRPr="00621629" w:rsidRDefault="00A47EF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332A5B" w14:textId="6ACE6521" w:rsidR="00A47EF3" w:rsidRPr="00621629" w:rsidRDefault="00A47EF3" w:rsidP="00621629">
            <w:pPr>
              <w:spacing w:before="60" w:after="60" w:line="276" w:lineRule="auto"/>
              <w:rPr>
                <w:rFonts w:eastAsia="Calibri"/>
              </w:rPr>
            </w:pPr>
            <w:bookmarkStart w:id="27" w:name="IndicatorDescription2"/>
            <w:bookmarkEnd w:id="27"/>
            <w:r>
              <w:t>Subsections applicable to this service are fully attained.</w:t>
            </w:r>
          </w:p>
        </w:tc>
      </w:tr>
    </w:tbl>
    <w:p w14:paraId="7B1C46F2" w14:textId="77777777" w:rsidR="00A47EF3" w:rsidRDefault="00A47EF3">
      <w:pPr>
        <w:spacing w:before="240" w:line="276" w:lineRule="auto"/>
        <w:rPr>
          <w:rFonts w:eastAsia="Calibri"/>
        </w:rPr>
      </w:pPr>
      <w:bookmarkStart w:id="28" w:name="RestraintMinimisationAndSafePractice"/>
      <w:r w:rsidRPr="00A4268A">
        <w:rPr>
          <w:rFonts w:eastAsia="Calibri"/>
        </w:rPr>
        <w:lastRenderedPageBreak/>
        <w:t>The facility manager and the infection control coordinator at Eastcare ensured the safety of residents, visitors and staff through a planned infection prevention and antimicrobial stewardship programme that was appropriate to the size and complexity of the service. It was adequately resourced; an experienced and trained infection control coordinator led the programme, and they were engaged in procurement processes.</w:t>
      </w:r>
    </w:p>
    <w:p w14:paraId="06DAB677" w14:textId="77777777" w:rsidR="00350B3B" w:rsidRPr="00A4268A" w:rsidRDefault="00A47EF3">
      <w:pPr>
        <w:spacing w:before="240" w:line="276" w:lineRule="auto"/>
        <w:rPr>
          <w:rFonts w:eastAsia="Calibri"/>
        </w:rPr>
      </w:pPr>
      <w:r w:rsidRPr="00A4268A">
        <w:rPr>
          <w:rFonts w:eastAsia="Calibri"/>
        </w:rPr>
        <w:t>A suite of infection prevention and control and antimicrobial stewardship policies and procedures were in place. Eastcare had an approved infection control and pandemic plan. Staff demonstrated good principles and practice around infection control. Staff, residents, and whānau were familiar with the pandemic/infectious diseases response plan.</w:t>
      </w:r>
    </w:p>
    <w:p w14:paraId="0F96B326" w14:textId="77777777" w:rsidR="00350B3B" w:rsidRPr="00A4268A" w:rsidRDefault="00A47EF3">
      <w:pPr>
        <w:spacing w:before="240" w:line="276" w:lineRule="auto"/>
        <w:rPr>
          <w:rFonts w:eastAsia="Calibri"/>
        </w:rPr>
      </w:pPr>
      <w:r w:rsidRPr="00A4268A">
        <w:rPr>
          <w:rFonts w:eastAsia="Calibri"/>
        </w:rPr>
        <w:t>Aged care-specific infection surveillance was undertaken, with follow-up action taken as required.</w:t>
      </w:r>
    </w:p>
    <w:p w14:paraId="236369F6" w14:textId="77777777" w:rsidR="00350B3B" w:rsidRPr="00A4268A" w:rsidRDefault="00A47EF3">
      <w:pPr>
        <w:spacing w:before="240" w:line="276" w:lineRule="auto"/>
        <w:rPr>
          <w:rFonts w:eastAsia="Calibri"/>
        </w:rPr>
      </w:pPr>
      <w:r w:rsidRPr="00A4268A">
        <w:rPr>
          <w:rFonts w:eastAsia="Calibri"/>
        </w:rPr>
        <w:t>The environment supported the prevention and mitigation of transmission of infections. Waste and hazardous substances were managed. There were safe and effective cleaning and laundry services in place.</w:t>
      </w:r>
    </w:p>
    <w:bookmarkEnd w:id="28"/>
    <w:p w14:paraId="37E4BBD7" w14:textId="77777777" w:rsidR="00350B3B" w:rsidRPr="00A4268A" w:rsidRDefault="00350B3B">
      <w:pPr>
        <w:spacing w:before="240" w:line="276" w:lineRule="auto"/>
        <w:rPr>
          <w:rFonts w:eastAsia="Calibri"/>
        </w:rPr>
      </w:pPr>
    </w:p>
    <w:p w14:paraId="5D06E6CB" w14:textId="77777777" w:rsidR="00A47EF3" w:rsidRDefault="00A47EF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B3B" w14:paraId="2267D67E" w14:textId="77777777" w:rsidTr="00A4268A">
        <w:trPr>
          <w:cantSplit/>
        </w:trPr>
        <w:tc>
          <w:tcPr>
            <w:tcW w:w="10206" w:type="dxa"/>
            <w:vAlign w:val="center"/>
          </w:tcPr>
          <w:p w14:paraId="6CD0E2B8" w14:textId="77777777" w:rsidR="00A47EF3" w:rsidRPr="00621629" w:rsidRDefault="00A47EF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2496990B" w14:textId="77777777" w:rsidR="00A47EF3" w:rsidRPr="00621629" w:rsidRDefault="00A47EF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79F990" w14:textId="7D0DF9F3" w:rsidR="00A47EF3" w:rsidRPr="00621629" w:rsidRDefault="00A47EF3" w:rsidP="00621629">
            <w:pPr>
              <w:spacing w:before="60" w:after="60" w:line="276" w:lineRule="auto"/>
              <w:rPr>
                <w:rFonts w:eastAsia="Calibri"/>
              </w:rPr>
            </w:pPr>
            <w:bookmarkStart w:id="30" w:name="IndicatorDescription3"/>
            <w:bookmarkEnd w:id="30"/>
            <w:r>
              <w:t>Some subsections applicable to this service are partially attained and of low risk.</w:t>
            </w:r>
          </w:p>
        </w:tc>
      </w:tr>
    </w:tbl>
    <w:p w14:paraId="049C56B3" w14:textId="77777777" w:rsidR="00A47EF3" w:rsidRDefault="00A47EF3">
      <w:pPr>
        <w:spacing w:before="240" w:line="276" w:lineRule="auto"/>
        <w:rPr>
          <w:rFonts w:eastAsia="Calibri"/>
        </w:rPr>
      </w:pPr>
      <w:bookmarkStart w:id="31" w:name="InfectionPreventionAndControl"/>
      <w:r w:rsidRPr="00A4268A">
        <w:rPr>
          <w:rFonts w:eastAsia="Calibri"/>
        </w:rPr>
        <w:t>The service was a restraint-free environment. This is supported by the governing body and policies and procedures. There were no residents observed to be using a restraint at the time of audit.</w:t>
      </w:r>
    </w:p>
    <w:p w14:paraId="7CB6C9F8" w14:textId="77777777" w:rsidR="00350B3B" w:rsidRPr="00A4268A" w:rsidRDefault="00A47EF3">
      <w:pPr>
        <w:spacing w:before="240" w:line="276" w:lineRule="auto"/>
        <w:rPr>
          <w:rFonts w:eastAsia="Calibri"/>
        </w:rPr>
      </w:pPr>
      <w:r w:rsidRPr="00A4268A">
        <w:rPr>
          <w:rFonts w:eastAsia="Calibri"/>
        </w:rPr>
        <w:t>A comprehensive assessment, approval, and monitoring process is in place should restraint be required in the future. Staff interviewed demonstrated sound knowledge and understanding of least restrictive practice, de-escalation techniques, alternative interventions, and restraint monitoring.</w:t>
      </w:r>
    </w:p>
    <w:bookmarkEnd w:id="31"/>
    <w:p w14:paraId="0B6F3119" w14:textId="77777777" w:rsidR="00350B3B" w:rsidRPr="00A4268A" w:rsidRDefault="00350B3B">
      <w:pPr>
        <w:spacing w:before="240" w:line="276" w:lineRule="auto"/>
        <w:rPr>
          <w:rFonts w:eastAsia="Calibri"/>
        </w:rPr>
      </w:pPr>
    </w:p>
    <w:p w14:paraId="43BB4541" w14:textId="77777777" w:rsidR="00A47EF3" w:rsidRDefault="00A47EF3" w:rsidP="000E6E02">
      <w:pPr>
        <w:pStyle w:val="Heading2"/>
        <w:spacing w:before="0"/>
        <w:rPr>
          <w:rFonts w:cs="Arial"/>
        </w:rPr>
      </w:pPr>
      <w:r>
        <w:rPr>
          <w:rFonts w:cs="Arial"/>
        </w:rPr>
        <w:t>Summary of attainment</w:t>
      </w:r>
    </w:p>
    <w:p w14:paraId="025C98CC" w14:textId="77777777" w:rsidR="00A47EF3" w:rsidRDefault="00A47EF3">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0B3B" w14:paraId="326089FB" w14:textId="77777777">
        <w:tc>
          <w:tcPr>
            <w:tcW w:w="1384" w:type="dxa"/>
            <w:vAlign w:val="center"/>
          </w:tcPr>
          <w:p w14:paraId="355E76D8" w14:textId="77777777" w:rsidR="00A47EF3" w:rsidRDefault="00A47EF3">
            <w:pPr>
              <w:keepNext/>
              <w:spacing w:before="60" w:after="60"/>
              <w:rPr>
                <w:rFonts w:cs="Arial"/>
                <w:b/>
                <w:sz w:val="20"/>
                <w:szCs w:val="20"/>
              </w:rPr>
            </w:pPr>
            <w:r>
              <w:rPr>
                <w:rFonts w:cs="Arial"/>
                <w:b/>
                <w:sz w:val="20"/>
                <w:szCs w:val="20"/>
              </w:rPr>
              <w:t>Attainment Rating</w:t>
            </w:r>
          </w:p>
        </w:tc>
        <w:tc>
          <w:tcPr>
            <w:tcW w:w="1701" w:type="dxa"/>
            <w:vAlign w:val="center"/>
          </w:tcPr>
          <w:p w14:paraId="040200CF" w14:textId="77777777" w:rsidR="00A47EF3" w:rsidRDefault="00A47EF3">
            <w:pPr>
              <w:keepNext/>
              <w:spacing w:before="60" w:after="60"/>
              <w:jc w:val="center"/>
              <w:rPr>
                <w:rFonts w:cs="Arial"/>
                <w:b/>
                <w:sz w:val="20"/>
                <w:szCs w:val="20"/>
              </w:rPr>
            </w:pPr>
            <w:r>
              <w:rPr>
                <w:rFonts w:cs="Arial"/>
                <w:b/>
                <w:sz w:val="20"/>
                <w:szCs w:val="20"/>
              </w:rPr>
              <w:t>Continuous Improvement</w:t>
            </w:r>
          </w:p>
          <w:p w14:paraId="5BE5C27D" w14:textId="77777777" w:rsidR="00A47EF3" w:rsidRDefault="00A47EF3">
            <w:pPr>
              <w:keepNext/>
              <w:spacing w:before="60" w:after="60"/>
              <w:jc w:val="center"/>
              <w:rPr>
                <w:rFonts w:cs="Arial"/>
                <w:b/>
                <w:sz w:val="20"/>
                <w:szCs w:val="20"/>
              </w:rPr>
            </w:pPr>
            <w:r>
              <w:rPr>
                <w:rFonts w:cs="Arial"/>
                <w:b/>
                <w:sz w:val="20"/>
                <w:szCs w:val="20"/>
              </w:rPr>
              <w:t>(CI)</w:t>
            </w:r>
          </w:p>
        </w:tc>
        <w:tc>
          <w:tcPr>
            <w:tcW w:w="1843" w:type="dxa"/>
            <w:vAlign w:val="center"/>
          </w:tcPr>
          <w:p w14:paraId="18632595" w14:textId="77777777" w:rsidR="00A47EF3" w:rsidRDefault="00A47EF3">
            <w:pPr>
              <w:keepNext/>
              <w:spacing w:before="60" w:after="60"/>
              <w:jc w:val="center"/>
              <w:rPr>
                <w:rFonts w:cs="Arial"/>
                <w:b/>
                <w:sz w:val="20"/>
                <w:szCs w:val="20"/>
              </w:rPr>
            </w:pPr>
            <w:r>
              <w:rPr>
                <w:rFonts w:cs="Arial"/>
                <w:b/>
                <w:sz w:val="20"/>
                <w:szCs w:val="20"/>
              </w:rPr>
              <w:t>Fully Attained</w:t>
            </w:r>
          </w:p>
          <w:p w14:paraId="2EA57562" w14:textId="77777777" w:rsidR="00A47EF3" w:rsidRDefault="00A47EF3">
            <w:pPr>
              <w:keepNext/>
              <w:spacing w:before="60" w:after="60"/>
              <w:jc w:val="center"/>
              <w:rPr>
                <w:rFonts w:cs="Arial"/>
                <w:b/>
                <w:sz w:val="20"/>
                <w:szCs w:val="20"/>
              </w:rPr>
            </w:pPr>
            <w:r>
              <w:rPr>
                <w:rFonts w:cs="Arial"/>
                <w:b/>
                <w:sz w:val="20"/>
                <w:szCs w:val="20"/>
              </w:rPr>
              <w:t>(FA)</w:t>
            </w:r>
          </w:p>
        </w:tc>
        <w:tc>
          <w:tcPr>
            <w:tcW w:w="1843" w:type="dxa"/>
            <w:vAlign w:val="center"/>
          </w:tcPr>
          <w:p w14:paraId="1C95098B" w14:textId="77777777" w:rsidR="00A47EF3" w:rsidRDefault="00A47EF3">
            <w:pPr>
              <w:keepNext/>
              <w:spacing w:before="60" w:after="60"/>
              <w:jc w:val="center"/>
              <w:rPr>
                <w:rFonts w:cs="Arial"/>
                <w:b/>
                <w:sz w:val="20"/>
                <w:szCs w:val="20"/>
              </w:rPr>
            </w:pPr>
            <w:r>
              <w:rPr>
                <w:rFonts w:cs="Arial"/>
                <w:b/>
                <w:sz w:val="20"/>
                <w:szCs w:val="20"/>
              </w:rPr>
              <w:t>Partially Attained Negligible Risk</w:t>
            </w:r>
          </w:p>
          <w:p w14:paraId="1C9BE447" w14:textId="77777777" w:rsidR="00A47EF3" w:rsidRDefault="00A47EF3">
            <w:pPr>
              <w:keepNext/>
              <w:spacing w:before="60" w:after="60"/>
              <w:jc w:val="center"/>
              <w:rPr>
                <w:rFonts w:cs="Arial"/>
                <w:b/>
                <w:sz w:val="20"/>
                <w:szCs w:val="20"/>
              </w:rPr>
            </w:pPr>
            <w:r>
              <w:rPr>
                <w:rFonts w:cs="Arial"/>
                <w:b/>
                <w:sz w:val="20"/>
                <w:szCs w:val="20"/>
              </w:rPr>
              <w:t>(PA Negligible)</w:t>
            </w:r>
          </w:p>
        </w:tc>
        <w:tc>
          <w:tcPr>
            <w:tcW w:w="1842" w:type="dxa"/>
            <w:vAlign w:val="center"/>
          </w:tcPr>
          <w:p w14:paraId="239135E9" w14:textId="77777777" w:rsidR="00A47EF3" w:rsidRDefault="00A47EF3">
            <w:pPr>
              <w:keepNext/>
              <w:spacing w:before="60" w:after="60"/>
              <w:jc w:val="center"/>
              <w:rPr>
                <w:rFonts w:cs="Arial"/>
                <w:b/>
                <w:sz w:val="20"/>
                <w:szCs w:val="20"/>
              </w:rPr>
            </w:pPr>
            <w:r>
              <w:rPr>
                <w:rFonts w:cs="Arial"/>
                <w:b/>
                <w:sz w:val="20"/>
                <w:szCs w:val="20"/>
              </w:rPr>
              <w:t>Partially Attained Low Risk</w:t>
            </w:r>
          </w:p>
          <w:p w14:paraId="14CDF560" w14:textId="77777777" w:rsidR="00A47EF3" w:rsidRDefault="00A47EF3">
            <w:pPr>
              <w:keepNext/>
              <w:spacing w:before="60" w:after="60"/>
              <w:jc w:val="center"/>
              <w:rPr>
                <w:rFonts w:cs="Arial"/>
                <w:b/>
                <w:sz w:val="20"/>
                <w:szCs w:val="20"/>
              </w:rPr>
            </w:pPr>
            <w:r>
              <w:rPr>
                <w:rFonts w:cs="Arial"/>
                <w:b/>
                <w:sz w:val="20"/>
                <w:szCs w:val="20"/>
              </w:rPr>
              <w:t>(PA Low)</w:t>
            </w:r>
          </w:p>
        </w:tc>
        <w:tc>
          <w:tcPr>
            <w:tcW w:w="1843" w:type="dxa"/>
            <w:vAlign w:val="center"/>
          </w:tcPr>
          <w:p w14:paraId="3C4B3386" w14:textId="77777777" w:rsidR="00A47EF3" w:rsidRDefault="00A47EF3">
            <w:pPr>
              <w:keepNext/>
              <w:spacing w:before="60" w:after="60"/>
              <w:jc w:val="center"/>
              <w:rPr>
                <w:rFonts w:cs="Arial"/>
                <w:b/>
                <w:sz w:val="20"/>
                <w:szCs w:val="20"/>
              </w:rPr>
            </w:pPr>
            <w:r>
              <w:rPr>
                <w:rFonts w:cs="Arial"/>
                <w:b/>
                <w:sz w:val="20"/>
                <w:szCs w:val="20"/>
              </w:rPr>
              <w:t>Partially Attained Moderate Risk</w:t>
            </w:r>
          </w:p>
          <w:p w14:paraId="2C0478BE" w14:textId="77777777" w:rsidR="00A47EF3" w:rsidRDefault="00A47EF3">
            <w:pPr>
              <w:keepNext/>
              <w:spacing w:before="60" w:after="60"/>
              <w:jc w:val="center"/>
              <w:rPr>
                <w:rFonts w:cs="Arial"/>
                <w:b/>
                <w:sz w:val="20"/>
                <w:szCs w:val="20"/>
              </w:rPr>
            </w:pPr>
            <w:r>
              <w:rPr>
                <w:rFonts w:cs="Arial"/>
                <w:b/>
                <w:sz w:val="20"/>
                <w:szCs w:val="20"/>
              </w:rPr>
              <w:t>(PA Moderate)</w:t>
            </w:r>
          </w:p>
        </w:tc>
        <w:tc>
          <w:tcPr>
            <w:tcW w:w="1843" w:type="dxa"/>
            <w:vAlign w:val="center"/>
          </w:tcPr>
          <w:p w14:paraId="4298DB6D" w14:textId="77777777" w:rsidR="00A47EF3" w:rsidRDefault="00A47EF3">
            <w:pPr>
              <w:keepNext/>
              <w:spacing w:before="60" w:after="60"/>
              <w:jc w:val="center"/>
              <w:rPr>
                <w:rFonts w:cs="Arial"/>
                <w:b/>
                <w:sz w:val="20"/>
                <w:szCs w:val="20"/>
              </w:rPr>
            </w:pPr>
            <w:r>
              <w:rPr>
                <w:rFonts w:cs="Arial"/>
                <w:b/>
                <w:sz w:val="20"/>
                <w:szCs w:val="20"/>
              </w:rPr>
              <w:t>Partially Attained High Risk</w:t>
            </w:r>
          </w:p>
          <w:p w14:paraId="7D26CC98" w14:textId="77777777" w:rsidR="00A47EF3" w:rsidRDefault="00A47EF3">
            <w:pPr>
              <w:keepNext/>
              <w:spacing w:before="60" w:after="60"/>
              <w:jc w:val="center"/>
              <w:rPr>
                <w:rFonts w:cs="Arial"/>
                <w:b/>
                <w:sz w:val="20"/>
                <w:szCs w:val="20"/>
              </w:rPr>
            </w:pPr>
            <w:r>
              <w:rPr>
                <w:rFonts w:cs="Arial"/>
                <w:b/>
                <w:sz w:val="20"/>
                <w:szCs w:val="20"/>
              </w:rPr>
              <w:t>(PA High)</w:t>
            </w:r>
          </w:p>
        </w:tc>
        <w:tc>
          <w:tcPr>
            <w:tcW w:w="1843" w:type="dxa"/>
            <w:vAlign w:val="center"/>
          </w:tcPr>
          <w:p w14:paraId="5483E7EA" w14:textId="77777777" w:rsidR="00A47EF3" w:rsidRDefault="00A47EF3">
            <w:pPr>
              <w:keepNext/>
              <w:spacing w:before="60" w:after="60"/>
              <w:jc w:val="center"/>
              <w:rPr>
                <w:rFonts w:cs="Arial"/>
                <w:b/>
                <w:sz w:val="20"/>
                <w:szCs w:val="20"/>
              </w:rPr>
            </w:pPr>
            <w:r>
              <w:rPr>
                <w:rFonts w:cs="Arial"/>
                <w:b/>
                <w:sz w:val="20"/>
                <w:szCs w:val="20"/>
              </w:rPr>
              <w:t>Partially Attained Critical Risk</w:t>
            </w:r>
          </w:p>
          <w:p w14:paraId="6364F038" w14:textId="77777777" w:rsidR="00A47EF3" w:rsidRDefault="00A47EF3">
            <w:pPr>
              <w:keepNext/>
              <w:spacing w:before="60" w:after="60"/>
              <w:jc w:val="center"/>
              <w:rPr>
                <w:rFonts w:cs="Arial"/>
                <w:b/>
                <w:sz w:val="20"/>
                <w:szCs w:val="20"/>
              </w:rPr>
            </w:pPr>
            <w:r>
              <w:rPr>
                <w:rFonts w:cs="Arial"/>
                <w:b/>
                <w:sz w:val="20"/>
                <w:szCs w:val="20"/>
              </w:rPr>
              <w:t>(PA Critical)</w:t>
            </w:r>
          </w:p>
        </w:tc>
      </w:tr>
      <w:tr w:rsidR="00350B3B" w14:paraId="66FC73F0" w14:textId="77777777">
        <w:tc>
          <w:tcPr>
            <w:tcW w:w="1384" w:type="dxa"/>
            <w:vAlign w:val="center"/>
          </w:tcPr>
          <w:p w14:paraId="3C9A42C4" w14:textId="77777777" w:rsidR="00A47EF3" w:rsidRDefault="00A47EF3">
            <w:pPr>
              <w:keepNext/>
              <w:spacing w:before="60" w:after="60"/>
              <w:rPr>
                <w:rFonts w:cs="Arial"/>
                <w:b/>
                <w:sz w:val="20"/>
                <w:szCs w:val="20"/>
              </w:rPr>
            </w:pPr>
            <w:r>
              <w:rPr>
                <w:rFonts w:cs="Arial"/>
                <w:b/>
                <w:sz w:val="20"/>
                <w:szCs w:val="20"/>
              </w:rPr>
              <w:t>Subsection</w:t>
            </w:r>
          </w:p>
        </w:tc>
        <w:tc>
          <w:tcPr>
            <w:tcW w:w="1701" w:type="dxa"/>
            <w:vAlign w:val="center"/>
          </w:tcPr>
          <w:p w14:paraId="05003837" w14:textId="77777777" w:rsidR="00A47EF3" w:rsidRDefault="00A47EF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7955BE" w14:textId="77777777" w:rsidR="00A47EF3" w:rsidRDefault="00A47EF3"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6DDB49F7" w14:textId="77777777" w:rsidR="00A47EF3" w:rsidRDefault="00A47EF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0B170F5" w14:textId="77777777" w:rsidR="00A47EF3" w:rsidRDefault="00A47EF3"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24733F6" w14:textId="77777777" w:rsidR="00A47EF3" w:rsidRDefault="00A47EF3"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00A10664" w14:textId="77777777" w:rsidR="00A47EF3" w:rsidRDefault="00A47EF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C7EC947" w14:textId="77777777" w:rsidR="00A47EF3" w:rsidRDefault="00A47EF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0B3B" w14:paraId="1E3E70B6" w14:textId="77777777">
        <w:tc>
          <w:tcPr>
            <w:tcW w:w="1384" w:type="dxa"/>
            <w:vAlign w:val="center"/>
          </w:tcPr>
          <w:p w14:paraId="7DF8B266" w14:textId="77777777" w:rsidR="00A47EF3" w:rsidRDefault="00A47EF3">
            <w:pPr>
              <w:keepNext/>
              <w:spacing w:before="60" w:after="60"/>
              <w:rPr>
                <w:rFonts w:cs="Arial"/>
                <w:b/>
                <w:sz w:val="20"/>
                <w:szCs w:val="20"/>
              </w:rPr>
            </w:pPr>
            <w:r>
              <w:rPr>
                <w:rFonts w:cs="Arial"/>
                <w:b/>
                <w:sz w:val="20"/>
                <w:szCs w:val="20"/>
              </w:rPr>
              <w:t>Criteria</w:t>
            </w:r>
          </w:p>
        </w:tc>
        <w:tc>
          <w:tcPr>
            <w:tcW w:w="1701" w:type="dxa"/>
            <w:vAlign w:val="center"/>
          </w:tcPr>
          <w:p w14:paraId="48E0E8B1" w14:textId="77777777" w:rsidR="00A47EF3" w:rsidRDefault="00A47EF3">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74BAF08" w14:textId="77777777" w:rsidR="00A47EF3" w:rsidRDefault="00A47EF3"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2D86B2DA" w14:textId="77777777" w:rsidR="00A47EF3" w:rsidRDefault="00A47EF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388333B" w14:textId="77777777" w:rsidR="00A47EF3" w:rsidRDefault="00A47EF3"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B2236B3" w14:textId="77777777" w:rsidR="00A47EF3" w:rsidRDefault="00A47EF3"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2A9949D2" w14:textId="77777777" w:rsidR="00A47EF3" w:rsidRDefault="00A47EF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B1BA21" w14:textId="77777777" w:rsidR="00A47EF3" w:rsidRDefault="00A47EF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76BF19" w14:textId="77777777" w:rsidR="00A47EF3" w:rsidRDefault="00A47EF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0B3B" w14:paraId="23D182FC" w14:textId="77777777">
        <w:tc>
          <w:tcPr>
            <w:tcW w:w="1384" w:type="dxa"/>
            <w:vAlign w:val="center"/>
          </w:tcPr>
          <w:p w14:paraId="528DF8C6" w14:textId="77777777" w:rsidR="00A47EF3" w:rsidRDefault="00A47EF3">
            <w:pPr>
              <w:keepNext/>
              <w:spacing w:before="60" w:after="60"/>
              <w:rPr>
                <w:rFonts w:cs="Arial"/>
                <w:b/>
                <w:sz w:val="20"/>
                <w:szCs w:val="20"/>
              </w:rPr>
            </w:pPr>
            <w:r>
              <w:rPr>
                <w:rFonts w:cs="Arial"/>
                <w:b/>
                <w:sz w:val="20"/>
                <w:szCs w:val="20"/>
              </w:rPr>
              <w:t>Attainment Rating</w:t>
            </w:r>
          </w:p>
        </w:tc>
        <w:tc>
          <w:tcPr>
            <w:tcW w:w="1701" w:type="dxa"/>
            <w:vAlign w:val="center"/>
          </w:tcPr>
          <w:p w14:paraId="2B8DA3D7" w14:textId="77777777" w:rsidR="00A47EF3" w:rsidRDefault="00A47EF3">
            <w:pPr>
              <w:keepNext/>
              <w:spacing w:before="60" w:after="60"/>
              <w:jc w:val="center"/>
              <w:rPr>
                <w:rFonts w:cs="Arial"/>
                <w:b/>
                <w:sz w:val="20"/>
                <w:szCs w:val="20"/>
              </w:rPr>
            </w:pPr>
            <w:r>
              <w:rPr>
                <w:rFonts w:cs="Arial"/>
                <w:b/>
                <w:sz w:val="20"/>
                <w:szCs w:val="20"/>
              </w:rPr>
              <w:t>Unattained Negligible Risk</w:t>
            </w:r>
          </w:p>
          <w:p w14:paraId="73D335C3" w14:textId="77777777" w:rsidR="00A47EF3" w:rsidRDefault="00A47EF3">
            <w:pPr>
              <w:keepNext/>
              <w:spacing w:before="60" w:after="60"/>
              <w:jc w:val="center"/>
              <w:rPr>
                <w:rFonts w:cs="Arial"/>
                <w:b/>
                <w:sz w:val="20"/>
                <w:szCs w:val="20"/>
              </w:rPr>
            </w:pPr>
            <w:r>
              <w:rPr>
                <w:rFonts w:cs="Arial"/>
                <w:b/>
                <w:sz w:val="20"/>
                <w:szCs w:val="20"/>
              </w:rPr>
              <w:t>(UA Negligible)</w:t>
            </w:r>
          </w:p>
        </w:tc>
        <w:tc>
          <w:tcPr>
            <w:tcW w:w="1843" w:type="dxa"/>
            <w:vAlign w:val="center"/>
          </w:tcPr>
          <w:p w14:paraId="08C25EB2" w14:textId="77777777" w:rsidR="00A47EF3" w:rsidRDefault="00A47EF3">
            <w:pPr>
              <w:keepNext/>
              <w:spacing w:before="60" w:after="60"/>
              <w:jc w:val="center"/>
              <w:rPr>
                <w:rFonts w:cs="Arial"/>
                <w:b/>
                <w:sz w:val="20"/>
                <w:szCs w:val="20"/>
              </w:rPr>
            </w:pPr>
            <w:r>
              <w:rPr>
                <w:rFonts w:cs="Arial"/>
                <w:b/>
                <w:sz w:val="20"/>
                <w:szCs w:val="20"/>
              </w:rPr>
              <w:t>Unattained Low Risk</w:t>
            </w:r>
          </w:p>
          <w:p w14:paraId="23B79906" w14:textId="77777777" w:rsidR="00A47EF3" w:rsidRDefault="00A47EF3">
            <w:pPr>
              <w:keepNext/>
              <w:spacing w:before="60" w:after="60"/>
              <w:jc w:val="center"/>
              <w:rPr>
                <w:rFonts w:cs="Arial"/>
                <w:b/>
                <w:sz w:val="20"/>
                <w:szCs w:val="20"/>
              </w:rPr>
            </w:pPr>
            <w:r>
              <w:rPr>
                <w:rFonts w:cs="Arial"/>
                <w:b/>
                <w:sz w:val="20"/>
                <w:szCs w:val="20"/>
              </w:rPr>
              <w:t>(UA Low)</w:t>
            </w:r>
          </w:p>
        </w:tc>
        <w:tc>
          <w:tcPr>
            <w:tcW w:w="1843" w:type="dxa"/>
            <w:vAlign w:val="center"/>
          </w:tcPr>
          <w:p w14:paraId="55764429" w14:textId="77777777" w:rsidR="00A47EF3" w:rsidRDefault="00A47EF3">
            <w:pPr>
              <w:keepNext/>
              <w:spacing w:before="60" w:after="60"/>
              <w:jc w:val="center"/>
              <w:rPr>
                <w:rFonts w:cs="Arial"/>
                <w:b/>
                <w:sz w:val="20"/>
                <w:szCs w:val="20"/>
              </w:rPr>
            </w:pPr>
            <w:r>
              <w:rPr>
                <w:rFonts w:cs="Arial"/>
                <w:b/>
                <w:sz w:val="20"/>
                <w:szCs w:val="20"/>
              </w:rPr>
              <w:t>Unattained Moderate Risk</w:t>
            </w:r>
          </w:p>
          <w:p w14:paraId="3521AF96" w14:textId="77777777" w:rsidR="00A47EF3" w:rsidRDefault="00A47EF3">
            <w:pPr>
              <w:keepNext/>
              <w:spacing w:before="60" w:after="60"/>
              <w:jc w:val="center"/>
              <w:rPr>
                <w:rFonts w:cs="Arial"/>
                <w:b/>
                <w:sz w:val="20"/>
                <w:szCs w:val="20"/>
              </w:rPr>
            </w:pPr>
            <w:r>
              <w:rPr>
                <w:rFonts w:cs="Arial"/>
                <w:b/>
                <w:sz w:val="20"/>
                <w:szCs w:val="20"/>
              </w:rPr>
              <w:t>(UA Moderate)</w:t>
            </w:r>
          </w:p>
        </w:tc>
        <w:tc>
          <w:tcPr>
            <w:tcW w:w="1842" w:type="dxa"/>
            <w:vAlign w:val="center"/>
          </w:tcPr>
          <w:p w14:paraId="6859ED66" w14:textId="77777777" w:rsidR="00A47EF3" w:rsidRDefault="00A47EF3">
            <w:pPr>
              <w:keepNext/>
              <w:spacing w:before="60" w:after="60"/>
              <w:jc w:val="center"/>
              <w:rPr>
                <w:rFonts w:cs="Arial"/>
                <w:b/>
                <w:sz w:val="20"/>
                <w:szCs w:val="20"/>
              </w:rPr>
            </w:pPr>
            <w:r>
              <w:rPr>
                <w:rFonts w:cs="Arial"/>
                <w:b/>
                <w:sz w:val="20"/>
                <w:szCs w:val="20"/>
              </w:rPr>
              <w:t>Unattained High Risk</w:t>
            </w:r>
          </w:p>
          <w:p w14:paraId="5CF54F13" w14:textId="77777777" w:rsidR="00A47EF3" w:rsidRDefault="00A47EF3">
            <w:pPr>
              <w:keepNext/>
              <w:spacing w:before="60" w:after="60"/>
              <w:jc w:val="center"/>
              <w:rPr>
                <w:rFonts w:cs="Arial"/>
                <w:b/>
                <w:sz w:val="20"/>
                <w:szCs w:val="20"/>
              </w:rPr>
            </w:pPr>
            <w:r>
              <w:rPr>
                <w:rFonts w:cs="Arial"/>
                <w:b/>
                <w:sz w:val="20"/>
                <w:szCs w:val="20"/>
              </w:rPr>
              <w:t>(UA High)</w:t>
            </w:r>
          </w:p>
        </w:tc>
        <w:tc>
          <w:tcPr>
            <w:tcW w:w="1843" w:type="dxa"/>
            <w:vAlign w:val="center"/>
          </w:tcPr>
          <w:p w14:paraId="49E770C1" w14:textId="77777777" w:rsidR="00A47EF3" w:rsidRDefault="00A47EF3">
            <w:pPr>
              <w:keepNext/>
              <w:spacing w:before="60" w:after="60"/>
              <w:jc w:val="center"/>
              <w:rPr>
                <w:rFonts w:cs="Arial"/>
                <w:b/>
                <w:sz w:val="20"/>
                <w:szCs w:val="20"/>
              </w:rPr>
            </w:pPr>
            <w:r>
              <w:rPr>
                <w:rFonts w:cs="Arial"/>
                <w:b/>
                <w:sz w:val="20"/>
                <w:szCs w:val="20"/>
              </w:rPr>
              <w:t>Unattained Critical Risk</w:t>
            </w:r>
          </w:p>
          <w:p w14:paraId="4EDD88AF" w14:textId="77777777" w:rsidR="00A47EF3" w:rsidRDefault="00A47EF3">
            <w:pPr>
              <w:keepNext/>
              <w:spacing w:before="60" w:after="60"/>
              <w:jc w:val="center"/>
              <w:rPr>
                <w:rFonts w:cs="Arial"/>
                <w:b/>
                <w:sz w:val="20"/>
                <w:szCs w:val="20"/>
              </w:rPr>
            </w:pPr>
            <w:r>
              <w:rPr>
                <w:rFonts w:cs="Arial"/>
                <w:b/>
                <w:sz w:val="20"/>
                <w:szCs w:val="20"/>
              </w:rPr>
              <w:t>(UA Critical)</w:t>
            </w:r>
          </w:p>
        </w:tc>
      </w:tr>
      <w:tr w:rsidR="00350B3B" w14:paraId="3B643C56" w14:textId="77777777">
        <w:tc>
          <w:tcPr>
            <w:tcW w:w="1384" w:type="dxa"/>
            <w:vAlign w:val="center"/>
          </w:tcPr>
          <w:p w14:paraId="379AB61E" w14:textId="77777777" w:rsidR="00A47EF3" w:rsidRDefault="00A47EF3">
            <w:pPr>
              <w:keepNext/>
              <w:spacing w:before="60" w:after="60"/>
              <w:rPr>
                <w:rFonts w:cs="Arial"/>
                <w:b/>
                <w:sz w:val="20"/>
                <w:szCs w:val="20"/>
              </w:rPr>
            </w:pPr>
            <w:r>
              <w:rPr>
                <w:rFonts w:cs="Arial"/>
                <w:b/>
                <w:sz w:val="20"/>
                <w:szCs w:val="20"/>
              </w:rPr>
              <w:t>Subsection</w:t>
            </w:r>
          </w:p>
        </w:tc>
        <w:tc>
          <w:tcPr>
            <w:tcW w:w="1701" w:type="dxa"/>
            <w:vAlign w:val="center"/>
          </w:tcPr>
          <w:p w14:paraId="45497C0F" w14:textId="77777777" w:rsidR="00A47EF3" w:rsidRDefault="00A47EF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291927" w14:textId="77777777" w:rsidR="00A47EF3" w:rsidRDefault="00A47EF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6B6AE81" w14:textId="77777777" w:rsidR="00A47EF3" w:rsidRDefault="00A47EF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5173B0" w14:textId="77777777" w:rsidR="00A47EF3" w:rsidRDefault="00A47EF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4D00534" w14:textId="77777777" w:rsidR="00A47EF3" w:rsidRDefault="00A47EF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0B3B" w14:paraId="711B1FB9" w14:textId="77777777">
        <w:tc>
          <w:tcPr>
            <w:tcW w:w="1384" w:type="dxa"/>
            <w:vAlign w:val="center"/>
          </w:tcPr>
          <w:p w14:paraId="0F6B7BAC" w14:textId="77777777" w:rsidR="00A47EF3" w:rsidRDefault="00A47EF3">
            <w:pPr>
              <w:spacing w:before="60" w:after="60"/>
              <w:rPr>
                <w:rFonts w:cs="Arial"/>
                <w:b/>
                <w:sz w:val="20"/>
                <w:szCs w:val="20"/>
              </w:rPr>
            </w:pPr>
            <w:r>
              <w:rPr>
                <w:rFonts w:cs="Arial"/>
                <w:b/>
                <w:sz w:val="20"/>
                <w:szCs w:val="20"/>
              </w:rPr>
              <w:t>Criteria</w:t>
            </w:r>
          </w:p>
        </w:tc>
        <w:tc>
          <w:tcPr>
            <w:tcW w:w="1701" w:type="dxa"/>
            <w:vAlign w:val="center"/>
          </w:tcPr>
          <w:p w14:paraId="29743374" w14:textId="77777777" w:rsidR="00A47EF3" w:rsidRDefault="00A47EF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E6A4EE" w14:textId="77777777" w:rsidR="00A47EF3" w:rsidRDefault="00A47EF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0523CB7" w14:textId="77777777" w:rsidR="00A47EF3" w:rsidRDefault="00A47EF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F014CA" w14:textId="77777777" w:rsidR="00A47EF3" w:rsidRDefault="00A47EF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E5A8131" w14:textId="77777777" w:rsidR="00A47EF3" w:rsidRDefault="00A47EF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9CDDD7" w14:textId="77777777" w:rsidR="00A47EF3" w:rsidRDefault="00A47EF3">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4F74EA7" w14:textId="77777777" w:rsidR="00A47EF3" w:rsidRDefault="00A47EF3">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E915CCB" w14:textId="77777777" w:rsidR="00A47EF3" w:rsidRDefault="00A47EF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A1C8F7" w14:textId="77777777" w:rsidR="00A47EF3" w:rsidRDefault="00A47EF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350B3B" w14:paraId="5D901F49" w14:textId="77777777">
        <w:tc>
          <w:tcPr>
            <w:tcW w:w="0" w:type="auto"/>
          </w:tcPr>
          <w:p w14:paraId="0EA770D1" w14:textId="77777777" w:rsidR="00A47EF3" w:rsidRPr="00BE00C7" w:rsidRDefault="00A47EF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9FC789"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B6A2CB"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Audit Evidence</w:t>
            </w:r>
          </w:p>
        </w:tc>
      </w:tr>
      <w:tr w:rsidR="00350B3B" w14:paraId="2F22AA6A" w14:textId="77777777">
        <w:tc>
          <w:tcPr>
            <w:tcW w:w="0" w:type="auto"/>
          </w:tcPr>
          <w:p w14:paraId="7D0D0FAE"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1.1: Pae ora healthy futures</w:t>
            </w:r>
          </w:p>
          <w:p w14:paraId="791F7015" w14:textId="77777777" w:rsidR="00A47EF3" w:rsidRPr="00BE00C7" w:rsidRDefault="00A47EF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61BC8CB" w14:textId="77777777" w:rsidR="00A47EF3" w:rsidRPr="00BE00C7" w:rsidRDefault="00A47EF3" w:rsidP="00BE00C7">
            <w:pPr>
              <w:pStyle w:val="OutcomeDescription"/>
              <w:spacing w:before="120" w:after="120"/>
              <w:rPr>
                <w:rFonts w:cs="Arial"/>
                <w:lang w:eastAsia="en-NZ"/>
              </w:rPr>
            </w:pPr>
          </w:p>
        </w:tc>
        <w:tc>
          <w:tcPr>
            <w:tcW w:w="0" w:type="auto"/>
          </w:tcPr>
          <w:p w14:paraId="32F2F4A1"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2D9F9902"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had developed policies, procedures and processes to embed and enact Te Tiriti o Waitangi in all aspects of its work. Partnerships had been established with local iwi (Waikato Tainui) and specialist Māori Health practitioners (Te Kōhao Health) to support service integration, planning, equity approaches, and support for Māori. A kaumātua from the local marae was available to support and advise if needed.</w:t>
            </w:r>
          </w:p>
          <w:p w14:paraId="5EBDB75E" w14:textId="77777777" w:rsidR="00A47EF3" w:rsidRPr="00BE00C7" w:rsidRDefault="00A47EF3" w:rsidP="00BE00C7">
            <w:pPr>
              <w:pStyle w:val="OutcomeDescription"/>
              <w:spacing w:before="120" w:after="120"/>
              <w:rPr>
                <w:rFonts w:cs="Arial"/>
                <w:lang w:eastAsia="en-NZ"/>
              </w:rPr>
            </w:pPr>
            <w:r w:rsidRPr="00BE00C7">
              <w:rPr>
                <w:rFonts w:cs="Arial"/>
                <w:lang w:eastAsia="en-NZ"/>
              </w:rPr>
              <w:t>A Māori health plan had been developed with input from cultural advisers, and this was being used for residents who identify as Māori. The plan documented care requirements for residents who identify as Māori to ensure that culturally appropriate services could be delivered. Te Whare Tapa Whā model of care was in use by the service for Māori residents. Residents had access to traditional Māori health practitioners. Residents and whānau interviewed reported that staff respected their right to mana motuhake (self-determination), and they felt culturally safe.</w:t>
            </w:r>
          </w:p>
          <w:p w14:paraId="2F308297"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The service supported increasing Māori capacity by employing more Māori staff members across differing levels of the organisation, and </w:t>
            </w:r>
            <w:r w:rsidRPr="00BE00C7">
              <w:rPr>
                <w:rFonts w:cs="Arial"/>
                <w:lang w:eastAsia="en-NZ"/>
              </w:rPr>
              <w:lastRenderedPageBreak/>
              <w:t>this is outlined in its organisational planning and policy documentation. Ethnicity data was being gathered when staff were employed, and this data was analysed at management level. Staff who identified as Māori were employed at Eastcare at the time of audit.</w:t>
            </w:r>
          </w:p>
          <w:p w14:paraId="730EB4D7" w14:textId="77777777" w:rsidR="00A47EF3" w:rsidRPr="00BE00C7" w:rsidRDefault="00A47EF3" w:rsidP="00BE00C7">
            <w:pPr>
              <w:pStyle w:val="OutcomeDescription"/>
              <w:spacing w:before="120" w:after="120"/>
              <w:rPr>
                <w:rFonts w:cs="Arial"/>
                <w:lang w:eastAsia="en-NZ"/>
              </w:rPr>
            </w:pPr>
            <w:r w:rsidRPr="00BE00C7">
              <w:rPr>
                <w:rFonts w:cs="Arial"/>
                <w:lang w:eastAsia="en-NZ"/>
              </w:rPr>
              <w:t>Training on culturally and spiritually specific care needs for people from Māori communities was part of the Eastcare training programme, and this had been delivered. The training was geared to assist staff to understand the key elements of service provision for Māori, and in providing equity in the provision of care services.</w:t>
            </w:r>
          </w:p>
          <w:p w14:paraId="163CA215" w14:textId="77777777" w:rsidR="00A47EF3" w:rsidRPr="00BE00C7" w:rsidRDefault="00A47EF3" w:rsidP="00BE00C7">
            <w:pPr>
              <w:pStyle w:val="OutcomeDescription"/>
              <w:spacing w:before="120" w:after="120"/>
              <w:rPr>
                <w:rFonts w:cs="Arial"/>
                <w:lang w:eastAsia="en-NZ"/>
              </w:rPr>
            </w:pPr>
          </w:p>
        </w:tc>
      </w:tr>
      <w:tr w:rsidR="00350B3B" w14:paraId="03A50D34" w14:textId="77777777">
        <w:tc>
          <w:tcPr>
            <w:tcW w:w="0" w:type="auto"/>
          </w:tcPr>
          <w:p w14:paraId="5FF0737B"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68B20C2"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2747B9B" w14:textId="77777777" w:rsidR="00A47EF3" w:rsidRPr="00BE00C7" w:rsidRDefault="00A47EF3" w:rsidP="00BE00C7">
            <w:pPr>
              <w:pStyle w:val="OutcomeDescription"/>
              <w:spacing w:before="120" w:after="120"/>
              <w:rPr>
                <w:rFonts w:cs="Arial"/>
                <w:lang w:eastAsia="en-NZ"/>
              </w:rPr>
            </w:pPr>
          </w:p>
        </w:tc>
        <w:tc>
          <w:tcPr>
            <w:tcW w:w="0" w:type="auto"/>
          </w:tcPr>
          <w:p w14:paraId="09B6CDF1"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450747DB" w14:textId="77777777" w:rsidR="00A47EF3" w:rsidRPr="00BE00C7" w:rsidRDefault="00A47EF3" w:rsidP="00BE00C7">
            <w:pPr>
              <w:pStyle w:val="OutcomeDescription"/>
              <w:spacing w:before="120" w:after="120"/>
              <w:rPr>
                <w:rFonts w:cs="Arial"/>
                <w:lang w:eastAsia="en-NZ"/>
              </w:rPr>
            </w:pPr>
            <w:r w:rsidRPr="00BE00C7">
              <w:rPr>
                <w:rFonts w:cs="Arial"/>
                <w:lang w:eastAsia="en-NZ"/>
              </w:rPr>
              <w:t>The manager at Eastcare understood the equity issues faced by Pacific peoples and can access guidance from people within the organisation around appropriate care and service for people from Pacific communities. There were no residents in the service who identified with a Pacific community, but there were processes and models of care available to the service should residents from Pacific communities be admitted.</w:t>
            </w:r>
          </w:p>
          <w:p w14:paraId="435C63F7" w14:textId="77777777" w:rsidR="00A47EF3" w:rsidRPr="00BE00C7" w:rsidRDefault="00A47EF3" w:rsidP="00BE00C7">
            <w:pPr>
              <w:pStyle w:val="OutcomeDescription"/>
              <w:spacing w:before="120" w:after="120"/>
              <w:rPr>
                <w:rFonts w:cs="Arial"/>
                <w:lang w:eastAsia="en-NZ"/>
              </w:rPr>
            </w:pPr>
            <w:r w:rsidRPr="00BE00C7">
              <w:rPr>
                <w:rFonts w:cs="Arial"/>
                <w:lang w:eastAsia="en-NZ"/>
              </w:rPr>
              <w:t>A Pacific peoples’ health plan had been developed with input from cultural advisers. The plan documents care requirements for Pacific peoples to ensure that culturally appropriate services can be delivered. The Fonofale model of care was available for use by the service for residents from Pacific communities who might be admitted. Eastcare has access to local Pacific religious communities that could provide support for the facility, as well as from Health New Zealand – Te Whatu Ora.</w:t>
            </w:r>
          </w:p>
          <w:p w14:paraId="4A73D88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The service supports increasing capacity by employing more staff members who align with Pacific communities across differing levels of the organisation. This was outlined in its organisational planning and in policy documentation. Ethnicity data was gathered when staff were employed, and this data was being analysed at a management level. There were staff who identified with a Pacific community in the </w:t>
            </w:r>
            <w:r w:rsidRPr="00BE00C7">
              <w:rPr>
                <w:rFonts w:cs="Arial"/>
                <w:lang w:eastAsia="en-NZ"/>
              </w:rPr>
              <w:lastRenderedPageBreak/>
              <w:t>service at the time of audit, some in leadership/educational positions. They could be consulted should this be required in the future.</w:t>
            </w:r>
          </w:p>
          <w:p w14:paraId="59470FDB" w14:textId="77777777" w:rsidR="00A47EF3" w:rsidRPr="00BE00C7" w:rsidRDefault="00A47EF3" w:rsidP="00BE00C7">
            <w:pPr>
              <w:pStyle w:val="OutcomeDescription"/>
              <w:spacing w:before="120" w:after="120"/>
              <w:rPr>
                <w:rFonts w:cs="Arial"/>
                <w:lang w:eastAsia="en-NZ"/>
              </w:rPr>
            </w:pPr>
            <w:r w:rsidRPr="00BE00C7">
              <w:rPr>
                <w:rFonts w:cs="Arial"/>
                <w:lang w:eastAsia="en-NZ"/>
              </w:rPr>
              <w:t>Training on culturally and spiritually specific care needs for people from Pacific communities was part of the Eastcare training programme, and this had been delivered. The training was geared to assist staff to understand the key elements of service provision for Pacific peoples, and in providing equity in the provision of care services.</w:t>
            </w:r>
          </w:p>
          <w:p w14:paraId="163829B7" w14:textId="77777777" w:rsidR="00A47EF3" w:rsidRPr="00BE00C7" w:rsidRDefault="00A47EF3" w:rsidP="00BE00C7">
            <w:pPr>
              <w:pStyle w:val="OutcomeDescription"/>
              <w:spacing w:before="120" w:after="120"/>
              <w:rPr>
                <w:rFonts w:cs="Arial"/>
                <w:lang w:eastAsia="en-NZ"/>
              </w:rPr>
            </w:pPr>
          </w:p>
        </w:tc>
      </w:tr>
      <w:tr w:rsidR="00350B3B" w14:paraId="4F70D4C1" w14:textId="77777777">
        <w:tc>
          <w:tcPr>
            <w:tcW w:w="0" w:type="auto"/>
          </w:tcPr>
          <w:p w14:paraId="6DF82E73"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51AD235"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0FF32C4" w14:textId="77777777" w:rsidR="00A47EF3" w:rsidRPr="00BE00C7" w:rsidRDefault="00A47EF3" w:rsidP="00BE00C7">
            <w:pPr>
              <w:pStyle w:val="OutcomeDescription"/>
              <w:spacing w:before="120" w:after="120"/>
              <w:rPr>
                <w:rFonts w:cs="Arial"/>
                <w:lang w:eastAsia="en-NZ"/>
              </w:rPr>
            </w:pPr>
          </w:p>
        </w:tc>
        <w:tc>
          <w:tcPr>
            <w:tcW w:w="0" w:type="auto"/>
          </w:tcPr>
          <w:p w14:paraId="694B582D"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0A82A16C" w14:textId="77777777" w:rsidR="00A47EF3" w:rsidRPr="00BE00C7" w:rsidRDefault="00A47EF3" w:rsidP="00BE00C7">
            <w:pPr>
              <w:pStyle w:val="OutcomeDescription"/>
              <w:spacing w:before="120" w:after="120"/>
              <w:rPr>
                <w:rFonts w:cs="Arial"/>
                <w:lang w:eastAsia="en-NZ"/>
              </w:rPr>
            </w:pPr>
            <w:r w:rsidRPr="00BE00C7">
              <w:rPr>
                <w:rFonts w:cs="Arial"/>
                <w:lang w:eastAsia="en-NZ"/>
              </w:rPr>
              <w:t>The Code of Health and Disability Services Consumers’ Rights (the Code) was prominently displayed in te reo Māori, New Zealand Sign Language (NZSL), and English, with brochures available at the front entrance in both languages and in large print. Brochures detailing the Nationwide Health and Disability Advocacy Service (advocacy service) were also positioned within the front entrance area. Staff were knowledgeable regarding access to the Code in additional languages if required.</w:t>
            </w:r>
          </w:p>
          <w:p w14:paraId="5077755D" w14:textId="77777777" w:rsidR="00A47EF3" w:rsidRPr="00BE00C7" w:rsidRDefault="00A47EF3" w:rsidP="00BE00C7">
            <w:pPr>
              <w:pStyle w:val="OutcomeDescription"/>
              <w:spacing w:before="120" w:after="120"/>
              <w:rPr>
                <w:rFonts w:cs="Arial"/>
                <w:lang w:eastAsia="en-NZ"/>
              </w:rPr>
            </w:pPr>
            <w:r w:rsidRPr="00BE00C7">
              <w:rPr>
                <w:rFonts w:cs="Arial"/>
                <w:lang w:eastAsia="en-NZ"/>
              </w:rPr>
              <w:t>Interviews with staff indicated a thorough understanding of the Code's requirements and the advocacy service, and observed interactions demonstrated support for residents in accordance with their preferences. Furthermore, whānau and allied service providers confirmed that staff consistently exhibited respectful and considerate conduct towards residents’ rights.</w:t>
            </w:r>
          </w:p>
          <w:p w14:paraId="11DE556B"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had a range of cultural diversity in their staff mix, and staff can assist if interpreter assistance is required, including in te reo Māori. Eastcare also had access to external interpreter services and cultural advisors/advocates if required. Relationships had been established with Te Kōhau Health and the local Waikato Tainui iwi. Seven staff employed at Eastcare identified as Māori. A kaumātua assisted at all levels of the facility's operations to ensure more equitable service for Māori was provided. Eastcare recognised mana motuhake.</w:t>
            </w:r>
          </w:p>
          <w:p w14:paraId="197F9B2D" w14:textId="77777777" w:rsidR="00A47EF3" w:rsidRPr="00BE00C7" w:rsidRDefault="00A47EF3" w:rsidP="00BE00C7">
            <w:pPr>
              <w:pStyle w:val="OutcomeDescription"/>
              <w:spacing w:before="120" w:after="120"/>
              <w:rPr>
                <w:rFonts w:cs="Arial"/>
                <w:lang w:eastAsia="en-NZ"/>
              </w:rPr>
            </w:pPr>
          </w:p>
        </w:tc>
      </w:tr>
      <w:tr w:rsidR="00350B3B" w14:paraId="6FF8293D" w14:textId="77777777">
        <w:tc>
          <w:tcPr>
            <w:tcW w:w="0" w:type="auto"/>
          </w:tcPr>
          <w:p w14:paraId="369ECDED"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54EC076"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93A2DA8" w14:textId="77777777" w:rsidR="00A47EF3" w:rsidRPr="00BE00C7" w:rsidRDefault="00A47EF3" w:rsidP="00BE00C7">
            <w:pPr>
              <w:pStyle w:val="OutcomeDescription"/>
              <w:spacing w:before="120" w:after="120"/>
              <w:rPr>
                <w:rFonts w:cs="Arial"/>
                <w:lang w:eastAsia="en-NZ"/>
              </w:rPr>
            </w:pPr>
          </w:p>
        </w:tc>
        <w:tc>
          <w:tcPr>
            <w:tcW w:w="0" w:type="auto"/>
          </w:tcPr>
          <w:p w14:paraId="07F6681E"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1304F176"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provided services to residents that were inclusive and respectful. Residents and their whānau, including those with disabilities, confirmed that services upheld dignity, privacy, identity, and individual choices.</w:t>
            </w:r>
          </w:p>
          <w:p w14:paraId="3FAFF5F0" w14:textId="77777777" w:rsidR="00A47EF3" w:rsidRPr="00BE00C7" w:rsidRDefault="00A47EF3" w:rsidP="00BE00C7">
            <w:pPr>
              <w:pStyle w:val="OutcomeDescription"/>
              <w:spacing w:before="120" w:after="120"/>
              <w:rPr>
                <w:rFonts w:cs="Arial"/>
                <w:lang w:eastAsia="en-NZ"/>
              </w:rPr>
            </w:pPr>
            <w:r w:rsidRPr="00BE00C7">
              <w:rPr>
                <w:rFonts w:cs="Arial"/>
                <w:lang w:eastAsia="en-NZ"/>
              </w:rPr>
              <w:t>Care staff understood what Te Tiriti o Waitangi meant to their practice, with te reo Māori and tikanga Māori being promoted.</w:t>
            </w:r>
          </w:p>
          <w:p w14:paraId="5C7AC942" w14:textId="77777777" w:rsidR="00A47EF3" w:rsidRPr="00BE00C7" w:rsidRDefault="00A47EF3" w:rsidP="00BE00C7">
            <w:pPr>
              <w:pStyle w:val="OutcomeDescription"/>
              <w:spacing w:before="120" w:after="120"/>
              <w:rPr>
                <w:rFonts w:cs="Arial"/>
                <w:lang w:eastAsia="en-NZ"/>
              </w:rPr>
            </w:pPr>
            <w:r w:rsidRPr="00BE00C7">
              <w:rPr>
                <w:rFonts w:cs="Arial"/>
                <w:lang w:eastAsia="en-NZ"/>
              </w:rPr>
              <w:t>All staff at Eastcare received training in Te Tiriti o Waitangi and cultural safety. Staff could learn and speak te reo Māori, supported by Māori colleagues, residents, and the facility's kaumātua. Care plans for Māori residents recognised their cultural identity and uniqueness.</w:t>
            </w:r>
          </w:p>
          <w:p w14:paraId="6D87D758" w14:textId="77777777" w:rsidR="00A47EF3" w:rsidRPr="00BE00C7" w:rsidRDefault="00A47EF3" w:rsidP="00BE00C7">
            <w:pPr>
              <w:pStyle w:val="OutcomeDescription"/>
              <w:spacing w:before="120" w:after="120"/>
              <w:rPr>
                <w:rFonts w:cs="Arial"/>
                <w:lang w:eastAsia="en-NZ"/>
              </w:rPr>
            </w:pPr>
            <w:r w:rsidRPr="00BE00C7">
              <w:rPr>
                <w:rFonts w:cs="Arial"/>
                <w:lang w:eastAsia="en-NZ"/>
              </w:rPr>
              <w:t>Staff demonstrated awareness of residents’ advance directives and actively promoted their independence. Residents in the secure dementia care units had documentation in place evidencing an activated Enduring Power of Attorney (EPOA) or court-appointed welfare guardianship. Support was provided for residents to establish advance care plans. Residents confirmed they were enabled to pursue activities meaningful to them, and this was evidenced during the audit.</w:t>
            </w:r>
          </w:p>
          <w:p w14:paraId="0F5D3A2A" w14:textId="77777777" w:rsidR="00A47EF3" w:rsidRPr="00BE00C7" w:rsidRDefault="00A47EF3" w:rsidP="00BE00C7">
            <w:pPr>
              <w:pStyle w:val="OutcomeDescription"/>
              <w:spacing w:before="120" w:after="120"/>
              <w:rPr>
                <w:rFonts w:cs="Arial"/>
                <w:lang w:eastAsia="en-NZ"/>
              </w:rPr>
            </w:pPr>
            <w:r w:rsidRPr="00BE00C7">
              <w:rPr>
                <w:rFonts w:cs="Arial"/>
                <w:lang w:eastAsia="en-NZ"/>
              </w:rPr>
              <w:t>During the audit, staff consistently ensured the privacy of all residents, each of whom was accommodated in a private room. Eastcare appropriately addressed the needs of tāngata whaikaha and facilitated their engagement in te ao Māori. Training covered the aging process, diversity, and inclusion, and incorporated specific instructions on support for individuals with disabilities.</w:t>
            </w:r>
          </w:p>
          <w:p w14:paraId="068D2604" w14:textId="77777777" w:rsidR="00A47EF3" w:rsidRPr="00BE00C7" w:rsidRDefault="00A47EF3" w:rsidP="00BE00C7">
            <w:pPr>
              <w:pStyle w:val="OutcomeDescription"/>
              <w:spacing w:before="120" w:after="120"/>
              <w:rPr>
                <w:rFonts w:cs="Arial"/>
                <w:lang w:eastAsia="en-NZ"/>
              </w:rPr>
            </w:pPr>
          </w:p>
        </w:tc>
      </w:tr>
      <w:tr w:rsidR="00350B3B" w14:paraId="06F19785" w14:textId="77777777">
        <w:tc>
          <w:tcPr>
            <w:tcW w:w="0" w:type="auto"/>
          </w:tcPr>
          <w:p w14:paraId="1E52F56F"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1.5: I am protected from abuse</w:t>
            </w:r>
          </w:p>
          <w:p w14:paraId="6F9E68EE"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B2C68D9" w14:textId="77777777" w:rsidR="00A47EF3" w:rsidRPr="00BE00C7" w:rsidRDefault="00A47EF3" w:rsidP="00BE00C7">
            <w:pPr>
              <w:pStyle w:val="OutcomeDescription"/>
              <w:spacing w:before="120" w:after="120"/>
              <w:rPr>
                <w:rFonts w:cs="Arial"/>
                <w:lang w:eastAsia="en-NZ"/>
              </w:rPr>
            </w:pPr>
          </w:p>
        </w:tc>
        <w:tc>
          <w:tcPr>
            <w:tcW w:w="0" w:type="auto"/>
          </w:tcPr>
          <w:p w14:paraId="61BF265F"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7D2FE6AC"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conducted reference checking and police vetting during recruitment of staff. Policies safeguarded against discrimination, exploitation, abuse, and neglect, and staff followed a clear code of conduct. Employees understood policies related to abuse and neglect, and specific measures were being taken to prevent institutional and systemic racism. Residents felt their property and finances were respected, and professional boundaries were upheld.</w:t>
            </w:r>
          </w:p>
          <w:p w14:paraId="31B13E5C"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Holistic models of health were being promoted at Eastcare. Care models in use encompassed an individualised approach that ensured </w:t>
            </w:r>
            <w:r w:rsidRPr="00BE00C7">
              <w:rPr>
                <w:rFonts w:cs="Arial"/>
                <w:lang w:eastAsia="en-NZ"/>
              </w:rPr>
              <w:lastRenderedPageBreak/>
              <w:t>the best outcomes for all; there were specific models of care relevant to Māori and Pacific peoples. Residents who identified as Māori had their specific cultural needs and preferences addressed in their care plan. Nine residents and seven whānau interviewed expressed satisfaction with the care services being provided at Eastcare.</w:t>
            </w:r>
          </w:p>
          <w:p w14:paraId="77B21C38" w14:textId="77777777" w:rsidR="00A47EF3" w:rsidRPr="00BE00C7" w:rsidRDefault="00A47EF3" w:rsidP="00BE00C7">
            <w:pPr>
              <w:pStyle w:val="OutcomeDescription"/>
              <w:spacing w:before="120" w:after="120"/>
              <w:rPr>
                <w:rFonts w:cs="Arial"/>
                <w:lang w:eastAsia="en-NZ"/>
              </w:rPr>
            </w:pPr>
          </w:p>
        </w:tc>
      </w:tr>
      <w:tr w:rsidR="00350B3B" w14:paraId="47EBD1B5" w14:textId="77777777">
        <w:tc>
          <w:tcPr>
            <w:tcW w:w="0" w:type="auto"/>
          </w:tcPr>
          <w:p w14:paraId="7D4E7080"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53EDEA1"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7EF9158" w14:textId="77777777" w:rsidR="00A47EF3" w:rsidRPr="00BE00C7" w:rsidRDefault="00A47EF3" w:rsidP="00BE00C7">
            <w:pPr>
              <w:pStyle w:val="OutcomeDescription"/>
              <w:spacing w:before="120" w:after="120"/>
              <w:rPr>
                <w:rFonts w:cs="Arial"/>
                <w:lang w:eastAsia="en-NZ"/>
              </w:rPr>
            </w:pPr>
          </w:p>
        </w:tc>
        <w:tc>
          <w:tcPr>
            <w:tcW w:w="0" w:type="auto"/>
          </w:tcPr>
          <w:p w14:paraId="5CA7A20D"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2600B8B2"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and their whānau reported that communication was open and effective at Eastcare, and they felt listened to. Information was provided in an easy-to-understand format, in English and te reo Māori. Te reo Māori was incorporated into day-to-day greetings, documentation, art, and signage throughout the facility. Interpreter services were available if needed, and staff knew how to access these services if required. Resident meetings at Eastcare were being held every month. In addition to regular contact with whānau by email and telephone, the facility manager (FM), clinical nurse manager (CNM), and registered nurse (RN) maintain an open-door policy. A weekly newsletter keeps residents and whānau informed. Notices on the notice boards advise when the next resident meetings will be held.</w:t>
            </w:r>
          </w:p>
          <w:p w14:paraId="04BA54B1" w14:textId="77777777" w:rsidR="00A47EF3" w:rsidRPr="00BE00C7" w:rsidRDefault="00A47EF3" w:rsidP="00BE00C7">
            <w:pPr>
              <w:pStyle w:val="OutcomeDescription"/>
              <w:spacing w:before="120" w:after="120"/>
              <w:rPr>
                <w:rFonts w:cs="Arial"/>
                <w:lang w:eastAsia="en-NZ"/>
              </w:rPr>
            </w:pPr>
            <w:r w:rsidRPr="00BE00C7">
              <w:rPr>
                <w:rFonts w:cs="Arial"/>
                <w:lang w:eastAsia="en-NZ"/>
              </w:rPr>
              <w:t>Evidence was sighted of residents communicating with all staff, including the FM. Residents whānau and staff reported that the FM responded promptly to any suggestions or concerns.</w:t>
            </w:r>
          </w:p>
          <w:p w14:paraId="7B4FBD79" w14:textId="77777777" w:rsidR="00A47EF3" w:rsidRPr="00BE00C7" w:rsidRDefault="00A47EF3"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Incident reports evidenced that whānau were informed of any events/incidents. Documentation supported evidence of ongoing contact with whānau, EPOAs, or the court-appointed welfare guardians. Evidence was sighted of referrals and the involvement of other agencies involved in the residents’ care when needed.</w:t>
            </w:r>
          </w:p>
          <w:p w14:paraId="3D24CD7C" w14:textId="77777777" w:rsidR="00A47EF3" w:rsidRPr="00BE00C7" w:rsidRDefault="00A47EF3" w:rsidP="00BE00C7">
            <w:pPr>
              <w:pStyle w:val="OutcomeDescription"/>
              <w:spacing w:before="120" w:after="120"/>
              <w:rPr>
                <w:rFonts w:cs="Arial"/>
                <w:lang w:eastAsia="en-NZ"/>
              </w:rPr>
            </w:pPr>
          </w:p>
        </w:tc>
      </w:tr>
      <w:tr w:rsidR="00350B3B" w14:paraId="5A7DA11C" w14:textId="77777777">
        <w:tc>
          <w:tcPr>
            <w:tcW w:w="0" w:type="auto"/>
          </w:tcPr>
          <w:p w14:paraId="3CD8E76B"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1.7: I am informed and able to make choices</w:t>
            </w:r>
          </w:p>
          <w:p w14:paraId="6832C577"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ECE5F03" w14:textId="77777777" w:rsidR="00A47EF3" w:rsidRPr="00BE00C7" w:rsidRDefault="00A47EF3" w:rsidP="00BE00C7">
            <w:pPr>
              <w:pStyle w:val="OutcomeDescription"/>
              <w:spacing w:before="120" w:after="120"/>
              <w:rPr>
                <w:rFonts w:cs="Arial"/>
                <w:lang w:eastAsia="en-NZ"/>
              </w:rPr>
            </w:pPr>
          </w:p>
        </w:tc>
        <w:tc>
          <w:tcPr>
            <w:tcW w:w="0" w:type="auto"/>
          </w:tcPr>
          <w:p w14:paraId="4E1FEECC"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18F9ED"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Residents at Eastcare and/or their legal representatives were provided with the information necessary to make informed decisions. They felt empowered to actively participate in decision-making. The </w:t>
            </w:r>
            <w:r w:rsidRPr="00BE00C7">
              <w:rPr>
                <w:rFonts w:cs="Arial"/>
                <w:lang w:eastAsia="en-NZ"/>
              </w:rPr>
              <w:lastRenderedPageBreak/>
              <w:t>nursing and care staff interviewed understood the principles and practice of informed consent.</w:t>
            </w:r>
          </w:p>
          <w:p w14:paraId="6B38CF90" w14:textId="77777777" w:rsidR="00A47EF3" w:rsidRPr="00BE00C7" w:rsidRDefault="00A47EF3" w:rsidP="00BE00C7">
            <w:pPr>
              <w:pStyle w:val="OutcomeDescription"/>
              <w:spacing w:before="120" w:after="120"/>
              <w:rPr>
                <w:rFonts w:cs="Arial"/>
                <w:lang w:eastAsia="en-NZ"/>
              </w:rPr>
            </w:pPr>
            <w:r w:rsidRPr="00BE00C7">
              <w:rPr>
                <w:rFonts w:cs="Arial"/>
                <w:lang w:eastAsia="en-NZ"/>
              </w:rPr>
              <w:t>Advance care planning, establishing, and documenting of EPOA or welfare guardian information and processes for residents unable to consent were documented, as relevant, in the resident’s record, including for residents in the secure dementia care units.</w:t>
            </w:r>
          </w:p>
          <w:p w14:paraId="7D7FB8AD" w14:textId="77777777" w:rsidR="00A47EF3" w:rsidRPr="00BE00C7" w:rsidRDefault="00A47EF3" w:rsidP="00BE00C7">
            <w:pPr>
              <w:pStyle w:val="OutcomeDescription"/>
              <w:spacing w:before="120" w:after="120"/>
              <w:rPr>
                <w:rFonts w:cs="Arial"/>
                <w:lang w:eastAsia="en-NZ"/>
              </w:rPr>
            </w:pPr>
            <w:r w:rsidRPr="00BE00C7">
              <w:rPr>
                <w:rFonts w:cs="Arial"/>
                <w:lang w:eastAsia="en-NZ"/>
              </w:rPr>
              <w:t>Staff who identified as Māori assisted other staff to support safe cultural practice. Evidence was sighted of supported decision-making, being fully informed, the opportunity to choose, and cultural support when a resident had a choice of treatment options available to them. A kaumātua from the local marae was available to support and advise if needed.</w:t>
            </w:r>
          </w:p>
          <w:p w14:paraId="27DCBE4F" w14:textId="77777777" w:rsidR="00A47EF3" w:rsidRPr="00BE00C7" w:rsidRDefault="00A47EF3" w:rsidP="00BE00C7">
            <w:pPr>
              <w:pStyle w:val="OutcomeDescription"/>
              <w:spacing w:before="120" w:after="120"/>
              <w:rPr>
                <w:rFonts w:cs="Arial"/>
                <w:lang w:eastAsia="en-NZ"/>
              </w:rPr>
            </w:pPr>
          </w:p>
        </w:tc>
      </w:tr>
      <w:tr w:rsidR="00350B3B" w14:paraId="67978B76" w14:textId="77777777">
        <w:tc>
          <w:tcPr>
            <w:tcW w:w="0" w:type="auto"/>
          </w:tcPr>
          <w:p w14:paraId="209A82CB"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98747E"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DBA024F" w14:textId="77777777" w:rsidR="00A47EF3" w:rsidRPr="00BE00C7" w:rsidRDefault="00A47EF3" w:rsidP="00BE00C7">
            <w:pPr>
              <w:pStyle w:val="OutcomeDescription"/>
              <w:spacing w:before="120" w:after="120"/>
              <w:rPr>
                <w:rFonts w:cs="Arial"/>
                <w:lang w:eastAsia="en-NZ"/>
              </w:rPr>
            </w:pPr>
          </w:p>
        </w:tc>
        <w:tc>
          <w:tcPr>
            <w:tcW w:w="0" w:type="auto"/>
          </w:tcPr>
          <w:p w14:paraId="33F73FD5"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2F588B86" w14:textId="77777777" w:rsidR="00A47EF3" w:rsidRPr="00BE00C7" w:rsidRDefault="00A47EF3"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The process met the requirements of the Code. Residents and whānau interviewed understood their right to make a complaint and knew how to do so.</w:t>
            </w:r>
          </w:p>
          <w:p w14:paraId="72ED4F8B" w14:textId="77777777" w:rsidR="00A47EF3" w:rsidRPr="00BE00C7" w:rsidRDefault="00A47EF3"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In all cases, from the documentation sighted, improvements had been made as a result of the investigation.</w:t>
            </w:r>
          </w:p>
          <w:p w14:paraId="15118CB9" w14:textId="77777777" w:rsidR="00A47EF3" w:rsidRPr="00BE00C7" w:rsidRDefault="00A47EF3" w:rsidP="00BE00C7">
            <w:pPr>
              <w:pStyle w:val="OutcomeDescription"/>
              <w:spacing w:before="120" w:after="120"/>
              <w:rPr>
                <w:rFonts w:cs="Arial"/>
                <w:lang w:eastAsia="en-NZ"/>
              </w:rPr>
            </w:pPr>
            <w:r w:rsidRPr="00BE00C7">
              <w:rPr>
                <w:rFonts w:cs="Arial"/>
                <w:lang w:eastAsia="en-NZ"/>
              </w:rPr>
              <w:t>The service assured the process works equitably for Māori by offering access to Māori advocates/support people (when required), through the use of te reo Māori (if required), and the use of tikanga appropriate to the complainant.</w:t>
            </w:r>
          </w:p>
          <w:p w14:paraId="5D50472F" w14:textId="77777777" w:rsidR="00A47EF3" w:rsidRPr="00BE00C7" w:rsidRDefault="00A47EF3" w:rsidP="00BE00C7">
            <w:pPr>
              <w:pStyle w:val="OutcomeDescription"/>
              <w:spacing w:before="120" w:after="120"/>
              <w:rPr>
                <w:rFonts w:cs="Arial"/>
                <w:lang w:eastAsia="en-NZ"/>
              </w:rPr>
            </w:pPr>
            <w:r w:rsidRPr="00BE00C7">
              <w:rPr>
                <w:rFonts w:cs="Arial"/>
                <w:lang w:eastAsia="en-NZ"/>
              </w:rPr>
              <w:t>Two complaints from the whānau of previous residents were received by the Office of the Health and Disability Commissioner (HDC), both in June 2025. Requests from the HDC for more information had been provided by the FM in a timely manner; both remained open at the time of audit. There have been no complaints received from any other external source since the last audit.</w:t>
            </w:r>
          </w:p>
          <w:p w14:paraId="6BC7B5D5" w14:textId="77777777" w:rsidR="00A47EF3" w:rsidRPr="00BE00C7" w:rsidRDefault="00A47EF3" w:rsidP="00BE00C7">
            <w:pPr>
              <w:pStyle w:val="OutcomeDescription"/>
              <w:spacing w:before="120" w:after="120"/>
              <w:rPr>
                <w:rFonts w:cs="Arial"/>
                <w:lang w:eastAsia="en-NZ"/>
              </w:rPr>
            </w:pPr>
          </w:p>
        </w:tc>
      </w:tr>
      <w:tr w:rsidR="00350B3B" w14:paraId="34DA1579" w14:textId="77777777">
        <w:tc>
          <w:tcPr>
            <w:tcW w:w="0" w:type="auto"/>
          </w:tcPr>
          <w:p w14:paraId="3BCE1B0A"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2.1: Governance</w:t>
            </w:r>
          </w:p>
          <w:p w14:paraId="6CF01B0F"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24AF2C7" w14:textId="77777777" w:rsidR="00A47EF3" w:rsidRPr="00BE00C7" w:rsidRDefault="00A47EF3" w:rsidP="00BE00C7">
            <w:pPr>
              <w:pStyle w:val="OutcomeDescription"/>
              <w:spacing w:before="120" w:after="120"/>
              <w:rPr>
                <w:rFonts w:cs="Arial"/>
                <w:lang w:eastAsia="en-NZ"/>
              </w:rPr>
            </w:pPr>
          </w:p>
        </w:tc>
        <w:tc>
          <w:tcPr>
            <w:tcW w:w="0" w:type="auto"/>
          </w:tcPr>
          <w:p w14:paraId="20509E87"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4FDE598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directors, general manager (GM), and FM of the service assume accountability for delivering a high-quality service to the resident communities served. There was meaningful Māori representation available to support governance. One of the directors and the GM had undertaken education related to Te Tiriti o Waitangi, health equity, and cultural safety. Compliance with legislative, contractual and regulatory requirements is overseen by the directors and the GM, with external advice sought as required. A commitment to the quality and risk management system was confirmed by interviews and in documentation sighted. The GM stated they felt well informed on progress and risks.</w:t>
            </w:r>
          </w:p>
          <w:p w14:paraId="201DDB53" w14:textId="77777777" w:rsidR="00A47EF3" w:rsidRPr="00BE00C7" w:rsidRDefault="00A47EF3" w:rsidP="00BE00C7">
            <w:pPr>
              <w:pStyle w:val="OutcomeDescription"/>
              <w:spacing w:before="120" w:after="120"/>
              <w:rPr>
                <w:rFonts w:cs="Arial"/>
                <w:lang w:eastAsia="en-NZ"/>
              </w:rPr>
            </w:pPr>
            <w:r w:rsidRPr="00BE00C7">
              <w:rPr>
                <w:rFonts w:cs="Arial"/>
                <w:lang w:eastAsia="en-NZ"/>
              </w:rPr>
              <w:t>The leadership structure, including for clinical governance, was appropriate to the size and complexity of the service; there was an experienced and suitably qualified person managing the service. Reporting and monitoring of resident clinical and safety measures occur through a multidisciplinary team approach. This includes the general practitioner (GP), nurse practitioner (NP), the FM, CNM, and RN, along with other health professionals such as pharmacists, and Health New Zealand – Te Whatu Ora (Te Whatu Ora) mental health for older people services, psychiatrists, infection prevention specialists, and wound and behaviour specialists.</w:t>
            </w:r>
          </w:p>
          <w:p w14:paraId="3473D0F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purpose, values, direction, scope and goals were defined in the 2025–2026 business, quality and risk plan. Monitoring and reviewing of organisational performance, such as occupancy, quality and risk matters (except for internal audits – refer criterion 2.2.3), changes in staff, complaints or compliments, and any other service delivery issues occur through monthly (or more frequent) written and verbal reporting to the GM. This was confirmed in a sample of reports to the service’s GM and directors.</w:t>
            </w:r>
          </w:p>
          <w:p w14:paraId="5A24C7C8"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A focus on identifying barriers to access, improving outcomes, and achieving equity for Māori and tāngata whaikaha was evident in plans and monitoring documentation reviewed, and through engagement with local iwi and specialist Māori health practitioners and staff education. The FM and six other staff in the service identify as Māori. People receiving services and their whānau participate in planning </w:t>
            </w:r>
            <w:r w:rsidRPr="00BE00C7">
              <w:rPr>
                <w:rFonts w:cs="Arial"/>
                <w:lang w:eastAsia="en-NZ"/>
              </w:rPr>
              <w:lastRenderedPageBreak/>
              <w:t>and evaluation of services through care planning activities, meetings and through a resident satisfaction survey.</w:t>
            </w:r>
          </w:p>
          <w:p w14:paraId="50113000" w14:textId="77777777" w:rsidR="00A47EF3" w:rsidRPr="00BE00C7" w:rsidRDefault="00A47EF3"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is managed by an experience FM who has worked in aged care for approximately 16 years. The FM is assisted by a CNM who has been in this position for four years, having previously worked as a registered nurse (RN) in the facility for two years prior. The CNM oversees the clinical services provided at Eastcare. The FM and the CNM confirmed knowledge of the sector and regulatory and reporting requirements.</w:t>
            </w:r>
          </w:p>
          <w:p w14:paraId="3E6B62DE"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holds Age-Related Residential Care (ARRC) contracts with Te Whatu Ora for the provision of long-term residential rest home and secure dementia levels of care and respite/short stay care to a maximum of 47 residents. The agreement includes provision for care under the Long-Term Support – Chronic Health Conditions (LTS-CHC) scheme. The service also has an agreement to provide day services for people with dementia. One person was attending the day programme from 9 am to 3 pm Monday to Friday.</w:t>
            </w:r>
          </w:p>
          <w:p w14:paraId="38BCA395" w14:textId="77777777" w:rsidR="00A47EF3" w:rsidRPr="00BE00C7" w:rsidRDefault="00A47EF3" w:rsidP="00BE00C7">
            <w:pPr>
              <w:pStyle w:val="OutcomeDescription"/>
              <w:spacing w:before="120" w:after="120"/>
              <w:rPr>
                <w:rFonts w:cs="Arial"/>
                <w:lang w:eastAsia="en-NZ"/>
              </w:rPr>
            </w:pPr>
            <w:r w:rsidRPr="00BE00C7">
              <w:rPr>
                <w:rFonts w:cs="Arial"/>
                <w:lang w:eastAsia="en-NZ"/>
              </w:rPr>
              <w:t>On the days of audit, there were 42 residents in the service. Twenty-seven (27) residents were receiving secure dementia-level care in two separate wings (one under a short-stay/respite contract and two under LTS-CHC contracts). Fifteen (15) residents were occupying beds in the rest home area of the service (one under a short-term/respite contract). One resident has been receiving hospital-level care in the service following a deterioration while in the secure dementia care unit of the service. A Notification of Hospital Resident in a Rest Home Area (NOHRRA) had been submitted and approved by the Ministry of Health/Manatū Hauora (Manatū Hauora) on 15 December 2025, allowing the resident to remain in the service. The resident has since improved and a reassessment had been requested.</w:t>
            </w:r>
          </w:p>
          <w:p w14:paraId="37DC692A" w14:textId="77777777" w:rsidR="00A47EF3" w:rsidRPr="00BE00C7" w:rsidRDefault="00A47EF3" w:rsidP="00BE00C7">
            <w:pPr>
              <w:pStyle w:val="OutcomeDescription"/>
              <w:spacing w:before="120" w:after="120"/>
              <w:rPr>
                <w:rFonts w:cs="Arial"/>
                <w:lang w:eastAsia="en-NZ"/>
              </w:rPr>
            </w:pPr>
            <w:r w:rsidRPr="00BE00C7">
              <w:rPr>
                <w:rFonts w:cs="Arial"/>
                <w:lang w:eastAsia="en-NZ"/>
              </w:rPr>
              <w:t>There were no boarders on site; however, an upstairs apartment, which is accessed externally, is rented under a tenancy agreement with the owners. The tenant has no interactions with staff or residents.</w:t>
            </w:r>
          </w:p>
          <w:p w14:paraId="1DBB4887" w14:textId="77777777" w:rsidR="00A47EF3" w:rsidRPr="00BE00C7" w:rsidRDefault="00A47EF3" w:rsidP="00BE00C7">
            <w:pPr>
              <w:pStyle w:val="OutcomeDescription"/>
              <w:spacing w:before="120" w:after="120"/>
              <w:rPr>
                <w:rFonts w:cs="Arial"/>
                <w:lang w:eastAsia="en-NZ"/>
              </w:rPr>
            </w:pPr>
          </w:p>
        </w:tc>
      </w:tr>
      <w:tr w:rsidR="00350B3B" w14:paraId="70EEF1BB" w14:textId="77777777">
        <w:tc>
          <w:tcPr>
            <w:tcW w:w="0" w:type="auto"/>
          </w:tcPr>
          <w:p w14:paraId="2D767FCD"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11A1D5"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D7A315C" w14:textId="77777777" w:rsidR="00A47EF3" w:rsidRPr="00BE00C7" w:rsidRDefault="00A47EF3" w:rsidP="00BE00C7">
            <w:pPr>
              <w:pStyle w:val="OutcomeDescription"/>
              <w:spacing w:before="120" w:after="120"/>
              <w:rPr>
                <w:rFonts w:cs="Arial"/>
                <w:lang w:eastAsia="en-NZ"/>
              </w:rPr>
            </w:pPr>
          </w:p>
        </w:tc>
        <w:tc>
          <w:tcPr>
            <w:tcW w:w="0" w:type="auto"/>
          </w:tcPr>
          <w:p w14:paraId="33C46D1D" w14:textId="77777777" w:rsidR="00A47EF3" w:rsidRPr="00BE00C7" w:rsidRDefault="00A47EF3" w:rsidP="00BE00C7">
            <w:pPr>
              <w:pStyle w:val="OutcomeDescription"/>
              <w:spacing w:before="120" w:after="120"/>
              <w:rPr>
                <w:rFonts w:cs="Arial"/>
                <w:lang w:eastAsia="en-NZ"/>
              </w:rPr>
            </w:pPr>
            <w:r w:rsidRPr="00BE00C7">
              <w:rPr>
                <w:rFonts w:cs="Arial"/>
                <w:lang w:eastAsia="en-NZ"/>
              </w:rPr>
              <w:t>PA Low</w:t>
            </w:r>
          </w:p>
        </w:tc>
        <w:tc>
          <w:tcPr>
            <w:tcW w:w="0" w:type="auto"/>
          </w:tcPr>
          <w:p w14:paraId="119AD172" w14:textId="77777777" w:rsidR="00A47EF3" w:rsidRPr="00BE00C7" w:rsidRDefault="00A47EF3" w:rsidP="00BE00C7">
            <w:pPr>
              <w:pStyle w:val="OutcomeDescription"/>
              <w:spacing w:before="120" w:after="120"/>
              <w:rPr>
                <w:rFonts w:cs="Arial"/>
                <w:lang w:eastAsia="en-NZ"/>
              </w:rPr>
            </w:pPr>
            <w:r w:rsidRPr="00BE00C7">
              <w:rPr>
                <w:rFonts w:cs="Arial"/>
                <w:lang w:eastAsia="en-NZ"/>
              </w:rPr>
              <w:t>The organisation has a quality and risk system in place that reflects the principles of continuous quality improvement. This includes policies and procedures, reporting and analysis of incident data, management of complaints, regular staff, resident and whānau meetings and satisfaction surveys, and reporting of clinical events including infections. When gaps are identified, relevant corrective actions are developed and implemented to address the shortfalls, from which outcomes are monitored. The exception to this is the internal auditing schedule, which had not been adhered to (refer criterion 2.2.3). Policies reviewed covered all necessary aspects of the service and of contractual requirements and were current.</w:t>
            </w:r>
          </w:p>
          <w:p w14:paraId="7B61C911"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whānau and staff contribute to quality improvement through care planning, meetings and surveys, and the compliments/complaints process. Satisfaction surveys of residents and whānau revealed few areas of concern. Negative feedback related to odour in one area of the facility (one response), which had been addressed, and an anonymous response related to the ability to raise concerns, and this had also been addressed. The 2025 survey of staff had a good return rate (27 responses). Results showed an increase in job satisfaction, confidence in the new manager, and satisfaction with training opportunities. Negative feedback was in relation to the availability of equipment (this has been addressed – confirmed by staff interviewed) and concerns around orientation of new staff (the FM now oversees this process – completed orientation was sighted in all staff files).</w:t>
            </w:r>
          </w:p>
          <w:p w14:paraId="716B9C64" w14:textId="77777777" w:rsidR="00A47EF3" w:rsidRPr="00BE00C7" w:rsidRDefault="00A47EF3"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w:t>
            </w:r>
          </w:p>
          <w:p w14:paraId="485B950D"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FM described the processes for the identification, documentation, monitoring, review and reporting of risks, including health and safety risks, and development of mitigation strategies. Staff document adverse and near miss events in line with the National Adverse Event Policy. A sample of incidents forms reviewed showed these were fully completed, incidents were investigated, action plans developed, and actions followed up in a timely manner. Specific action plans had </w:t>
            </w:r>
            <w:r w:rsidRPr="00BE00C7">
              <w:rPr>
                <w:rFonts w:cs="Arial"/>
                <w:lang w:eastAsia="en-NZ"/>
              </w:rPr>
              <w:lastRenderedPageBreak/>
              <w:t>been developed in relation to a high number of falls, medication errors, and behavioural incidents in 2024; results following targeted interventions were positive in reducing resident risk. This was an area of excellence identified in this audit which resulted in a continuous improvement rating (refer criterion 2.2.4).</w:t>
            </w:r>
          </w:p>
          <w:p w14:paraId="7C71DCC6" w14:textId="77777777" w:rsidR="00A47EF3" w:rsidRPr="00BE00C7" w:rsidRDefault="00A47EF3" w:rsidP="00BE00C7">
            <w:pPr>
              <w:pStyle w:val="OutcomeDescription"/>
              <w:spacing w:before="120" w:after="120"/>
              <w:rPr>
                <w:rFonts w:cs="Arial"/>
                <w:lang w:eastAsia="en-NZ"/>
              </w:rPr>
            </w:pPr>
            <w:r w:rsidRPr="00BE00C7">
              <w:rPr>
                <w:rFonts w:cs="Arial"/>
                <w:lang w:eastAsia="en-NZ"/>
              </w:rPr>
              <w:t>The FM understood and had complied with essential notification reporting requirements. In the last 12 months, eight Section 31 notification reports have been submitted to HealthCERT at Manatū Hauora; two for change in manager, one for an assault between residents, one related to resident aggression, and four for residents leaving the facility without informing staff (three in the rest home and one in the secure dementia care area). There have been no reports to the Health Quality &amp; Safety Commission/Te Tāhū Hauora, and no police investigations, issues-based audits, or any other notifications since the previous audit. There is currently an ongoing coroner’s investigation in progress (received November 2025). Information requested by the Office of the Coroner had been provided.</w:t>
            </w:r>
          </w:p>
          <w:p w14:paraId="372F9BF4" w14:textId="77777777" w:rsidR="00A47EF3" w:rsidRPr="00BE00C7" w:rsidRDefault="00A47EF3" w:rsidP="00BE00C7">
            <w:pPr>
              <w:pStyle w:val="OutcomeDescription"/>
              <w:spacing w:before="120" w:after="120"/>
              <w:rPr>
                <w:rFonts w:cs="Arial"/>
                <w:lang w:eastAsia="en-NZ"/>
              </w:rPr>
            </w:pPr>
          </w:p>
          <w:p w14:paraId="387EBB94" w14:textId="77777777" w:rsidR="00A47EF3" w:rsidRPr="00BE00C7" w:rsidRDefault="00A47EF3" w:rsidP="00BE00C7">
            <w:pPr>
              <w:pStyle w:val="OutcomeDescription"/>
              <w:spacing w:before="120" w:after="120"/>
              <w:rPr>
                <w:rFonts w:cs="Arial"/>
                <w:lang w:eastAsia="en-NZ"/>
              </w:rPr>
            </w:pPr>
          </w:p>
        </w:tc>
      </w:tr>
      <w:tr w:rsidR="00350B3B" w14:paraId="5B0A720E" w14:textId="77777777">
        <w:tc>
          <w:tcPr>
            <w:tcW w:w="0" w:type="auto"/>
          </w:tcPr>
          <w:p w14:paraId="19BC9264"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248B8C1"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E4A751" w14:textId="77777777" w:rsidR="00A47EF3" w:rsidRPr="00BE00C7" w:rsidRDefault="00A47EF3" w:rsidP="00BE00C7">
            <w:pPr>
              <w:pStyle w:val="OutcomeDescription"/>
              <w:spacing w:before="120" w:after="120"/>
              <w:rPr>
                <w:rFonts w:cs="Arial"/>
                <w:lang w:eastAsia="en-NZ"/>
              </w:rPr>
            </w:pPr>
          </w:p>
        </w:tc>
        <w:tc>
          <w:tcPr>
            <w:tcW w:w="0" w:type="auto"/>
          </w:tcPr>
          <w:p w14:paraId="60F3BB25"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015F69DD" w14:textId="77777777" w:rsidR="00A47EF3" w:rsidRPr="00BE00C7" w:rsidRDefault="00A47EF3"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FM adjusts staffing levels to meet the changing needs of residents. A multidisciplinary team (MDT) approach ensures all aspects of service delivery are met.</w:t>
            </w:r>
          </w:p>
          <w:p w14:paraId="446CFA95"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There are two full-time employed RNs (one of whom is the CNM) who alternate different rosters (Monday to Friday and Sunday to Thursday), and one activities person onsite from 8.30 am to 4.30 pm Monday to Friday. There are sufficient staff hours allocated for food, cleaning and laundry services, and a maintenance person who is employed for 30 hours per week. Those providing care reported that there were adequate staff to complete the work allocated to them. Residents and </w:t>
            </w:r>
            <w:r w:rsidRPr="00BE00C7">
              <w:rPr>
                <w:rFonts w:cs="Arial"/>
                <w:lang w:eastAsia="en-NZ"/>
              </w:rPr>
              <w:lastRenderedPageBreak/>
              <w:t>whānau interviewed supported this. Twenty (20) staff (two RNs and 18 HCAs) have a current first aid certificate.</w:t>
            </w:r>
          </w:p>
          <w:p w14:paraId="23D601EB" w14:textId="77777777" w:rsidR="00A47EF3" w:rsidRPr="00BE00C7" w:rsidRDefault="00A47EF3"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the funder. Of the 28 HCAs employed, 15 have completed Level 4 of the National Certificate in Health and Wellbeing or the Limited Credit Programme (LCP) dementia unit standards, with eight at Level 3, and three further staff are enrolled for the LCP. Staff rosters reviewed confirmed that the staff working in the dementia wings have either completed or are progressing dementia education as required by the ARRC contract.</w:t>
            </w:r>
          </w:p>
          <w:p w14:paraId="641466DE" w14:textId="77777777" w:rsidR="00A47EF3" w:rsidRPr="00BE00C7" w:rsidRDefault="00A47EF3" w:rsidP="00BE00C7">
            <w:pPr>
              <w:pStyle w:val="OutcomeDescription"/>
              <w:spacing w:before="120" w:after="120"/>
              <w:rPr>
                <w:rFonts w:cs="Arial"/>
                <w:lang w:eastAsia="en-NZ"/>
              </w:rPr>
            </w:pPr>
            <w:r w:rsidRPr="00BE00C7">
              <w:rPr>
                <w:rFonts w:cs="Arial"/>
                <w:lang w:eastAsia="en-NZ"/>
              </w:rPr>
              <w:t>A system for recording and tracking each staff member’s attendance at training/education has been implemented. Education is planned on an annual basis and includes mandatory training and ongoing identification and assessment of the competencies required in each role. Records reviewed demonstrated completion of the required training and competency assessments except for specific restraint education (refer criterion 6.1.6). Staff stated they felt well supported with professional development opportunities.</w:t>
            </w:r>
          </w:p>
          <w:p w14:paraId="7DBB2BF6" w14:textId="77777777" w:rsidR="00A47EF3" w:rsidRPr="00BE00C7" w:rsidRDefault="00A47EF3" w:rsidP="00BE00C7">
            <w:pPr>
              <w:pStyle w:val="OutcomeDescription"/>
              <w:spacing w:before="120" w:after="120"/>
              <w:rPr>
                <w:rFonts w:cs="Arial"/>
                <w:lang w:eastAsia="en-NZ"/>
              </w:rPr>
            </w:pPr>
            <w:r w:rsidRPr="00BE00C7">
              <w:rPr>
                <w:rFonts w:cs="Arial"/>
                <w:lang w:eastAsia="en-NZ"/>
              </w:rPr>
              <w:t>The training programme supports equitable service delivery and the ability to maximise the participation of people using the service and their whānau. There was evidence that residents and their whānau are encouraged to participate in the planning and review of their care. Regular (weekly) newsletters are distributed to residents and whānau.</w:t>
            </w:r>
          </w:p>
          <w:p w14:paraId="109269FE" w14:textId="77777777" w:rsidR="00A47EF3" w:rsidRPr="00BE00C7" w:rsidRDefault="00A47EF3" w:rsidP="00BE00C7">
            <w:pPr>
              <w:pStyle w:val="OutcomeDescription"/>
              <w:spacing w:before="120" w:after="120"/>
              <w:rPr>
                <w:rFonts w:cs="Arial"/>
                <w:lang w:eastAsia="en-NZ"/>
              </w:rPr>
            </w:pPr>
            <w:r w:rsidRPr="00BE00C7">
              <w:rPr>
                <w:rFonts w:cs="Arial"/>
                <w:lang w:eastAsia="en-NZ"/>
              </w:rPr>
              <w:t>High-quality Māori health information is embedded in policy and used to support the staff training and development programmes, policy development, and care delivery. The FM, who identifies as Māori, has strong connections to local iwi, hapu and Māori agencies for accessing resources. They are providing specific education to staff on equity and Māori models of care that are suited to the resident groups and the local area.</w:t>
            </w:r>
          </w:p>
          <w:p w14:paraId="5BF8DEDB" w14:textId="77777777" w:rsidR="00A47EF3" w:rsidRPr="00BE00C7" w:rsidRDefault="00A47EF3"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758A707D" w14:textId="77777777" w:rsidR="00A47EF3" w:rsidRPr="00BE00C7" w:rsidRDefault="00A47EF3" w:rsidP="00BE00C7">
            <w:pPr>
              <w:pStyle w:val="OutcomeDescription"/>
              <w:spacing w:before="120" w:after="120"/>
              <w:rPr>
                <w:rFonts w:cs="Arial"/>
                <w:lang w:eastAsia="en-NZ"/>
              </w:rPr>
            </w:pPr>
          </w:p>
        </w:tc>
      </w:tr>
      <w:tr w:rsidR="00350B3B" w14:paraId="0763283D" w14:textId="77777777">
        <w:tc>
          <w:tcPr>
            <w:tcW w:w="0" w:type="auto"/>
          </w:tcPr>
          <w:p w14:paraId="3AC66CA9"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43669C"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9C458FE" w14:textId="77777777" w:rsidR="00A47EF3" w:rsidRPr="00BE00C7" w:rsidRDefault="00A47EF3" w:rsidP="00BE00C7">
            <w:pPr>
              <w:pStyle w:val="OutcomeDescription"/>
              <w:spacing w:before="120" w:after="120"/>
              <w:rPr>
                <w:rFonts w:cs="Arial"/>
                <w:lang w:eastAsia="en-NZ"/>
              </w:rPr>
            </w:pPr>
          </w:p>
        </w:tc>
        <w:tc>
          <w:tcPr>
            <w:tcW w:w="0" w:type="auto"/>
          </w:tcPr>
          <w:p w14:paraId="5C96FECF" w14:textId="77777777" w:rsidR="00A47EF3" w:rsidRPr="00BE00C7" w:rsidRDefault="00A47EF3" w:rsidP="00BE00C7">
            <w:pPr>
              <w:pStyle w:val="OutcomeDescription"/>
              <w:spacing w:before="120" w:after="120"/>
              <w:rPr>
                <w:rFonts w:cs="Arial"/>
                <w:lang w:eastAsia="en-NZ"/>
              </w:rPr>
            </w:pPr>
            <w:r w:rsidRPr="00BE00C7">
              <w:rPr>
                <w:rFonts w:cs="Arial"/>
                <w:lang w:eastAsia="en-NZ"/>
              </w:rPr>
              <w:t>PA Moderate</w:t>
            </w:r>
          </w:p>
        </w:tc>
        <w:tc>
          <w:tcPr>
            <w:tcW w:w="0" w:type="auto"/>
          </w:tcPr>
          <w:p w14:paraId="27BA32AD" w14:textId="77777777" w:rsidR="00A47EF3" w:rsidRPr="00BE00C7" w:rsidRDefault="00A47EF3"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and included recruitment, selection, orientation, and staff training and development. Qualifications were validated prior to employment and then annually; evidence of this was sighted. A register of annual practising certificates (APCs) had been maintained for RNs, and associated health contractors. There were job descriptions in place for all positions that included outcomes, accountability, responsibilities, authority, and functions to be achieved in each position. A sample of seven staff records reviewed confirmed the organisation’s policies are being consistently implemented, except for performance appraisals for staff (refer criterion 2.4.5).</w:t>
            </w:r>
          </w:p>
          <w:p w14:paraId="2D36EAC5" w14:textId="77777777" w:rsidR="00A47EF3" w:rsidRPr="00BE00C7" w:rsidRDefault="00A47EF3" w:rsidP="00BE00C7">
            <w:pPr>
              <w:pStyle w:val="OutcomeDescription"/>
              <w:spacing w:before="120" w:after="120"/>
              <w:rPr>
                <w:rFonts w:cs="Arial"/>
                <w:lang w:eastAsia="en-NZ"/>
              </w:rPr>
            </w:pPr>
            <w:r w:rsidRPr="00BE00C7">
              <w:rPr>
                <w:rFonts w:cs="Arial"/>
                <w:lang w:eastAsia="en-NZ"/>
              </w:rPr>
              <w:t>Staff interviewed (13) reported that the induction and orientation programme prepared them well for the role, despite this being highlighted as a concern on the 2025 staff satisfaction survey. Evidence of completed induction and orientation was sighted in files reviewed.</w:t>
            </w:r>
          </w:p>
          <w:p w14:paraId="2ED94BD4" w14:textId="77777777" w:rsidR="00A47EF3" w:rsidRPr="00BE00C7" w:rsidRDefault="00A47EF3"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613EC9B2" w14:textId="77777777" w:rsidR="00A47EF3" w:rsidRPr="00BE00C7" w:rsidRDefault="00A47EF3"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40CCAF05" w14:textId="77777777" w:rsidR="00A47EF3" w:rsidRPr="00BE00C7" w:rsidRDefault="00A47EF3" w:rsidP="00BE00C7">
            <w:pPr>
              <w:pStyle w:val="OutcomeDescription"/>
              <w:spacing w:before="120" w:after="120"/>
              <w:rPr>
                <w:rFonts w:cs="Arial"/>
                <w:lang w:eastAsia="en-NZ"/>
              </w:rPr>
            </w:pPr>
          </w:p>
        </w:tc>
      </w:tr>
      <w:tr w:rsidR="00350B3B" w14:paraId="40B7E5E2" w14:textId="77777777">
        <w:tc>
          <w:tcPr>
            <w:tcW w:w="0" w:type="auto"/>
          </w:tcPr>
          <w:p w14:paraId="020B6256"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2.5: Information</w:t>
            </w:r>
          </w:p>
          <w:p w14:paraId="09C83D3C"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1E1DEEB" w14:textId="77777777" w:rsidR="00A47EF3" w:rsidRPr="00BE00C7" w:rsidRDefault="00A47EF3" w:rsidP="00BE00C7">
            <w:pPr>
              <w:pStyle w:val="OutcomeDescription"/>
              <w:spacing w:before="120" w:after="120"/>
              <w:rPr>
                <w:rFonts w:cs="Arial"/>
                <w:lang w:eastAsia="en-NZ"/>
              </w:rPr>
            </w:pPr>
          </w:p>
        </w:tc>
        <w:tc>
          <w:tcPr>
            <w:tcW w:w="0" w:type="auto"/>
          </w:tcPr>
          <w:p w14:paraId="3131D014"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5F085D57" w14:textId="77777777" w:rsidR="00A47EF3" w:rsidRPr="00BE00C7" w:rsidRDefault="00A47EF3"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up to date, integrated and legible, and met current documentation standards. Consent was sighted for data collection. Data collected included ethnicity data.</w:t>
            </w:r>
          </w:p>
          <w:p w14:paraId="5EF1B6C8"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Resident’s health information is primarily held electronically and is password-protected. Any paper-based records were held securely in the nurse's office and only available to authorised users. Archived records were accessible and securely stored in a locked area within the facility. These are held for the required time before being </w:t>
            </w:r>
            <w:r w:rsidRPr="00BE00C7">
              <w:rPr>
                <w:rFonts w:cs="Arial"/>
                <w:lang w:eastAsia="en-NZ"/>
              </w:rPr>
              <w:lastRenderedPageBreak/>
              <w:t>destroyed. No personal or private resident information was on public display during the audit.</w:t>
            </w:r>
          </w:p>
          <w:p w14:paraId="79FE113C"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is not responsible for the National Health Index registration of people receiving services.</w:t>
            </w:r>
          </w:p>
          <w:p w14:paraId="22E8314C" w14:textId="77777777" w:rsidR="00A47EF3" w:rsidRPr="00BE00C7" w:rsidRDefault="00A47EF3" w:rsidP="00BE00C7">
            <w:pPr>
              <w:pStyle w:val="OutcomeDescription"/>
              <w:spacing w:before="120" w:after="120"/>
              <w:rPr>
                <w:rFonts w:cs="Arial"/>
                <w:lang w:eastAsia="en-NZ"/>
              </w:rPr>
            </w:pPr>
          </w:p>
        </w:tc>
      </w:tr>
      <w:tr w:rsidR="00350B3B" w14:paraId="49712900" w14:textId="77777777">
        <w:tc>
          <w:tcPr>
            <w:tcW w:w="0" w:type="auto"/>
          </w:tcPr>
          <w:p w14:paraId="69FAEE8F"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A9ECD86"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93F64E6" w14:textId="77777777" w:rsidR="00A47EF3" w:rsidRPr="00BE00C7" w:rsidRDefault="00A47EF3" w:rsidP="00BE00C7">
            <w:pPr>
              <w:pStyle w:val="OutcomeDescription"/>
              <w:spacing w:before="120" w:after="120"/>
              <w:rPr>
                <w:rFonts w:cs="Arial"/>
                <w:lang w:eastAsia="en-NZ"/>
              </w:rPr>
            </w:pPr>
          </w:p>
        </w:tc>
        <w:tc>
          <w:tcPr>
            <w:tcW w:w="0" w:type="auto"/>
          </w:tcPr>
          <w:p w14:paraId="300E8F84"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39A48B21"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were welcomed into Eastcare when they had been assessed and confirmed by the local Needs Assessment and Service Coordination (NASC) agency as requiring the level of care Eastcare provided and had chosen Eastcare to provide the services they required.</w:t>
            </w:r>
          </w:p>
          <w:p w14:paraId="787A3219" w14:textId="77777777" w:rsidR="00A47EF3" w:rsidRPr="00BE00C7" w:rsidRDefault="00A47EF3" w:rsidP="00BE00C7">
            <w:pPr>
              <w:pStyle w:val="OutcomeDescription"/>
              <w:spacing w:before="120" w:after="120"/>
              <w:rPr>
                <w:rFonts w:cs="Arial"/>
                <w:lang w:eastAsia="en-NZ"/>
              </w:rPr>
            </w:pPr>
            <w:r w:rsidRPr="00BE00C7">
              <w:rPr>
                <w:rFonts w:cs="Arial"/>
                <w:lang w:eastAsia="en-NZ"/>
              </w:rPr>
              <w:t>A specialist’s authorisation for residents requiring care in a secure dementia care unit was sighted. Residents reviewed in the secure unit had an activated EPOA or Welfare Guardian documentation in place.</w:t>
            </w:r>
          </w:p>
          <w:p w14:paraId="02E0E35E" w14:textId="77777777" w:rsidR="00A47EF3" w:rsidRPr="00BE00C7" w:rsidRDefault="00A47EF3" w:rsidP="00BE00C7">
            <w:pPr>
              <w:pStyle w:val="OutcomeDescription"/>
              <w:spacing w:before="120" w:after="120"/>
              <w:rPr>
                <w:rFonts w:cs="Arial"/>
                <w:lang w:eastAsia="en-NZ"/>
              </w:rPr>
            </w:pPr>
            <w:r w:rsidRPr="00BE00C7">
              <w:rPr>
                <w:rFonts w:cs="Arial"/>
                <w:lang w:eastAsia="en-NZ"/>
              </w:rPr>
              <w:t>Whānau interviewed stated they were satisfied with the admission process and the information that had been made available to them on admission, including for residents who identified as Māori. The files reviewed met contractual requirements. Eastcare collected ethnicity data on entry and decline rates. This included specific data for entry and decline rates for Māori. Where a prospective resident had been declined entry, there were processes for communicating the decision to the person and whānau.</w:t>
            </w:r>
          </w:p>
          <w:p w14:paraId="087F5169"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had developed meaningful partnerships with local Māori to benefit Māori individuals and their whānau. The facility can access support from Māori health practitioners, traditional healers, and other organisations by contacting Te Kōhao Health. When admitted, residents had a choice over who would oversee their medical requirements. Whilst most chose the main medical provider to Eastcare, residents were enabled to request another provider to manage their medical needs if desired.</w:t>
            </w:r>
          </w:p>
          <w:p w14:paraId="1762EED5" w14:textId="77777777" w:rsidR="00A47EF3" w:rsidRPr="00BE00C7" w:rsidRDefault="00A47EF3" w:rsidP="00BE00C7">
            <w:pPr>
              <w:pStyle w:val="OutcomeDescription"/>
              <w:spacing w:before="120" w:after="120"/>
              <w:rPr>
                <w:rFonts w:cs="Arial"/>
                <w:lang w:eastAsia="en-NZ"/>
              </w:rPr>
            </w:pPr>
          </w:p>
        </w:tc>
      </w:tr>
      <w:tr w:rsidR="00350B3B" w14:paraId="1114390D" w14:textId="77777777">
        <w:tc>
          <w:tcPr>
            <w:tcW w:w="0" w:type="auto"/>
          </w:tcPr>
          <w:p w14:paraId="153EC878"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3.2: My pathway to wellbeing</w:t>
            </w:r>
          </w:p>
          <w:p w14:paraId="249D6F20"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6BCD5B2" w14:textId="77777777" w:rsidR="00A47EF3" w:rsidRPr="00BE00C7" w:rsidRDefault="00A47EF3" w:rsidP="00BE00C7">
            <w:pPr>
              <w:pStyle w:val="OutcomeDescription"/>
              <w:spacing w:before="120" w:after="120"/>
              <w:rPr>
                <w:rFonts w:cs="Arial"/>
                <w:lang w:eastAsia="en-NZ"/>
              </w:rPr>
            </w:pPr>
          </w:p>
        </w:tc>
        <w:tc>
          <w:tcPr>
            <w:tcW w:w="0" w:type="auto"/>
          </w:tcPr>
          <w:p w14:paraId="555EFAE9"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CC900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multidisciplinary team at Eastcare worked in partnership with the resident and their whānau to support the resident’s wellbeing. Ten </w:t>
            </w:r>
            <w:r w:rsidRPr="00BE00C7">
              <w:rPr>
                <w:rFonts w:cs="Arial"/>
                <w:lang w:eastAsia="en-NZ"/>
              </w:rPr>
              <w:lastRenderedPageBreak/>
              <w:t>residents’ files were reviewed: one hospital file, five rest home files, and four files of residents who were receiving care in the secure units. These files included a resident who had received a dispensation from Manatū Hauora to remain at Eastcare and receive hospital-level care (15 December 2025). The sample also included residents with behavioural disorders, facility-acquired pressure injuries, insulin-dependent diabetes, recent unwitnessed falls, multiple co-morbidities, long-term chronic conditions, those receiving respite care, those requiring transfer to an acute facility, and residents identifying as Māori. The resident requiring hospital-level care has since improved, and a reassessment had been requested.</w:t>
            </w:r>
          </w:p>
          <w:p w14:paraId="3DBEAFD7" w14:textId="77777777" w:rsidR="00A47EF3" w:rsidRPr="00BE00C7" w:rsidRDefault="00A47EF3" w:rsidP="00BE00C7">
            <w:pPr>
              <w:pStyle w:val="OutcomeDescription"/>
              <w:spacing w:before="120" w:after="120"/>
              <w:rPr>
                <w:rFonts w:cs="Arial"/>
                <w:lang w:eastAsia="en-NZ"/>
              </w:rPr>
            </w:pPr>
            <w:r w:rsidRPr="00BE00C7">
              <w:rPr>
                <w:rFonts w:cs="Arial"/>
                <w:lang w:eastAsia="en-NZ"/>
              </w:rPr>
              <w:t>Ten files reviewed verified that, following a comprehensive assessment on admission, a plan of care outlining the care the resident required was developed by an RN. This plan included consideration of the person’s lived experience, cultural needs, values, and beliefs, and considered wider service integration, where required. Files reviewed of residents who identified as Māori included comprehensive documentation detailing the residents’ cultural needs.</w:t>
            </w:r>
          </w:p>
          <w:p w14:paraId="576CADA3" w14:textId="77777777" w:rsidR="00A47EF3" w:rsidRPr="00BE00C7" w:rsidRDefault="00A47EF3" w:rsidP="00BE00C7">
            <w:pPr>
              <w:pStyle w:val="OutcomeDescription"/>
              <w:spacing w:before="120" w:after="120"/>
              <w:rPr>
                <w:rFonts w:cs="Arial"/>
                <w:lang w:eastAsia="en-NZ"/>
              </w:rPr>
            </w:pPr>
            <w:r w:rsidRPr="00BE00C7">
              <w:rPr>
                <w:rFonts w:cs="Arial"/>
                <w:lang w:eastAsia="en-NZ"/>
              </w:rPr>
              <w:t>Assessments included clinical evaluations, with input from residents and whānau as required. All assessment and care planning timeframes met contractual requirements. Policies supported, and documentation confirmed, that tāngata whaikaha and whānau could participate in service development, maintain choice and control, and access information without barriers. Providers understood Māori concepts of oranga and supported Māori and whānau in identifying pae ora outcomes in care plans, with required support clearly documented and communicated. This was confirmed through document reviews, resident record sampling, interviews, and observation. A resident who had a recent unwitnessed fall was assessed by the RN, and neurological observations were undertaken for the required timeframes. Ongoing review by the RN was documented. Residents with insulin-dependent diabetes had documentation identifying the management plan in place, and this was sighted as being complied with. Hypoglycaemic risks were documented, along with the processes required to manage these should they occur.</w:t>
            </w:r>
          </w:p>
          <w:p w14:paraId="7F4E1A95"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Medical conditions were well documented, systematically monitored, and regularly evaluated. Care plans were adjusted as needed with input from residents and whānau, including younger residents with disabilities. There was a significant reduction in fall adverse events and behaviour events at Eastcare in 2025 (refer criterion 2.2.4).</w:t>
            </w:r>
          </w:p>
          <w:p w14:paraId="54C7E5E8" w14:textId="1C3ADDC2" w:rsidR="00A47EF3" w:rsidRPr="00BE00C7" w:rsidRDefault="00A47EF3" w:rsidP="00BE00C7">
            <w:pPr>
              <w:pStyle w:val="OutcomeDescription"/>
              <w:spacing w:before="120" w:after="120"/>
              <w:rPr>
                <w:rFonts w:cs="Arial"/>
                <w:lang w:eastAsia="en-NZ"/>
              </w:rPr>
            </w:pPr>
            <w:r w:rsidRPr="00BE00C7">
              <w:rPr>
                <w:rFonts w:cs="Arial"/>
                <w:lang w:eastAsia="en-NZ"/>
              </w:rPr>
              <w:t>An interview with the NP expressed satisfaction with the care being provided by Eastcare.</w:t>
            </w:r>
          </w:p>
          <w:p w14:paraId="13CBEB72" w14:textId="77777777" w:rsidR="00A47EF3" w:rsidRPr="00BE00C7" w:rsidRDefault="00A47EF3" w:rsidP="00BE00C7">
            <w:pPr>
              <w:pStyle w:val="OutcomeDescription"/>
              <w:spacing w:before="120" w:after="120"/>
              <w:rPr>
                <w:rFonts w:cs="Arial"/>
                <w:lang w:eastAsia="en-NZ"/>
              </w:rPr>
            </w:pPr>
          </w:p>
        </w:tc>
      </w:tr>
      <w:tr w:rsidR="00350B3B" w14:paraId="20BE8DE9" w14:textId="77777777">
        <w:tc>
          <w:tcPr>
            <w:tcW w:w="0" w:type="auto"/>
          </w:tcPr>
          <w:p w14:paraId="4FDD69E2"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C33EBD9"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EEBE17C" w14:textId="77777777" w:rsidR="00A47EF3" w:rsidRPr="00BE00C7" w:rsidRDefault="00A47EF3" w:rsidP="00BE00C7">
            <w:pPr>
              <w:pStyle w:val="OutcomeDescription"/>
              <w:spacing w:before="120" w:after="120"/>
              <w:rPr>
                <w:rFonts w:cs="Arial"/>
                <w:lang w:eastAsia="en-NZ"/>
              </w:rPr>
            </w:pPr>
          </w:p>
        </w:tc>
        <w:tc>
          <w:tcPr>
            <w:tcW w:w="0" w:type="auto"/>
          </w:tcPr>
          <w:p w14:paraId="6A364369"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3EC50C9B" w14:textId="77777777" w:rsidR="00A47EF3" w:rsidRPr="00BE00C7" w:rsidRDefault="00A47EF3" w:rsidP="00BE00C7">
            <w:pPr>
              <w:pStyle w:val="OutcomeDescription"/>
              <w:spacing w:before="120" w:after="120"/>
              <w:rPr>
                <w:rFonts w:cs="Arial"/>
                <w:lang w:eastAsia="en-NZ"/>
              </w:rPr>
            </w:pPr>
            <w:r w:rsidRPr="00BE00C7">
              <w:rPr>
                <w:rFonts w:cs="Arial"/>
                <w:lang w:eastAsia="en-NZ"/>
              </w:rPr>
              <w:t>The activities coordinator (AC) at Eastcare provided an activities programme that supported residents in maintaining and developing their interests, tailored to their ages and stages of life. The younger residents were enabled to go out and attend community activities of their choice and participate in activities that were of interest to them.</w:t>
            </w:r>
          </w:p>
          <w:p w14:paraId="28815AA5" w14:textId="77777777" w:rsidR="00A47EF3" w:rsidRPr="00BE00C7" w:rsidRDefault="00A47EF3"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and their ordinary patterns of life and included normal community activities. Opportunities for Māori and whānau to participate in te ao Māori were facilitated.</w:t>
            </w:r>
          </w:p>
          <w:p w14:paraId="057F3899" w14:textId="77777777" w:rsidR="00A47EF3" w:rsidRPr="00BE00C7" w:rsidRDefault="00A47EF3" w:rsidP="00BE00C7">
            <w:pPr>
              <w:pStyle w:val="OutcomeDescription"/>
              <w:spacing w:before="120" w:after="120"/>
              <w:rPr>
                <w:rFonts w:cs="Arial"/>
                <w:lang w:eastAsia="en-NZ"/>
              </w:rPr>
            </w:pPr>
            <w:r w:rsidRPr="00BE00C7">
              <w:rPr>
                <w:rFonts w:cs="Arial"/>
                <w:lang w:eastAsia="en-NZ"/>
              </w:rPr>
              <w:t>Satisfaction surveys evidenced that residents and their whānau were satisfied with the activities provided at Eastcare.</w:t>
            </w:r>
          </w:p>
          <w:p w14:paraId="7CAAF216"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and their whānau participated in evaluating and improving the programme. Those interviewed confirmed they found the programme met their needs.</w:t>
            </w:r>
          </w:p>
          <w:p w14:paraId="45163226"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in the secure dementia care units had a 24-hour lifestyle plan in place that addressed the residents’ 24-hour needs based on previous lifestyle patterns. A designated person is employed to provide the activities at Eastcare; however, this person was not skilled in diversional or motivational recreation. The activities plan provided at Eastcare was, therefore, overseen by an occupational therapist (OT) from Te Kōhau Health. A monthly report by the OT was provided to Eastcare following visits and assessment of the programme. Any suggestions made are integrated into the programme.</w:t>
            </w:r>
          </w:p>
          <w:p w14:paraId="7F8EB4E4" w14:textId="77777777" w:rsidR="00A47EF3" w:rsidRPr="00BE00C7" w:rsidRDefault="00A47EF3" w:rsidP="00BE00C7">
            <w:pPr>
              <w:pStyle w:val="OutcomeDescription"/>
              <w:spacing w:before="120" w:after="120"/>
              <w:rPr>
                <w:rFonts w:cs="Arial"/>
                <w:lang w:eastAsia="en-NZ"/>
              </w:rPr>
            </w:pPr>
          </w:p>
        </w:tc>
      </w:tr>
      <w:tr w:rsidR="00350B3B" w14:paraId="329AA418" w14:textId="77777777">
        <w:tc>
          <w:tcPr>
            <w:tcW w:w="0" w:type="auto"/>
          </w:tcPr>
          <w:p w14:paraId="4956D985"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3.4: My medication</w:t>
            </w:r>
          </w:p>
          <w:p w14:paraId="23E38DCC"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BC393B6" w14:textId="77777777" w:rsidR="00A47EF3" w:rsidRPr="00BE00C7" w:rsidRDefault="00A47EF3" w:rsidP="00BE00C7">
            <w:pPr>
              <w:pStyle w:val="OutcomeDescription"/>
              <w:spacing w:before="120" w:after="120"/>
              <w:rPr>
                <w:rFonts w:cs="Arial"/>
                <w:lang w:eastAsia="en-NZ"/>
              </w:rPr>
            </w:pPr>
          </w:p>
        </w:tc>
        <w:tc>
          <w:tcPr>
            <w:tcW w:w="0" w:type="auto"/>
          </w:tcPr>
          <w:p w14:paraId="4906ADB2"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204253D1" w14:textId="77777777" w:rsidR="00A47EF3" w:rsidRPr="00BE00C7" w:rsidRDefault="00A47EF3" w:rsidP="00BE00C7">
            <w:pPr>
              <w:pStyle w:val="OutcomeDescription"/>
              <w:spacing w:before="120" w:after="120"/>
              <w:rPr>
                <w:rFonts w:cs="Arial"/>
                <w:lang w:eastAsia="en-NZ"/>
              </w:rPr>
            </w:pPr>
            <w:r w:rsidRPr="00BE00C7">
              <w:rPr>
                <w:rFonts w:cs="Arial"/>
                <w:lang w:eastAsia="en-NZ"/>
              </w:rPr>
              <w:t>The medication management policy at Eastcare was current and in line with the Medicines Care Guide for Residential Aged Care. A safe system for medicine management using an electronic system was sighted on the day of the audit. All staff who administer medicines had been assessed as competent to perform the function they managed. There was a process in place to identify, record, and document residents’ medication sensitivities, allergies, and the action required for adverse events.</w:t>
            </w:r>
          </w:p>
          <w:p w14:paraId="2B963DB6" w14:textId="77777777" w:rsidR="00A47EF3" w:rsidRPr="00BE00C7" w:rsidRDefault="00A47EF3" w:rsidP="00BE00C7">
            <w:pPr>
              <w:pStyle w:val="OutcomeDescription"/>
              <w:spacing w:before="120" w:after="120"/>
              <w:rPr>
                <w:rFonts w:cs="Arial"/>
                <w:lang w:eastAsia="en-NZ"/>
              </w:rPr>
            </w:pPr>
            <w:r w:rsidRPr="00BE00C7">
              <w:rPr>
                <w:rFonts w:cs="Arial"/>
                <w:lang w:eastAsia="en-NZ"/>
              </w:rPr>
              <w:t>There was a significant reduction in the use of sedative medication, polypharmacy, and medication errors in 2025 (refer criterion 2.2.4).</w:t>
            </w:r>
          </w:p>
          <w:p w14:paraId="3DCA3F37" w14:textId="77777777" w:rsidR="00A47EF3" w:rsidRPr="00BE00C7" w:rsidRDefault="00A47EF3"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12E8017E" w14:textId="77777777" w:rsidR="00A47EF3" w:rsidRPr="00BE00C7" w:rsidRDefault="00A47EF3"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The medicines stored were within the recommended temperature range. There were no vaccines stored on site.</w:t>
            </w:r>
          </w:p>
          <w:p w14:paraId="698DF073" w14:textId="77777777" w:rsidR="00A47EF3" w:rsidRPr="00BE00C7" w:rsidRDefault="00A47EF3"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recorded on the medicine chart. Standing orders were not used at Eastcare.</w:t>
            </w:r>
          </w:p>
          <w:p w14:paraId="054E5608" w14:textId="77777777" w:rsidR="00A47EF3" w:rsidRPr="00BE00C7" w:rsidRDefault="00A47EF3" w:rsidP="00BE00C7">
            <w:pPr>
              <w:pStyle w:val="OutcomeDescription"/>
              <w:spacing w:before="120" w:after="120"/>
              <w:rPr>
                <w:rFonts w:cs="Arial"/>
                <w:lang w:eastAsia="en-NZ"/>
              </w:rPr>
            </w:pPr>
            <w:r w:rsidRPr="00BE00C7">
              <w:rPr>
                <w:rFonts w:cs="Arial"/>
                <w:lang w:eastAsia="en-NZ"/>
              </w:rPr>
              <w:t>There were no residents self-administering medications on the days of audit. Processes to support self-administration of medication were in place, with strategies documented so that they could be managed safely. Residents, including Māori residents and their whānau, were supported to understand their medications.</w:t>
            </w:r>
          </w:p>
          <w:p w14:paraId="294713C0" w14:textId="77777777" w:rsidR="00A47EF3" w:rsidRPr="00BE00C7" w:rsidRDefault="00A47EF3"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26CD71FC" w14:textId="77777777" w:rsidR="00A47EF3" w:rsidRPr="00BE00C7" w:rsidRDefault="00A47EF3" w:rsidP="00BE00C7">
            <w:pPr>
              <w:pStyle w:val="OutcomeDescription"/>
              <w:spacing w:before="120" w:after="120"/>
              <w:rPr>
                <w:rFonts w:cs="Arial"/>
                <w:lang w:eastAsia="en-NZ"/>
              </w:rPr>
            </w:pPr>
          </w:p>
        </w:tc>
      </w:tr>
      <w:tr w:rsidR="00350B3B" w14:paraId="2A53D3CF" w14:textId="77777777">
        <w:tc>
          <w:tcPr>
            <w:tcW w:w="0" w:type="auto"/>
          </w:tcPr>
          <w:p w14:paraId="7195F47F"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3.5: Nutrition to support wellbeing</w:t>
            </w:r>
          </w:p>
          <w:p w14:paraId="20D1ACC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DE9694" w14:textId="77777777" w:rsidR="00A47EF3" w:rsidRPr="00BE00C7" w:rsidRDefault="00A47EF3" w:rsidP="00BE00C7">
            <w:pPr>
              <w:pStyle w:val="OutcomeDescription"/>
              <w:spacing w:before="120" w:after="120"/>
              <w:rPr>
                <w:rFonts w:cs="Arial"/>
                <w:lang w:eastAsia="en-NZ"/>
              </w:rPr>
            </w:pPr>
          </w:p>
        </w:tc>
        <w:tc>
          <w:tcPr>
            <w:tcW w:w="0" w:type="auto"/>
          </w:tcPr>
          <w:p w14:paraId="44437366"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AEDC68"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food service provided at Eastcare was in line with recognised nutritional guidelines for older people. The menu was reviewed by a </w:t>
            </w:r>
            <w:r w:rsidRPr="00BE00C7">
              <w:rPr>
                <w:rFonts w:cs="Arial"/>
                <w:lang w:eastAsia="en-NZ"/>
              </w:rPr>
              <w:lastRenderedPageBreak/>
              <w:t>qualified dietitian in December 2024. Recommendations made at that time had been implemented.</w:t>
            </w:r>
          </w:p>
          <w:p w14:paraId="514A5F24" w14:textId="77777777" w:rsidR="00A47EF3" w:rsidRPr="00BE00C7" w:rsidRDefault="00A47EF3" w:rsidP="00BE00C7">
            <w:pPr>
              <w:pStyle w:val="OutcomeDescription"/>
              <w:spacing w:before="120" w:after="120"/>
              <w:rPr>
                <w:rFonts w:cs="Arial"/>
                <w:lang w:eastAsia="en-NZ"/>
              </w:rPr>
            </w:pPr>
            <w:r w:rsidRPr="00BE00C7">
              <w:rPr>
                <w:rFonts w:cs="Arial"/>
                <w:lang w:eastAsia="en-NZ"/>
              </w:rPr>
              <w:t>The service operated with an approved food safety plan and registration. A verification audit of the food control plan was undertaken at Eastcare on 23 January 2025. Two areas requiring corrective action were identified; these had been addressed, and the plan was verified for 18 months. The plan is due for re-audit on 23 July 2026.</w:t>
            </w:r>
          </w:p>
          <w:p w14:paraId="2D30CE5B" w14:textId="77777777" w:rsidR="00A47EF3" w:rsidRPr="00BE00C7" w:rsidRDefault="00A47EF3"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preferences, any special diets, and modified texture requirements were accommodated in the daily meal plan. Residents who identified as Māori had menu options that were culturally specific to te ao Māori. All residents had opportunities to request meals of their choice, and the kitchen would address this. Residents were provided with opportunities to be involved in food preparation as part of the activities programme. Observations identified a large supply of fresh fruit and vegetables being available. Residents were observed to be offered fresh fruit at every meal, and additional food was available if requested.</w:t>
            </w:r>
          </w:p>
          <w:p w14:paraId="44695093" w14:textId="77777777" w:rsidR="00A47EF3" w:rsidRPr="00BE00C7" w:rsidRDefault="00A47EF3"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 by residents and whānau interviews, satisfaction surveys, and resident and whānau meeting minutes. This was supported on the day of the audit when residents responded favourably regarding the meals provided on these days.</w:t>
            </w:r>
          </w:p>
          <w:p w14:paraId="1744F73D"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in the secure dementia care unit have access to food and fluid at any time over the 24-hour period.</w:t>
            </w:r>
          </w:p>
          <w:p w14:paraId="4BCD9ED9" w14:textId="77777777" w:rsidR="00A47EF3" w:rsidRPr="00BE00C7" w:rsidRDefault="00A47EF3" w:rsidP="00BE00C7">
            <w:pPr>
              <w:pStyle w:val="OutcomeDescription"/>
              <w:spacing w:before="120" w:after="120"/>
              <w:rPr>
                <w:rFonts w:cs="Arial"/>
                <w:lang w:eastAsia="en-NZ"/>
              </w:rPr>
            </w:pPr>
          </w:p>
        </w:tc>
      </w:tr>
      <w:tr w:rsidR="00350B3B" w14:paraId="702A2AA9" w14:textId="77777777">
        <w:tc>
          <w:tcPr>
            <w:tcW w:w="0" w:type="auto"/>
          </w:tcPr>
          <w:p w14:paraId="6CF17208"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5B081D7"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F71BBFE" w14:textId="77777777" w:rsidR="00A47EF3" w:rsidRPr="00BE00C7" w:rsidRDefault="00A47EF3" w:rsidP="00BE00C7">
            <w:pPr>
              <w:pStyle w:val="OutcomeDescription"/>
              <w:spacing w:before="120" w:after="120"/>
              <w:rPr>
                <w:rFonts w:cs="Arial"/>
                <w:lang w:eastAsia="en-NZ"/>
              </w:rPr>
            </w:pPr>
          </w:p>
        </w:tc>
        <w:tc>
          <w:tcPr>
            <w:tcW w:w="0" w:type="auto"/>
          </w:tcPr>
          <w:p w14:paraId="2945E387"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368D3A" w14:textId="77777777" w:rsidR="00A47EF3" w:rsidRPr="00BE00C7" w:rsidRDefault="00A47EF3" w:rsidP="00BE00C7">
            <w:pPr>
              <w:pStyle w:val="OutcomeDescription"/>
              <w:spacing w:before="120" w:after="120"/>
              <w:rPr>
                <w:rFonts w:cs="Arial"/>
                <w:lang w:eastAsia="en-NZ"/>
              </w:rPr>
            </w:pPr>
            <w:r w:rsidRPr="00BE00C7">
              <w:rPr>
                <w:rFonts w:cs="Arial"/>
                <w:lang w:eastAsia="en-NZ"/>
              </w:rPr>
              <w:t>Any transfers or discharges from Eastcare were managed in a planned, timely and safe manner to cover the residents’ current needs and mitigate risk. The plan was developed with coordination between services and in collaboration with the resident and whānau. The whānau of a resident who was recently transferred reported that they were kept well informed throughout the process.</w:t>
            </w:r>
          </w:p>
          <w:p w14:paraId="3CD4EC72"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Whānau were advised of their options to access other health and disability services, social support, or kaupapa Māori services if the need was identified.</w:t>
            </w:r>
          </w:p>
          <w:p w14:paraId="4F7FAD5A" w14:textId="77777777" w:rsidR="00A47EF3" w:rsidRPr="00BE00C7" w:rsidRDefault="00A47EF3" w:rsidP="00BE00C7">
            <w:pPr>
              <w:pStyle w:val="OutcomeDescription"/>
              <w:spacing w:before="120" w:after="120"/>
              <w:rPr>
                <w:rFonts w:cs="Arial"/>
                <w:lang w:eastAsia="en-NZ"/>
              </w:rPr>
            </w:pPr>
          </w:p>
        </w:tc>
      </w:tr>
      <w:tr w:rsidR="00350B3B" w14:paraId="79828607" w14:textId="77777777">
        <w:tc>
          <w:tcPr>
            <w:tcW w:w="0" w:type="auto"/>
          </w:tcPr>
          <w:p w14:paraId="1CB394DA"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4.1: The facility</w:t>
            </w:r>
          </w:p>
          <w:p w14:paraId="306221A0"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FB0B3F8" w14:textId="77777777" w:rsidR="00A47EF3" w:rsidRPr="00BE00C7" w:rsidRDefault="00A47EF3" w:rsidP="00BE00C7">
            <w:pPr>
              <w:pStyle w:val="OutcomeDescription"/>
              <w:spacing w:before="120" w:after="120"/>
              <w:rPr>
                <w:rFonts w:cs="Arial"/>
                <w:lang w:eastAsia="en-NZ"/>
              </w:rPr>
            </w:pPr>
          </w:p>
        </w:tc>
        <w:tc>
          <w:tcPr>
            <w:tcW w:w="0" w:type="auto"/>
          </w:tcPr>
          <w:p w14:paraId="78F4F773" w14:textId="77777777" w:rsidR="00A47EF3" w:rsidRPr="00BE00C7" w:rsidRDefault="00A47EF3" w:rsidP="00BE00C7">
            <w:pPr>
              <w:pStyle w:val="OutcomeDescription"/>
              <w:spacing w:before="120" w:after="120"/>
              <w:rPr>
                <w:rFonts w:cs="Arial"/>
                <w:lang w:eastAsia="en-NZ"/>
              </w:rPr>
            </w:pPr>
            <w:r w:rsidRPr="00BE00C7">
              <w:rPr>
                <w:rFonts w:cs="Arial"/>
                <w:lang w:eastAsia="en-NZ"/>
              </w:rPr>
              <w:t>PA Moderate</w:t>
            </w:r>
          </w:p>
        </w:tc>
        <w:tc>
          <w:tcPr>
            <w:tcW w:w="0" w:type="auto"/>
          </w:tcPr>
          <w:p w14:paraId="68C5E61E" w14:textId="77777777" w:rsidR="00A47EF3" w:rsidRPr="00BE00C7" w:rsidRDefault="00A47EF3" w:rsidP="00BE00C7">
            <w:pPr>
              <w:pStyle w:val="OutcomeDescription"/>
              <w:spacing w:before="120" w:after="120"/>
              <w:rPr>
                <w:rFonts w:cs="Arial"/>
                <w:lang w:eastAsia="en-NZ"/>
              </w:rPr>
            </w:pPr>
            <w:r w:rsidRPr="00BE00C7">
              <w:rPr>
                <w:rFonts w:cs="Arial"/>
                <w:lang w:eastAsia="en-NZ"/>
              </w:rPr>
              <w:t>There was a current building warrant of fitness with an expiry date of 1 December 2026. Testing and tagging of electrical equipment were being carried out regularly by the certificated maintenance person from the Kaylex Care Mt Herbert facility. Interview and inspection of devices confirmed this had recently occurred. Biomedical equipment was tested annually, last in April 2025.</w:t>
            </w:r>
          </w:p>
          <w:p w14:paraId="0B1A0A1B" w14:textId="77777777" w:rsidR="00A47EF3" w:rsidRPr="00BE00C7" w:rsidRDefault="00A47EF3" w:rsidP="00BE00C7">
            <w:pPr>
              <w:pStyle w:val="OutcomeDescription"/>
              <w:spacing w:before="120" w:after="120"/>
              <w:rPr>
                <w:rFonts w:cs="Arial"/>
                <w:lang w:eastAsia="en-NZ"/>
              </w:rPr>
            </w:pPr>
            <w:r w:rsidRPr="00BE00C7">
              <w:rPr>
                <w:rFonts w:cs="Arial"/>
                <w:lang w:eastAsia="en-NZ"/>
              </w:rPr>
              <w:t>While the environment was comfortable and accessible, the internal and external physical environment and facilities still require improvements and enhancements (refer criterion 4.1.2). Corridors had handrails promoting independence and safe mobility. Personalised equipment was available for residents with disabilities to meet their needs, and residents were observed to be safely using these. Spaces were culturally inclusive and suited the needs of the resident groups. Lounge and dining facilities meet the needs of residents; lounge areas were also used for activities. There were smaller leisure spaces around the facility for residents who require a quiet space or privacy. Rooms were personalised according to the resident’s preference, and there was sufficient space within residents’ rooms for the residents to move around and use personal mobility aids. All rooms have a window allowing for natural light, with safety catches for security. There were adequate numbers of accessible bathroom and toilet facilities throughout the facility, including for staff and visitors. All rooms, bathrooms and communal areas had appropriately situated call bells. The facility had electric heating, which could be adjusted depending on seasonality and outside temperature.</w:t>
            </w:r>
          </w:p>
          <w:p w14:paraId="0102754B"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There were external areas within the facility that were accessible for leisure activities, with appropriate seating and shade, including in the dementia care areas of the service. However, while improvements had been made to outside areas since the previous audit, an area </w:t>
            </w:r>
            <w:r w:rsidRPr="00BE00C7">
              <w:rPr>
                <w:rFonts w:cs="Arial"/>
                <w:lang w:eastAsia="en-NZ"/>
              </w:rPr>
              <w:lastRenderedPageBreak/>
              <w:t>outside one of the secure dementia care wings had a gate that was secured only with a high bolt (which could be accessed by residents). The area on the other side of the gate was unkempt and unsafe, and the fence to neighbouring properties was low enough to allow residents to scale the fence (refer criterion 4.1.2).</w:t>
            </w:r>
          </w:p>
          <w:p w14:paraId="565A7CA9" w14:textId="77777777" w:rsidR="00A47EF3" w:rsidRPr="00BE00C7" w:rsidRDefault="00A47EF3"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A process is in place to ensure consultation or co-design with Māori occurs when a new building is in the design process.</w:t>
            </w:r>
          </w:p>
          <w:p w14:paraId="686D44FF"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and whānau interviewed reported that they were happy with the environment, including heating and ventilation, natural light, privacy, and maintenance.</w:t>
            </w:r>
          </w:p>
          <w:p w14:paraId="42FCDBA1" w14:textId="77777777" w:rsidR="00A47EF3" w:rsidRPr="00BE00C7" w:rsidRDefault="00A47EF3" w:rsidP="00BE00C7">
            <w:pPr>
              <w:pStyle w:val="OutcomeDescription"/>
              <w:spacing w:before="120" w:after="120"/>
              <w:rPr>
                <w:rFonts w:cs="Arial"/>
                <w:lang w:eastAsia="en-NZ"/>
              </w:rPr>
            </w:pPr>
          </w:p>
        </w:tc>
      </w:tr>
      <w:tr w:rsidR="00350B3B" w14:paraId="63A01ED9" w14:textId="77777777">
        <w:tc>
          <w:tcPr>
            <w:tcW w:w="0" w:type="auto"/>
          </w:tcPr>
          <w:p w14:paraId="1F5CB2E1"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24730C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0278110" w14:textId="77777777" w:rsidR="00A47EF3" w:rsidRPr="00BE00C7" w:rsidRDefault="00A47EF3" w:rsidP="00BE00C7">
            <w:pPr>
              <w:pStyle w:val="OutcomeDescription"/>
              <w:spacing w:before="120" w:after="120"/>
              <w:rPr>
                <w:rFonts w:cs="Arial"/>
                <w:lang w:eastAsia="en-NZ"/>
              </w:rPr>
            </w:pPr>
          </w:p>
        </w:tc>
        <w:tc>
          <w:tcPr>
            <w:tcW w:w="0" w:type="auto"/>
          </w:tcPr>
          <w:p w14:paraId="468F07D2" w14:textId="77777777" w:rsidR="00A47EF3" w:rsidRPr="00BE00C7" w:rsidRDefault="00A47EF3" w:rsidP="00BE00C7">
            <w:pPr>
              <w:pStyle w:val="OutcomeDescription"/>
              <w:spacing w:before="120" w:after="120"/>
              <w:rPr>
                <w:rFonts w:cs="Arial"/>
                <w:lang w:eastAsia="en-NZ"/>
              </w:rPr>
            </w:pPr>
            <w:r w:rsidRPr="00BE00C7">
              <w:rPr>
                <w:rFonts w:cs="Arial"/>
                <w:lang w:eastAsia="en-NZ"/>
              </w:rPr>
              <w:t>PA Moderate</w:t>
            </w:r>
          </w:p>
        </w:tc>
        <w:tc>
          <w:tcPr>
            <w:tcW w:w="0" w:type="auto"/>
          </w:tcPr>
          <w:p w14:paraId="782BE84A" w14:textId="77777777" w:rsidR="00A47EF3" w:rsidRPr="00BE00C7" w:rsidRDefault="00A47EF3"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w:t>
            </w:r>
          </w:p>
          <w:p w14:paraId="477B5964" w14:textId="77777777" w:rsidR="00A47EF3" w:rsidRPr="00BE00C7" w:rsidRDefault="00A47EF3" w:rsidP="00BE00C7">
            <w:pPr>
              <w:pStyle w:val="OutcomeDescription"/>
              <w:spacing w:before="120" w:after="120"/>
              <w:rPr>
                <w:rFonts w:cs="Arial"/>
                <w:lang w:eastAsia="en-NZ"/>
              </w:rPr>
            </w:pPr>
            <w:r w:rsidRPr="00BE00C7">
              <w:rPr>
                <w:rFonts w:cs="Arial"/>
                <w:lang w:eastAsia="en-NZ"/>
              </w:rPr>
              <w:t>The fire evacuation plan had been approved by Fire and Emergency New Zealand (FENZ). The plan requires trial evacuation six-monthly; the last evacuation trial was on 2 December 2025. Whilst the service has some emergency supplies for use in the event of a civil defence emergency, these do not meet The National Emergency Management Agency recommendations for the region (refer criteria 4.2.7). Staff were able to provide a level of first aid relevant to the risks for the type of service provided.</w:t>
            </w:r>
          </w:p>
          <w:p w14:paraId="62212A91" w14:textId="77777777" w:rsidR="00A47EF3" w:rsidRPr="00BE00C7" w:rsidRDefault="00A47EF3"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respond promptly to call bells.</w:t>
            </w:r>
          </w:p>
          <w:p w14:paraId="2D6AE354" w14:textId="77777777" w:rsidR="00A47EF3" w:rsidRPr="00BE00C7" w:rsidRDefault="00A47EF3"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789FE182" w14:textId="77777777" w:rsidR="00A47EF3" w:rsidRPr="00BE00C7" w:rsidRDefault="00A47EF3" w:rsidP="00BE00C7">
            <w:pPr>
              <w:pStyle w:val="OutcomeDescription"/>
              <w:spacing w:before="120" w:after="120"/>
              <w:rPr>
                <w:rFonts w:cs="Arial"/>
                <w:lang w:eastAsia="en-NZ"/>
              </w:rPr>
            </w:pPr>
          </w:p>
          <w:p w14:paraId="289B29D2" w14:textId="77777777" w:rsidR="00A47EF3" w:rsidRPr="00BE00C7" w:rsidRDefault="00A47EF3" w:rsidP="00BE00C7">
            <w:pPr>
              <w:pStyle w:val="OutcomeDescription"/>
              <w:spacing w:before="120" w:after="120"/>
              <w:rPr>
                <w:rFonts w:cs="Arial"/>
                <w:lang w:eastAsia="en-NZ"/>
              </w:rPr>
            </w:pPr>
          </w:p>
        </w:tc>
      </w:tr>
      <w:tr w:rsidR="00350B3B" w14:paraId="105777A6" w14:textId="77777777">
        <w:tc>
          <w:tcPr>
            <w:tcW w:w="0" w:type="auto"/>
          </w:tcPr>
          <w:p w14:paraId="10CC6891"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5.1: Governance</w:t>
            </w:r>
          </w:p>
          <w:p w14:paraId="0CD42E36"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FD958C" w14:textId="77777777" w:rsidR="00A47EF3" w:rsidRPr="00BE00C7" w:rsidRDefault="00A47EF3" w:rsidP="00BE00C7">
            <w:pPr>
              <w:pStyle w:val="OutcomeDescription"/>
              <w:spacing w:before="120" w:after="120"/>
              <w:rPr>
                <w:rFonts w:cs="Arial"/>
                <w:lang w:eastAsia="en-NZ"/>
              </w:rPr>
            </w:pPr>
          </w:p>
        </w:tc>
        <w:tc>
          <w:tcPr>
            <w:tcW w:w="0" w:type="auto"/>
          </w:tcPr>
          <w:p w14:paraId="155F0416"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792C8CDE"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has infection prevention (IP) and antimicrobial stewardship (AMS) outlined in its policy documents. The IP and AMS programmes were appropriate to the size and complexity of the service. They had been approved by the GM and directors of the facility, were linked to the quality improvement system, and were being reviewed and reported on annually. Any significant issues within the service (e.g., outbreaks) had been escalated immediately through established reporting systems.</w:t>
            </w:r>
          </w:p>
          <w:p w14:paraId="3D25086D" w14:textId="77777777" w:rsidR="00A47EF3" w:rsidRPr="00BE00C7" w:rsidRDefault="00A47EF3" w:rsidP="00BE00C7">
            <w:pPr>
              <w:pStyle w:val="OutcomeDescription"/>
              <w:spacing w:before="120" w:after="120"/>
              <w:rPr>
                <w:rFonts w:cs="Arial"/>
                <w:lang w:eastAsia="en-NZ"/>
              </w:rPr>
            </w:pPr>
            <w:r w:rsidRPr="00BE00C7">
              <w:rPr>
                <w:rFonts w:cs="Arial"/>
                <w:lang w:eastAsia="en-NZ"/>
              </w:rPr>
              <w:t>The IP and AMS programme was being supported through clinically competent specialist personnel who make sure that IP and AMS are being appropriately managed at the facility. Clinical staff can access IP and AMS specialist expertise and support through Te Whatu Ora (including nurse specialists, district nurses, and infection prevention and control nurse specialists) and through Regional Public Health (RPH).</w:t>
            </w:r>
          </w:p>
          <w:p w14:paraId="50C1071A" w14:textId="77777777" w:rsidR="00A47EF3" w:rsidRPr="00BE00C7" w:rsidRDefault="00A47EF3" w:rsidP="00BE00C7">
            <w:pPr>
              <w:pStyle w:val="OutcomeDescription"/>
              <w:spacing w:before="120" w:after="120"/>
              <w:rPr>
                <w:rFonts w:cs="Arial"/>
                <w:lang w:eastAsia="en-NZ"/>
              </w:rPr>
            </w:pPr>
            <w:r w:rsidRPr="00BE00C7">
              <w:rPr>
                <w:rFonts w:cs="Arial"/>
                <w:lang w:eastAsia="en-NZ"/>
              </w:rPr>
              <w:t>Infection prevention and AMS information was being discussed at facility level and was reported to the board. Information presented to the board includes ethnicity data to support equity in the IP and AMS programmes.</w:t>
            </w:r>
          </w:p>
          <w:p w14:paraId="183A518E" w14:textId="77777777" w:rsidR="00A47EF3" w:rsidRPr="00BE00C7" w:rsidRDefault="00A47EF3" w:rsidP="00BE00C7">
            <w:pPr>
              <w:pStyle w:val="OutcomeDescription"/>
              <w:spacing w:before="120" w:after="120"/>
              <w:rPr>
                <w:rFonts w:cs="Arial"/>
                <w:lang w:eastAsia="en-NZ"/>
              </w:rPr>
            </w:pPr>
          </w:p>
        </w:tc>
      </w:tr>
      <w:tr w:rsidR="00350B3B" w14:paraId="45DBC760" w14:textId="77777777">
        <w:tc>
          <w:tcPr>
            <w:tcW w:w="0" w:type="auto"/>
          </w:tcPr>
          <w:p w14:paraId="0695E497"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6F1AB2"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5FEE17" w14:textId="77777777" w:rsidR="00A47EF3" w:rsidRPr="00BE00C7" w:rsidRDefault="00A47EF3" w:rsidP="00BE00C7">
            <w:pPr>
              <w:pStyle w:val="OutcomeDescription"/>
              <w:spacing w:before="120" w:after="120"/>
              <w:rPr>
                <w:rFonts w:cs="Arial"/>
                <w:lang w:eastAsia="en-NZ"/>
              </w:rPr>
            </w:pPr>
          </w:p>
        </w:tc>
        <w:tc>
          <w:tcPr>
            <w:tcW w:w="0" w:type="auto"/>
          </w:tcPr>
          <w:p w14:paraId="0F3DB084"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4CA9685B" w14:textId="77777777" w:rsidR="00A47EF3" w:rsidRPr="00BE00C7" w:rsidRDefault="00A47EF3" w:rsidP="00BE00C7">
            <w:pPr>
              <w:pStyle w:val="OutcomeDescription"/>
              <w:spacing w:before="120" w:after="120"/>
              <w:rPr>
                <w:rFonts w:cs="Arial"/>
                <w:lang w:eastAsia="en-NZ"/>
              </w:rPr>
            </w:pPr>
            <w:r w:rsidRPr="00BE00C7">
              <w:rPr>
                <w:rFonts w:cs="Arial"/>
                <w:lang w:eastAsia="en-NZ"/>
              </w:rPr>
              <w:t>The infection control coordinator (ICC) at Eastcare was responsible for overseeing and implementing the IP and AMS programmes, with reporting lines to the FM. The ICC had the appropriate skills, knowledge, and qualifications for the role and confirmed access to the necessary resources and support. Their advice had been sought when making decisions around procurement relevant to care delivery, facility changes, including building or redesign of the existing building, and policies.</w:t>
            </w:r>
          </w:p>
          <w:p w14:paraId="1A1551F0"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provided by an external advisory company. Cultural advice at Eastcare was accessed through the staff who identified as Māori and the cultural advisor/kaumātua. Staff were familiar with policies through education during orientation, and ongoing education, and were observed following these correctly. Policies and processes ensured that reusable and shared equipment </w:t>
            </w:r>
            <w:r w:rsidRPr="00BE00C7">
              <w:rPr>
                <w:rFonts w:cs="Arial"/>
                <w:lang w:eastAsia="en-NZ"/>
              </w:rPr>
              <w:lastRenderedPageBreak/>
              <w:t>was appropriately decontaminated using best practice guidelines. Individual-use items were discarded after being used. Staff who identified as Māori and speak te reo Māori can provide infection control advice in te reo Māori if needed. Educational resources available in te reo Māori are accessible and understandable for Māori accessing services.</w:t>
            </w:r>
          </w:p>
          <w:p w14:paraId="3EF526B9"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pandemic/infectious diseases response plan was documented and had been assessed. There were sufficient resources and personal protective equipment (PPE) available, stocks were sighted, and staff verified their availability at the interview. Staff had been trained in their use. Residents and their whānau were educated about infection prevention in a manner that met their needs. Residents were educated daily, in resident meetings and by notices on the residents’ notice board.</w:t>
            </w:r>
          </w:p>
          <w:p w14:paraId="5DDB6C6F" w14:textId="77777777" w:rsidR="00A47EF3" w:rsidRPr="00BE00C7" w:rsidRDefault="00A47EF3" w:rsidP="00BE00C7">
            <w:pPr>
              <w:pStyle w:val="OutcomeDescription"/>
              <w:spacing w:before="120" w:after="120"/>
              <w:rPr>
                <w:rFonts w:cs="Arial"/>
                <w:lang w:eastAsia="en-NZ"/>
              </w:rPr>
            </w:pPr>
          </w:p>
        </w:tc>
      </w:tr>
      <w:tr w:rsidR="00350B3B" w14:paraId="37395E3E" w14:textId="77777777">
        <w:tc>
          <w:tcPr>
            <w:tcW w:w="0" w:type="auto"/>
          </w:tcPr>
          <w:p w14:paraId="1B7C7AAE"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17B1FA8"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B7A3D95" w14:textId="77777777" w:rsidR="00A47EF3" w:rsidRPr="00BE00C7" w:rsidRDefault="00A47EF3" w:rsidP="00BE00C7">
            <w:pPr>
              <w:pStyle w:val="OutcomeDescription"/>
              <w:spacing w:before="120" w:after="120"/>
              <w:rPr>
                <w:rFonts w:cs="Arial"/>
                <w:lang w:eastAsia="en-NZ"/>
              </w:rPr>
            </w:pPr>
          </w:p>
        </w:tc>
        <w:tc>
          <w:tcPr>
            <w:tcW w:w="0" w:type="auto"/>
          </w:tcPr>
          <w:p w14:paraId="5B9956E4"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24A759E6"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had a documented antimicrobial stewardship (AMS) programme in place that is committed to promoting the responsible use of antimicrobials. The AMS programme has been developed using the evidence-based expertise of an external advisory company and has been approved by the governing body. Policies and procedures were in place that complied with evidence-informed practice. The effectiveness of the AMS programme had been evaluated by monitoring the quality and quantity of antimicrobial use. Evidence was sighted of a reduction in the use of antibiotics and the identification of ongoing areas for improvement.</w:t>
            </w:r>
          </w:p>
          <w:p w14:paraId="433083B4" w14:textId="77777777" w:rsidR="00A47EF3" w:rsidRPr="00BE00C7" w:rsidRDefault="00A47EF3" w:rsidP="00BE00C7">
            <w:pPr>
              <w:pStyle w:val="OutcomeDescription"/>
              <w:spacing w:before="120" w:after="120"/>
              <w:rPr>
                <w:rFonts w:cs="Arial"/>
                <w:lang w:eastAsia="en-NZ"/>
              </w:rPr>
            </w:pPr>
          </w:p>
        </w:tc>
      </w:tr>
      <w:tr w:rsidR="00350B3B" w14:paraId="32A36F6B" w14:textId="77777777">
        <w:tc>
          <w:tcPr>
            <w:tcW w:w="0" w:type="auto"/>
          </w:tcPr>
          <w:p w14:paraId="2EE13FCD" w14:textId="77777777" w:rsidR="00A47EF3" w:rsidRPr="00BE00C7" w:rsidRDefault="00A47EF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25955B2"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w:t>
            </w:r>
            <w:r w:rsidRPr="00BE00C7">
              <w:rPr>
                <w:rFonts w:cs="Arial"/>
                <w:lang w:eastAsia="en-NZ"/>
              </w:rPr>
              <w:lastRenderedPageBreak/>
              <w:t>methods specified in the infection prevention programme, and with an equity focus.</w:t>
            </w:r>
          </w:p>
          <w:p w14:paraId="08394650" w14:textId="77777777" w:rsidR="00A47EF3" w:rsidRPr="00BE00C7" w:rsidRDefault="00A47EF3" w:rsidP="00BE00C7">
            <w:pPr>
              <w:pStyle w:val="OutcomeDescription"/>
              <w:spacing w:before="120" w:after="120"/>
              <w:rPr>
                <w:rFonts w:cs="Arial"/>
                <w:lang w:eastAsia="en-NZ"/>
              </w:rPr>
            </w:pPr>
          </w:p>
        </w:tc>
        <w:tc>
          <w:tcPr>
            <w:tcW w:w="0" w:type="auto"/>
          </w:tcPr>
          <w:p w14:paraId="184B2AD4"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B6D099"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undertakes surveillance of infections appropriate to that recommended for long-term care facilities, and this was in line with priorities defined in the infection control programme. Eastcare used standardised surveillance definitions to identify and classify infection events that relate to the type of infection under surveillance.</w:t>
            </w:r>
          </w:p>
          <w:p w14:paraId="7E6D3F4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possible causative factors, and required actions. Results of the surveillance programme were reported to the directors of the </w:t>
            </w:r>
            <w:r w:rsidRPr="00BE00C7">
              <w:rPr>
                <w:rFonts w:cs="Arial"/>
                <w:lang w:eastAsia="en-NZ"/>
              </w:rPr>
              <w:lastRenderedPageBreak/>
              <w:t>service and the GM and shared with staff. Surveillance data included ethnicity data.</w:t>
            </w:r>
          </w:p>
          <w:p w14:paraId="4022058D" w14:textId="77777777" w:rsidR="00A47EF3" w:rsidRPr="00BE00C7" w:rsidRDefault="00A47EF3"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whānau, and these were documented.</w:t>
            </w:r>
          </w:p>
          <w:p w14:paraId="743BBBE0" w14:textId="77777777" w:rsidR="00A47EF3" w:rsidRPr="00BE00C7" w:rsidRDefault="00A47EF3" w:rsidP="00BE00C7">
            <w:pPr>
              <w:pStyle w:val="OutcomeDescription"/>
              <w:spacing w:before="120" w:after="120"/>
              <w:rPr>
                <w:rFonts w:cs="Arial"/>
                <w:lang w:eastAsia="en-NZ"/>
              </w:rPr>
            </w:pPr>
          </w:p>
        </w:tc>
      </w:tr>
      <w:tr w:rsidR="00350B3B" w14:paraId="13494514" w14:textId="77777777">
        <w:tc>
          <w:tcPr>
            <w:tcW w:w="0" w:type="auto"/>
          </w:tcPr>
          <w:p w14:paraId="42F63D34"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5.5: Environment</w:t>
            </w:r>
          </w:p>
          <w:p w14:paraId="7B96CBD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31773D6" w14:textId="77777777" w:rsidR="00A47EF3" w:rsidRPr="00BE00C7" w:rsidRDefault="00A47EF3" w:rsidP="00BE00C7">
            <w:pPr>
              <w:pStyle w:val="OutcomeDescription"/>
              <w:spacing w:before="120" w:after="120"/>
              <w:rPr>
                <w:rFonts w:cs="Arial"/>
                <w:lang w:eastAsia="en-NZ"/>
              </w:rPr>
            </w:pPr>
          </w:p>
        </w:tc>
        <w:tc>
          <w:tcPr>
            <w:tcW w:w="0" w:type="auto"/>
          </w:tcPr>
          <w:p w14:paraId="15C3CC82" w14:textId="77777777" w:rsidR="00A47EF3" w:rsidRPr="00BE00C7" w:rsidRDefault="00A47EF3" w:rsidP="00BE00C7">
            <w:pPr>
              <w:pStyle w:val="OutcomeDescription"/>
              <w:spacing w:before="120" w:after="120"/>
              <w:rPr>
                <w:rFonts w:cs="Arial"/>
                <w:lang w:eastAsia="en-NZ"/>
              </w:rPr>
            </w:pPr>
            <w:r w:rsidRPr="00BE00C7">
              <w:rPr>
                <w:rFonts w:cs="Arial"/>
                <w:lang w:eastAsia="en-NZ"/>
              </w:rPr>
              <w:t>FA</w:t>
            </w:r>
          </w:p>
        </w:tc>
        <w:tc>
          <w:tcPr>
            <w:tcW w:w="0" w:type="auto"/>
          </w:tcPr>
          <w:p w14:paraId="1389630F" w14:textId="77777777" w:rsidR="00A47EF3" w:rsidRPr="00BE00C7" w:rsidRDefault="00A47EF3" w:rsidP="00BE00C7">
            <w:pPr>
              <w:pStyle w:val="OutcomeDescription"/>
              <w:spacing w:before="120" w:after="120"/>
              <w:rPr>
                <w:rFonts w:cs="Arial"/>
                <w:lang w:eastAsia="en-NZ"/>
              </w:rPr>
            </w:pPr>
            <w:r w:rsidRPr="00BE00C7">
              <w:rPr>
                <w:rFonts w:cs="Arial"/>
                <w:lang w:eastAsia="en-NZ"/>
              </w:rPr>
              <w:t>A clean and hygienic environment was maintained at Eastcare to support infection prevention and control of antimicrobial-resistant organisms. Some internal areas, however, were noted to be looking tired and require refurbishment (refer criterion 4.1.2). Secure storage areas were available and accessible to staff as needed. Chemicals were properly labelled and safely stored within these designated areas, with a closed system implemented. Sluice rooms facilitated the safe disposal of soiled water and waste. Hand washing facilities and sanitising gel were accessible throughout the facility.</w:t>
            </w:r>
          </w:p>
          <w:p w14:paraId="18A9E309" w14:textId="77777777" w:rsidR="00A47EF3" w:rsidRPr="00BE00C7" w:rsidRDefault="00A47EF3"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Appropriate personal protective equipment was provided to staff responsible for handling contaminated materials, waste, and hazardous substances, as well as those involved in cleaning and laundering activities; staff were sighted to be using these during the audit.</w:t>
            </w:r>
          </w:p>
          <w:p w14:paraId="487786AB" w14:textId="77777777" w:rsidR="00A47EF3" w:rsidRPr="00BE00C7" w:rsidRDefault="00A47EF3" w:rsidP="00BE00C7">
            <w:pPr>
              <w:pStyle w:val="OutcomeDescription"/>
              <w:spacing w:before="120" w:after="120"/>
              <w:rPr>
                <w:rFonts w:cs="Arial"/>
                <w:lang w:eastAsia="en-NZ"/>
              </w:rPr>
            </w:pPr>
            <w:r w:rsidRPr="00BE00C7">
              <w:rPr>
                <w:rFonts w:cs="Arial"/>
                <w:lang w:eastAsia="en-NZ"/>
              </w:rPr>
              <w:t>Laundry was laundered on site, including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w:t>
            </w:r>
          </w:p>
          <w:p w14:paraId="2C762304"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Other than the areas identified as requiring refurbishment (refer criterion 4.1.2), the internal environment was observed to be clean and tidy. Safe and effective cleaning processes identified the methods, frequency, and materials to be used in cleaning processes. Clear separation of the use of clean and dirty items was observed. </w:t>
            </w:r>
            <w:r w:rsidRPr="00BE00C7">
              <w:rPr>
                <w:rFonts w:cs="Arial"/>
                <w:lang w:eastAsia="en-NZ"/>
              </w:rPr>
              <w:lastRenderedPageBreak/>
              <w:t>Designated access was provided to maintain the safe storage of cleaning chemicals and cleaning equipment.</w:t>
            </w:r>
          </w:p>
          <w:p w14:paraId="4B2A2293" w14:textId="77777777" w:rsidR="00A47EF3" w:rsidRPr="00BE00C7" w:rsidRDefault="00A47EF3" w:rsidP="00BE00C7">
            <w:pPr>
              <w:pStyle w:val="OutcomeDescription"/>
              <w:spacing w:before="120" w:after="120"/>
              <w:rPr>
                <w:rFonts w:cs="Arial"/>
                <w:lang w:eastAsia="en-NZ"/>
              </w:rPr>
            </w:pPr>
            <w:r w:rsidRPr="00BE00C7">
              <w:rPr>
                <w:rFonts w:cs="Arial"/>
                <w:lang w:eastAsia="en-NZ"/>
              </w:rPr>
              <w:t>Laundry and cleaning processes were monitored for effectiveness, despite a number of internal audits not being completed (refer criterion 2.2.3). Staff involved had completed relevant training and were observed to perform duties safely.</w:t>
            </w:r>
          </w:p>
          <w:p w14:paraId="2A7D3E3D" w14:textId="77777777" w:rsidR="00A47EF3" w:rsidRPr="00BE00C7" w:rsidRDefault="00A47EF3"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w:t>
            </w:r>
          </w:p>
          <w:p w14:paraId="21C98606" w14:textId="77777777" w:rsidR="00A47EF3" w:rsidRPr="00BE00C7" w:rsidRDefault="00A47EF3" w:rsidP="00BE00C7">
            <w:pPr>
              <w:pStyle w:val="OutcomeDescription"/>
              <w:spacing w:before="120" w:after="120"/>
              <w:rPr>
                <w:rFonts w:cs="Arial"/>
                <w:lang w:eastAsia="en-NZ"/>
              </w:rPr>
            </w:pPr>
            <w:r w:rsidRPr="00BE00C7">
              <w:rPr>
                <w:rFonts w:cs="Arial"/>
                <w:lang w:eastAsia="en-NZ"/>
              </w:rPr>
              <w:t>The IPC role included oversight of the facility testing and monitoring programme for the built environment.</w:t>
            </w:r>
          </w:p>
          <w:p w14:paraId="4B27622E" w14:textId="77777777" w:rsidR="00A47EF3" w:rsidRPr="00BE00C7" w:rsidRDefault="00A47EF3" w:rsidP="00BE00C7">
            <w:pPr>
              <w:pStyle w:val="OutcomeDescription"/>
              <w:spacing w:before="120" w:after="120"/>
              <w:rPr>
                <w:rFonts w:cs="Arial"/>
                <w:lang w:eastAsia="en-NZ"/>
              </w:rPr>
            </w:pPr>
          </w:p>
          <w:p w14:paraId="40EE5BEC" w14:textId="77777777" w:rsidR="00A47EF3" w:rsidRPr="00BE00C7" w:rsidRDefault="00A47EF3" w:rsidP="00BE00C7">
            <w:pPr>
              <w:pStyle w:val="OutcomeDescription"/>
              <w:spacing w:before="120" w:after="120"/>
              <w:rPr>
                <w:rFonts w:cs="Arial"/>
                <w:lang w:eastAsia="en-NZ"/>
              </w:rPr>
            </w:pPr>
          </w:p>
        </w:tc>
      </w:tr>
      <w:tr w:rsidR="00350B3B" w14:paraId="06183F17" w14:textId="77777777">
        <w:tc>
          <w:tcPr>
            <w:tcW w:w="0" w:type="auto"/>
          </w:tcPr>
          <w:p w14:paraId="7CEBC9A8"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CA4377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2F1307E" w14:textId="77777777" w:rsidR="00A47EF3" w:rsidRPr="00BE00C7" w:rsidRDefault="00A47EF3" w:rsidP="00BE00C7">
            <w:pPr>
              <w:pStyle w:val="OutcomeDescription"/>
              <w:spacing w:before="120" w:after="120"/>
              <w:rPr>
                <w:rFonts w:cs="Arial"/>
                <w:lang w:eastAsia="en-NZ"/>
              </w:rPr>
            </w:pPr>
          </w:p>
        </w:tc>
        <w:tc>
          <w:tcPr>
            <w:tcW w:w="0" w:type="auto"/>
          </w:tcPr>
          <w:p w14:paraId="39DE1E47" w14:textId="77777777" w:rsidR="00A47EF3" w:rsidRPr="00BE00C7" w:rsidRDefault="00A47EF3" w:rsidP="00BE00C7">
            <w:pPr>
              <w:pStyle w:val="OutcomeDescription"/>
              <w:spacing w:before="120" w:after="120"/>
              <w:rPr>
                <w:rFonts w:cs="Arial"/>
                <w:lang w:eastAsia="en-NZ"/>
              </w:rPr>
            </w:pPr>
            <w:r w:rsidRPr="00BE00C7">
              <w:rPr>
                <w:rFonts w:cs="Arial"/>
                <w:lang w:eastAsia="en-NZ"/>
              </w:rPr>
              <w:t>PA Low</w:t>
            </w:r>
          </w:p>
        </w:tc>
        <w:tc>
          <w:tcPr>
            <w:tcW w:w="0" w:type="auto"/>
          </w:tcPr>
          <w:p w14:paraId="193C4EBB" w14:textId="77777777" w:rsidR="00A47EF3" w:rsidRPr="00BE00C7" w:rsidRDefault="00A47EF3" w:rsidP="00BE00C7">
            <w:pPr>
              <w:pStyle w:val="OutcomeDescription"/>
              <w:spacing w:before="120" w:after="120"/>
              <w:rPr>
                <w:rFonts w:cs="Arial"/>
                <w:lang w:eastAsia="en-NZ"/>
              </w:rPr>
            </w:pPr>
            <w:r w:rsidRPr="00BE00C7">
              <w:rPr>
                <w:rFonts w:cs="Arial"/>
                <w:lang w:eastAsia="en-NZ"/>
              </w:rPr>
              <w:t>Maintaining a restraint-free environment is the aim and philosophy of the service. Interview with the GM demonstrated a continued commitment to this, which is supported by the FM and CNM (who is the restraint coordinator) at a service delivery level. At the time of audit, there was no restraint in use, and this has been the case for more than 13 years. Any use of restraint would be reported to the directors, and the GM. Restraint is an integral part of the resident management system in use by the service.</w:t>
            </w:r>
          </w:p>
          <w:p w14:paraId="39A5139B" w14:textId="77777777" w:rsidR="00A47EF3" w:rsidRPr="00BE00C7" w:rsidRDefault="00A47EF3" w:rsidP="00BE00C7">
            <w:pPr>
              <w:pStyle w:val="OutcomeDescription"/>
              <w:spacing w:before="120" w:after="120"/>
              <w:rPr>
                <w:rFonts w:cs="Arial"/>
                <w:lang w:eastAsia="en-NZ"/>
              </w:rPr>
            </w:pPr>
            <w:r w:rsidRPr="00BE00C7">
              <w:rPr>
                <w:rFonts w:cs="Arial"/>
                <w:lang w:eastAsia="en-NZ"/>
              </w:rPr>
              <w:t>Policies and procedures meet the requirements of the standards. While staff have received training in alternative cultural-specific interventions and de-escalation techniques, education on least restrictive and safe restraint practice has not occurred (refer criterion 6.1.6).</w:t>
            </w:r>
          </w:p>
          <w:p w14:paraId="0CEDF994" w14:textId="77777777" w:rsidR="00A47EF3" w:rsidRPr="00BE00C7" w:rsidRDefault="00A47EF3" w:rsidP="00BE00C7">
            <w:pPr>
              <w:pStyle w:val="OutcomeDescription"/>
              <w:spacing w:before="120" w:after="120"/>
              <w:rPr>
                <w:rFonts w:cs="Arial"/>
                <w:lang w:eastAsia="en-NZ"/>
              </w:rPr>
            </w:pPr>
            <w:r w:rsidRPr="00BE00C7">
              <w:rPr>
                <w:rFonts w:cs="Arial"/>
                <w:lang w:eastAsia="en-NZ"/>
              </w:rPr>
              <w:t>The restraint approval group would be responsible for the approval of the use of restraints and the restraint processes if restraint were to be considered. The group would comprise of the resident (if applicable), their whānau (as applicable), the FM, CMN, and the GP and/or NP. There are clear lines of accountability in policy documentation.</w:t>
            </w:r>
          </w:p>
          <w:p w14:paraId="208C5532" w14:textId="77777777" w:rsidR="00A47EF3" w:rsidRPr="00BE00C7" w:rsidRDefault="00A47EF3" w:rsidP="00BE00C7">
            <w:pPr>
              <w:pStyle w:val="OutcomeDescription"/>
              <w:spacing w:before="120" w:after="120"/>
              <w:rPr>
                <w:rFonts w:cs="Arial"/>
                <w:lang w:eastAsia="en-NZ"/>
              </w:rPr>
            </w:pPr>
            <w:r w:rsidRPr="00BE00C7">
              <w:rPr>
                <w:rFonts w:cs="Arial"/>
                <w:lang w:eastAsia="en-NZ"/>
              </w:rPr>
              <w:t>Given no restraint was in use by the service, Subsections 6.2 and 6.3 have not been audited.</w:t>
            </w:r>
          </w:p>
          <w:p w14:paraId="42AD1C02" w14:textId="77777777" w:rsidR="00A47EF3" w:rsidRPr="00BE00C7" w:rsidRDefault="00A47EF3" w:rsidP="00BE00C7">
            <w:pPr>
              <w:pStyle w:val="OutcomeDescription"/>
              <w:spacing w:before="120" w:after="120"/>
              <w:rPr>
                <w:rFonts w:cs="Arial"/>
                <w:lang w:eastAsia="en-NZ"/>
              </w:rPr>
            </w:pPr>
          </w:p>
        </w:tc>
      </w:tr>
    </w:tbl>
    <w:p w14:paraId="6B38F7F8" w14:textId="77777777" w:rsidR="00A47EF3" w:rsidRPr="00BE00C7" w:rsidRDefault="00A47EF3" w:rsidP="00BE00C7">
      <w:pPr>
        <w:pStyle w:val="OutcomeDescription"/>
        <w:spacing w:before="120" w:after="120"/>
        <w:rPr>
          <w:rFonts w:cs="Arial"/>
          <w:lang w:eastAsia="en-NZ"/>
        </w:rPr>
      </w:pPr>
      <w:bookmarkStart w:id="56" w:name="AuditSummaryAttainment"/>
      <w:bookmarkEnd w:id="56"/>
    </w:p>
    <w:p w14:paraId="038DE227" w14:textId="77777777" w:rsidR="00A47EF3" w:rsidRDefault="00A47EF3">
      <w:pPr>
        <w:pStyle w:val="Heading1"/>
        <w:rPr>
          <w:rFonts w:cs="Arial"/>
        </w:rPr>
      </w:pPr>
      <w:r>
        <w:rPr>
          <w:rFonts w:cs="Arial"/>
        </w:rPr>
        <w:lastRenderedPageBreak/>
        <w:t>Specific results for criterion where corrective actions are required</w:t>
      </w:r>
    </w:p>
    <w:p w14:paraId="7529ABC9" w14:textId="77777777" w:rsidR="00A47EF3" w:rsidRDefault="00A47EF3">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AB03202" w14:textId="77777777" w:rsidR="00A47EF3" w:rsidRDefault="00A47EF3">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47B5776" w14:textId="77777777" w:rsidR="00A47EF3" w:rsidRDefault="00A47EF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300"/>
        <w:gridCol w:w="3289"/>
        <w:gridCol w:w="3529"/>
        <w:gridCol w:w="3251"/>
      </w:tblGrid>
      <w:tr w:rsidR="00350B3B" w14:paraId="236A14E5" w14:textId="77777777">
        <w:tc>
          <w:tcPr>
            <w:tcW w:w="0" w:type="auto"/>
          </w:tcPr>
          <w:p w14:paraId="7AD71072" w14:textId="77777777" w:rsidR="00A47EF3" w:rsidRPr="00BE00C7" w:rsidRDefault="00A47EF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79EE9AA"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76E92A"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DBB1E5"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9447C88"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50B3B" w14:paraId="3ADD6754" w14:textId="77777777">
        <w:tc>
          <w:tcPr>
            <w:tcW w:w="0" w:type="auto"/>
          </w:tcPr>
          <w:p w14:paraId="37B06477" w14:textId="77777777" w:rsidR="00A47EF3" w:rsidRPr="00BE00C7" w:rsidRDefault="00A47EF3" w:rsidP="00BE00C7">
            <w:pPr>
              <w:pStyle w:val="OutcomeDescription"/>
              <w:spacing w:before="120" w:after="120"/>
              <w:rPr>
                <w:rFonts w:cs="Arial"/>
                <w:lang w:eastAsia="en-NZ"/>
              </w:rPr>
            </w:pPr>
            <w:r w:rsidRPr="00BE00C7">
              <w:rPr>
                <w:rFonts w:cs="Arial"/>
                <w:lang w:eastAsia="en-NZ"/>
              </w:rPr>
              <w:t>Criterion 2.2.3</w:t>
            </w:r>
          </w:p>
          <w:p w14:paraId="050B09D1" w14:textId="77777777" w:rsidR="00A47EF3" w:rsidRPr="00BE00C7" w:rsidRDefault="00A47EF3"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13844F93" w14:textId="77777777" w:rsidR="00A47EF3" w:rsidRPr="00BE00C7" w:rsidRDefault="00A47EF3" w:rsidP="00BE00C7">
            <w:pPr>
              <w:pStyle w:val="OutcomeDescription"/>
              <w:spacing w:before="120" w:after="120"/>
              <w:rPr>
                <w:rFonts w:cs="Arial"/>
                <w:lang w:eastAsia="en-NZ"/>
              </w:rPr>
            </w:pPr>
            <w:r w:rsidRPr="00BE00C7">
              <w:rPr>
                <w:rFonts w:cs="Arial"/>
                <w:lang w:eastAsia="en-NZ"/>
              </w:rPr>
              <w:t>PA Low</w:t>
            </w:r>
          </w:p>
        </w:tc>
        <w:tc>
          <w:tcPr>
            <w:tcW w:w="0" w:type="auto"/>
          </w:tcPr>
          <w:p w14:paraId="55ED7A2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service has an internal audit schedule in place to monitor service requirements and resident risk and safety. This schedule has not been adhered to. Nine audits have been completed in the last twelve months (from a schedule of 70 audits) related to monthly maintenance (four), wheelchair maintenance (one), admission processes (one), progress notes documentation (one), kitchen quality overview (one), and kitchen infection prevention and safety (one). Audits not completed related to, for example, privacy and rights, wound care, weight and nutrition, and care planning. In addition to this, corrective actions arising from the internal </w:t>
            </w:r>
            <w:r w:rsidRPr="00BE00C7">
              <w:rPr>
                <w:rFonts w:cs="Arial"/>
                <w:lang w:eastAsia="en-NZ"/>
              </w:rPr>
              <w:lastRenderedPageBreak/>
              <w:t>audits completed had not been signed off (though some had been addressed and there was documentation to show this). A corrective action (sighted) to manage this process has been generated and will be implemented over the next few months.</w:t>
            </w:r>
          </w:p>
          <w:p w14:paraId="12748D34" w14:textId="77777777" w:rsidR="00A47EF3" w:rsidRPr="00BE00C7" w:rsidRDefault="00A47EF3" w:rsidP="00BE00C7">
            <w:pPr>
              <w:pStyle w:val="OutcomeDescription"/>
              <w:spacing w:before="120" w:after="120"/>
              <w:rPr>
                <w:rFonts w:cs="Arial"/>
                <w:lang w:eastAsia="en-NZ"/>
              </w:rPr>
            </w:pPr>
          </w:p>
        </w:tc>
        <w:tc>
          <w:tcPr>
            <w:tcW w:w="0" w:type="auto"/>
          </w:tcPr>
          <w:p w14:paraId="1C59C59B"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Not all internal audits have been completed as per the facility’s schedule and, while some of the corrective actions arising from the audits have been addressed, these have not been signed off in the electronic register.</w:t>
            </w:r>
          </w:p>
          <w:p w14:paraId="3AFE8A40" w14:textId="77777777" w:rsidR="00A47EF3" w:rsidRPr="00BE00C7" w:rsidRDefault="00A47EF3" w:rsidP="00BE00C7">
            <w:pPr>
              <w:pStyle w:val="OutcomeDescription"/>
              <w:spacing w:before="120" w:after="120"/>
              <w:rPr>
                <w:rFonts w:cs="Arial"/>
                <w:lang w:eastAsia="en-NZ"/>
              </w:rPr>
            </w:pPr>
          </w:p>
        </w:tc>
        <w:tc>
          <w:tcPr>
            <w:tcW w:w="0" w:type="auto"/>
          </w:tcPr>
          <w:p w14:paraId="520A82E7" w14:textId="77777777" w:rsidR="00A47EF3" w:rsidRPr="00BE00C7" w:rsidRDefault="00A47EF3" w:rsidP="00BE00C7">
            <w:pPr>
              <w:pStyle w:val="OutcomeDescription"/>
              <w:spacing w:before="120" w:after="120"/>
              <w:rPr>
                <w:rFonts w:cs="Arial"/>
                <w:lang w:eastAsia="en-NZ"/>
              </w:rPr>
            </w:pPr>
            <w:r w:rsidRPr="00BE00C7">
              <w:rPr>
                <w:rFonts w:cs="Arial"/>
                <w:lang w:eastAsia="en-NZ"/>
              </w:rPr>
              <w:t>Provide evidence that internal audits are being completed as per the facility’s schedule and that corrective actions have been signed off in the electronic register once addressed.</w:t>
            </w:r>
          </w:p>
          <w:p w14:paraId="784CC6F5" w14:textId="77777777" w:rsidR="00A47EF3" w:rsidRPr="00BE00C7" w:rsidRDefault="00A47EF3" w:rsidP="00BE00C7">
            <w:pPr>
              <w:pStyle w:val="OutcomeDescription"/>
              <w:spacing w:before="120" w:after="120"/>
              <w:rPr>
                <w:rFonts w:cs="Arial"/>
                <w:lang w:eastAsia="en-NZ"/>
              </w:rPr>
            </w:pPr>
          </w:p>
          <w:p w14:paraId="3479AC8D" w14:textId="77777777" w:rsidR="00A47EF3" w:rsidRPr="00BE00C7" w:rsidRDefault="00A47EF3" w:rsidP="00BE00C7">
            <w:pPr>
              <w:pStyle w:val="OutcomeDescription"/>
              <w:spacing w:before="120" w:after="120"/>
              <w:rPr>
                <w:rFonts w:cs="Arial"/>
                <w:lang w:eastAsia="en-NZ"/>
              </w:rPr>
            </w:pPr>
            <w:r w:rsidRPr="00BE00C7">
              <w:rPr>
                <w:rFonts w:cs="Arial"/>
                <w:lang w:eastAsia="en-NZ"/>
              </w:rPr>
              <w:t>180 days</w:t>
            </w:r>
          </w:p>
        </w:tc>
      </w:tr>
      <w:tr w:rsidR="00350B3B" w14:paraId="3479825E" w14:textId="77777777">
        <w:tc>
          <w:tcPr>
            <w:tcW w:w="0" w:type="auto"/>
          </w:tcPr>
          <w:p w14:paraId="5AD1CDA4" w14:textId="77777777" w:rsidR="00A47EF3" w:rsidRPr="00BE00C7" w:rsidRDefault="00A47EF3" w:rsidP="00BE00C7">
            <w:pPr>
              <w:pStyle w:val="OutcomeDescription"/>
              <w:spacing w:before="120" w:after="120"/>
              <w:rPr>
                <w:rFonts w:cs="Arial"/>
                <w:lang w:eastAsia="en-NZ"/>
              </w:rPr>
            </w:pPr>
            <w:r w:rsidRPr="00BE00C7">
              <w:rPr>
                <w:rFonts w:cs="Arial"/>
                <w:lang w:eastAsia="en-NZ"/>
              </w:rPr>
              <w:t>Criterion 2.4.5</w:t>
            </w:r>
          </w:p>
          <w:p w14:paraId="3DCAFB66" w14:textId="77777777" w:rsidR="00A47EF3" w:rsidRPr="00BE00C7" w:rsidRDefault="00A47EF3"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2F1B4455" w14:textId="77777777" w:rsidR="00A47EF3" w:rsidRPr="00BE00C7" w:rsidRDefault="00A47EF3" w:rsidP="00BE00C7">
            <w:pPr>
              <w:pStyle w:val="OutcomeDescription"/>
              <w:spacing w:before="120" w:after="120"/>
              <w:rPr>
                <w:rFonts w:cs="Arial"/>
                <w:lang w:eastAsia="en-NZ"/>
              </w:rPr>
            </w:pPr>
            <w:r w:rsidRPr="00BE00C7">
              <w:rPr>
                <w:rFonts w:cs="Arial"/>
                <w:lang w:eastAsia="en-NZ"/>
              </w:rPr>
              <w:t>PA Moderate</w:t>
            </w:r>
          </w:p>
        </w:tc>
        <w:tc>
          <w:tcPr>
            <w:tcW w:w="0" w:type="auto"/>
          </w:tcPr>
          <w:p w14:paraId="44194745"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policy requires annual performance appraisals; however, these had not been completed for all staff files reviewed. Of the seven files reviewed, five staff had not received a recent performance appraisal: four staff were last appraised in 2024 and one had not been appraised since 2023. The facility manager was aware of the issue and had compiled a list of required appraisals. Performance appraisals are now linked to staff start dates to spread them evenly across the year. Five appraisals due in January 2026 had been completed.</w:t>
            </w:r>
          </w:p>
          <w:p w14:paraId="18D00C78" w14:textId="77777777" w:rsidR="00A47EF3" w:rsidRPr="00BE00C7" w:rsidRDefault="00A47EF3" w:rsidP="00BE00C7">
            <w:pPr>
              <w:pStyle w:val="OutcomeDescription"/>
              <w:spacing w:before="120" w:after="120"/>
              <w:rPr>
                <w:rFonts w:cs="Arial"/>
                <w:lang w:eastAsia="en-NZ"/>
              </w:rPr>
            </w:pPr>
          </w:p>
        </w:tc>
        <w:tc>
          <w:tcPr>
            <w:tcW w:w="0" w:type="auto"/>
          </w:tcPr>
          <w:p w14:paraId="007B0860" w14:textId="77777777" w:rsidR="00A47EF3" w:rsidRPr="00BE00C7" w:rsidRDefault="00A47EF3" w:rsidP="00BE00C7">
            <w:pPr>
              <w:pStyle w:val="OutcomeDescription"/>
              <w:spacing w:before="120" w:after="120"/>
              <w:rPr>
                <w:rFonts w:cs="Arial"/>
                <w:lang w:eastAsia="en-NZ"/>
              </w:rPr>
            </w:pPr>
            <w:r w:rsidRPr="00BE00C7">
              <w:rPr>
                <w:rFonts w:cs="Arial"/>
                <w:lang w:eastAsia="en-NZ"/>
              </w:rPr>
              <w:t>Not all staff have had an opportunity to discuss and review performance on an annual basis as defined in policy documentation.</w:t>
            </w:r>
          </w:p>
          <w:p w14:paraId="0AFD07DF" w14:textId="77777777" w:rsidR="00A47EF3" w:rsidRPr="00BE00C7" w:rsidRDefault="00A47EF3" w:rsidP="00BE00C7">
            <w:pPr>
              <w:pStyle w:val="OutcomeDescription"/>
              <w:spacing w:before="120" w:after="120"/>
              <w:rPr>
                <w:rFonts w:cs="Arial"/>
                <w:lang w:eastAsia="en-NZ"/>
              </w:rPr>
            </w:pPr>
          </w:p>
        </w:tc>
        <w:tc>
          <w:tcPr>
            <w:tcW w:w="0" w:type="auto"/>
          </w:tcPr>
          <w:p w14:paraId="2823A3F2" w14:textId="77777777" w:rsidR="00A47EF3" w:rsidRPr="00BE00C7" w:rsidRDefault="00A47EF3" w:rsidP="00BE00C7">
            <w:pPr>
              <w:pStyle w:val="OutcomeDescription"/>
              <w:spacing w:before="120" w:after="120"/>
              <w:rPr>
                <w:rFonts w:cs="Arial"/>
                <w:lang w:eastAsia="en-NZ"/>
              </w:rPr>
            </w:pPr>
            <w:r w:rsidRPr="00BE00C7">
              <w:rPr>
                <w:rFonts w:cs="Arial"/>
                <w:lang w:eastAsia="en-NZ"/>
              </w:rPr>
              <w:t>Provide evidence to show that staff have had an opportunity to discuss and review performance on an annual basis as defined in policy documentation.</w:t>
            </w:r>
          </w:p>
          <w:p w14:paraId="7A554726" w14:textId="77777777" w:rsidR="00A47EF3" w:rsidRPr="00BE00C7" w:rsidRDefault="00A47EF3" w:rsidP="00BE00C7">
            <w:pPr>
              <w:pStyle w:val="OutcomeDescription"/>
              <w:spacing w:before="120" w:after="120"/>
              <w:rPr>
                <w:rFonts w:cs="Arial"/>
                <w:lang w:eastAsia="en-NZ"/>
              </w:rPr>
            </w:pPr>
          </w:p>
          <w:p w14:paraId="34978942" w14:textId="77777777" w:rsidR="00A47EF3" w:rsidRPr="00BE00C7" w:rsidRDefault="00A47EF3" w:rsidP="00BE00C7">
            <w:pPr>
              <w:pStyle w:val="OutcomeDescription"/>
              <w:spacing w:before="120" w:after="120"/>
              <w:rPr>
                <w:rFonts w:cs="Arial"/>
                <w:lang w:eastAsia="en-NZ"/>
              </w:rPr>
            </w:pPr>
            <w:r w:rsidRPr="00BE00C7">
              <w:rPr>
                <w:rFonts w:cs="Arial"/>
                <w:lang w:eastAsia="en-NZ"/>
              </w:rPr>
              <w:t>90 days</w:t>
            </w:r>
          </w:p>
        </w:tc>
      </w:tr>
      <w:tr w:rsidR="00350B3B" w14:paraId="0DD1C894" w14:textId="77777777">
        <w:tc>
          <w:tcPr>
            <w:tcW w:w="0" w:type="auto"/>
          </w:tcPr>
          <w:p w14:paraId="348B1E60" w14:textId="77777777" w:rsidR="00A47EF3" w:rsidRPr="00BE00C7" w:rsidRDefault="00A47EF3" w:rsidP="00BE00C7">
            <w:pPr>
              <w:pStyle w:val="OutcomeDescription"/>
              <w:spacing w:before="120" w:after="120"/>
              <w:rPr>
                <w:rFonts w:cs="Arial"/>
                <w:lang w:eastAsia="en-NZ"/>
              </w:rPr>
            </w:pPr>
            <w:r w:rsidRPr="00BE00C7">
              <w:rPr>
                <w:rFonts w:cs="Arial"/>
                <w:lang w:eastAsia="en-NZ"/>
              </w:rPr>
              <w:t>Criterion 4.1.2</w:t>
            </w:r>
          </w:p>
          <w:p w14:paraId="581914A0"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 physical environment, internal and external, shall be safe and accessible, minimise risk of harm, and </w:t>
            </w:r>
            <w:r w:rsidRPr="00BE00C7">
              <w:rPr>
                <w:rFonts w:cs="Arial"/>
                <w:lang w:eastAsia="en-NZ"/>
              </w:rPr>
              <w:lastRenderedPageBreak/>
              <w:t>promote safe mobility and independence.</w:t>
            </w:r>
          </w:p>
        </w:tc>
        <w:tc>
          <w:tcPr>
            <w:tcW w:w="0" w:type="auto"/>
          </w:tcPr>
          <w:p w14:paraId="55393077"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E05261E"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There has been work undertaken on external areas of the facility since the previous (certification and surveillance) audits. The external environments in all resident areas had improved, there was seating and shade in </w:t>
            </w:r>
            <w:r w:rsidRPr="00BE00C7">
              <w:rPr>
                <w:rFonts w:cs="Arial"/>
                <w:lang w:eastAsia="en-NZ"/>
              </w:rPr>
              <w:lastRenderedPageBreak/>
              <w:t>the gardens, and external areas were easily accessible to residents in the secure dementia care areas of the facility; residents were observed using these independently.</w:t>
            </w:r>
          </w:p>
          <w:p w14:paraId="7693FB0D" w14:textId="77777777" w:rsidR="00A47EF3" w:rsidRPr="00BE00C7" w:rsidRDefault="00A47EF3" w:rsidP="00BE00C7">
            <w:pPr>
              <w:pStyle w:val="OutcomeDescription"/>
              <w:spacing w:before="120" w:after="120"/>
              <w:rPr>
                <w:rFonts w:cs="Arial"/>
                <w:lang w:eastAsia="en-NZ"/>
              </w:rPr>
            </w:pPr>
            <w:r w:rsidRPr="00BE00C7">
              <w:rPr>
                <w:rFonts w:cs="Arial"/>
                <w:lang w:eastAsia="en-NZ"/>
              </w:rPr>
              <w:t>An area of concern remains outside Korimako dementia care unit. The ‘back’ garden (as opposed to the central courtyard) was unsafe. There are two gates leading from this area; one is locked with a bolt from the other side and the other only has a high-level bolt across the top of the gate.</w:t>
            </w:r>
          </w:p>
          <w:p w14:paraId="26131DBB"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Access through these gardens forms part of the emergency exit plan. To evacuate through one gate, the bolt must be undone from the opposite side, which would delay evacuation and is unsafe. The other gate has a high-level bolt that presents several risks. The bolt can be easily undone by any resident in the garden; once through, the fence on the other side is low enough to scale, particularly as a bench and chair are positioned against it. This area is also intended to function as an exit route; however, the pathway was obstructed by plant cuttings and stored personal protective equipment (PPE) under a tarpaulin. Additionally, the fence at the end of the egress corridor was supported by large pieces of </w:t>
            </w:r>
            <w:r w:rsidRPr="00BE00C7">
              <w:rPr>
                <w:rFonts w:cs="Arial"/>
                <w:lang w:eastAsia="en-NZ"/>
              </w:rPr>
              <w:lastRenderedPageBreak/>
              <w:t>wood positioned to hold it upright; these were immovable when attempts were made to move them. This presents a significant safety risk.</w:t>
            </w:r>
          </w:p>
          <w:p w14:paraId="46685A16" w14:textId="77777777" w:rsidR="00A47EF3" w:rsidRPr="00BE00C7" w:rsidRDefault="00A47EF3" w:rsidP="00BE00C7">
            <w:pPr>
              <w:pStyle w:val="OutcomeDescription"/>
              <w:spacing w:before="120" w:after="120"/>
              <w:rPr>
                <w:rFonts w:cs="Arial"/>
                <w:lang w:eastAsia="en-NZ"/>
              </w:rPr>
            </w:pPr>
            <w:r w:rsidRPr="00BE00C7">
              <w:rPr>
                <w:rFonts w:cs="Arial"/>
                <w:lang w:eastAsia="en-NZ"/>
              </w:rPr>
              <w:t>In addition, there remain internal areas of the facility that show signs of wear and tear, for example, around door handles, areas where equipment has impacted walls, and areas where repairs have been completed but not repainted. Internal refurbishment is still required within the facility.</w:t>
            </w:r>
          </w:p>
          <w:p w14:paraId="2C54DEF3" w14:textId="77777777" w:rsidR="00A47EF3" w:rsidRPr="00BE00C7" w:rsidRDefault="00A47EF3" w:rsidP="00BE00C7">
            <w:pPr>
              <w:pStyle w:val="OutcomeDescription"/>
              <w:spacing w:before="120" w:after="120"/>
              <w:rPr>
                <w:rFonts w:cs="Arial"/>
                <w:lang w:eastAsia="en-NZ"/>
              </w:rPr>
            </w:pPr>
          </w:p>
        </w:tc>
        <w:tc>
          <w:tcPr>
            <w:tcW w:w="0" w:type="auto"/>
          </w:tcPr>
          <w:p w14:paraId="4EF9EBC4"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 xml:space="preserve">The external physical environment was neither safe, well maintained, nor tidy. There is no clear access to the designated emergency assembly area in the car park when exiting via the external side door of the Korimako wing. In addition, the </w:t>
            </w:r>
            <w:r w:rsidRPr="00BE00C7">
              <w:rPr>
                <w:rFonts w:cs="Arial"/>
                <w:lang w:eastAsia="en-NZ"/>
              </w:rPr>
              <w:lastRenderedPageBreak/>
              <w:t>Korimako wing garden does not have appropriate security measures in place to prevent unauthorised exit from the secure unit.</w:t>
            </w:r>
          </w:p>
          <w:p w14:paraId="64D68FB9" w14:textId="77777777" w:rsidR="00A47EF3" w:rsidRPr="00BE00C7" w:rsidRDefault="00A47EF3" w:rsidP="00BE00C7">
            <w:pPr>
              <w:pStyle w:val="OutcomeDescription"/>
              <w:spacing w:before="120" w:after="120"/>
              <w:rPr>
                <w:rFonts w:cs="Arial"/>
                <w:lang w:eastAsia="en-NZ"/>
              </w:rPr>
            </w:pPr>
            <w:r w:rsidRPr="00BE00C7">
              <w:rPr>
                <w:rFonts w:cs="Arial"/>
                <w:lang w:eastAsia="en-NZ"/>
              </w:rPr>
              <w:t>Internal areas of the facility require refurbishment, particularly painted areas.</w:t>
            </w:r>
          </w:p>
          <w:p w14:paraId="16549E07" w14:textId="77777777" w:rsidR="00A47EF3" w:rsidRPr="00BE00C7" w:rsidRDefault="00A47EF3" w:rsidP="00BE00C7">
            <w:pPr>
              <w:pStyle w:val="OutcomeDescription"/>
              <w:spacing w:before="120" w:after="120"/>
              <w:rPr>
                <w:rFonts w:cs="Arial"/>
                <w:lang w:eastAsia="en-NZ"/>
              </w:rPr>
            </w:pPr>
          </w:p>
        </w:tc>
        <w:tc>
          <w:tcPr>
            <w:tcW w:w="0" w:type="auto"/>
          </w:tcPr>
          <w:p w14:paraId="473F22A6"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Ensure all external areas are safe and that emergency egress routes from the Korimako wing to the evacuation assembly area are accessible. Provide evidence of a plan for refurbishment of the facility.</w:t>
            </w:r>
          </w:p>
          <w:p w14:paraId="5C21054E" w14:textId="77777777" w:rsidR="00A47EF3" w:rsidRPr="00BE00C7" w:rsidRDefault="00A47EF3" w:rsidP="00BE00C7">
            <w:pPr>
              <w:pStyle w:val="OutcomeDescription"/>
              <w:spacing w:before="120" w:after="120"/>
              <w:rPr>
                <w:rFonts w:cs="Arial"/>
                <w:lang w:eastAsia="en-NZ"/>
              </w:rPr>
            </w:pPr>
          </w:p>
          <w:p w14:paraId="79D57AB7" w14:textId="77777777" w:rsidR="00A47EF3" w:rsidRPr="00BE00C7" w:rsidRDefault="00A47EF3" w:rsidP="00BE00C7">
            <w:pPr>
              <w:pStyle w:val="OutcomeDescription"/>
              <w:spacing w:before="120" w:after="120"/>
              <w:rPr>
                <w:rFonts w:cs="Arial"/>
                <w:lang w:eastAsia="en-NZ"/>
              </w:rPr>
            </w:pPr>
            <w:r w:rsidRPr="00BE00C7">
              <w:rPr>
                <w:rFonts w:cs="Arial"/>
                <w:lang w:eastAsia="en-NZ"/>
              </w:rPr>
              <w:t>90 days</w:t>
            </w:r>
          </w:p>
        </w:tc>
      </w:tr>
      <w:tr w:rsidR="00350B3B" w14:paraId="4D2A9666" w14:textId="77777777">
        <w:tc>
          <w:tcPr>
            <w:tcW w:w="0" w:type="auto"/>
          </w:tcPr>
          <w:p w14:paraId="44088040"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Criterion 4.2.7</w:t>
            </w:r>
          </w:p>
          <w:p w14:paraId="152CF0B8" w14:textId="77777777" w:rsidR="00A47EF3" w:rsidRPr="00BE00C7" w:rsidRDefault="00A47EF3"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781B71AC" w14:textId="77777777" w:rsidR="00A47EF3" w:rsidRPr="00BE00C7" w:rsidRDefault="00A47EF3" w:rsidP="00BE00C7">
            <w:pPr>
              <w:pStyle w:val="OutcomeDescription"/>
              <w:spacing w:before="120" w:after="120"/>
              <w:rPr>
                <w:rFonts w:cs="Arial"/>
                <w:lang w:eastAsia="en-NZ"/>
              </w:rPr>
            </w:pPr>
            <w:r w:rsidRPr="00BE00C7">
              <w:rPr>
                <w:rFonts w:cs="Arial"/>
                <w:lang w:eastAsia="en-NZ"/>
              </w:rPr>
              <w:t>PA Moderate</w:t>
            </w:r>
          </w:p>
        </w:tc>
        <w:tc>
          <w:tcPr>
            <w:tcW w:w="0" w:type="auto"/>
          </w:tcPr>
          <w:p w14:paraId="4FE4C17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Eastcare has some supplies available in the event of an emergency, most notably food supplies. The service holds 825 litres of water on site, which is less than that recommended by the National Emergency Management Agency (the requirement is for 3 litres per day for seven days, therefore at least 987 litres, or more given staff are likely to be on site). In addition to this, most of the water was overdue for replacement. The service has torches and a barbeque available, but only one gas bottle, which may or may not be full at any given time. There are insufficient resources available to manage in an emergency, for example, torches and batteries, emergency </w:t>
            </w:r>
            <w:r w:rsidRPr="00BE00C7">
              <w:rPr>
                <w:rFonts w:cs="Arial"/>
                <w:lang w:eastAsia="en-NZ"/>
              </w:rPr>
              <w:lastRenderedPageBreak/>
              <w:t>‘hard hats’ or high-vision clothing, radios etc.</w:t>
            </w:r>
          </w:p>
          <w:p w14:paraId="15DF580A" w14:textId="77777777" w:rsidR="00A47EF3" w:rsidRPr="00BE00C7" w:rsidRDefault="00A47EF3" w:rsidP="00BE00C7">
            <w:pPr>
              <w:pStyle w:val="OutcomeDescription"/>
              <w:spacing w:before="120" w:after="120"/>
              <w:rPr>
                <w:rFonts w:cs="Arial"/>
                <w:lang w:eastAsia="en-NZ"/>
              </w:rPr>
            </w:pPr>
          </w:p>
        </w:tc>
        <w:tc>
          <w:tcPr>
            <w:tcW w:w="0" w:type="auto"/>
          </w:tcPr>
          <w:p w14:paraId="34412EA2"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There were insufficient civil defence supplies available to meet the requirements of the residents and staff who may be in the facility during a civil defence emergency. There was insufficient water stored to meet the recommendations of the National Emergency Management Agency, and some of the water was outside of its expiry date.</w:t>
            </w:r>
          </w:p>
          <w:p w14:paraId="43A6BCC4" w14:textId="77777777" w:rsidR="00A47EF3" w:rsidRPr="00BE00C7" w:rsidRDefault="00A47EF3" w:rsidP="00BE00C7">
            <w:pPr>
              <w:pStyle w:val="OutcomeDescription"/>
              <w:spacing w:before="120" w:after="120"/>
              <w:rPr>
                <w:rFonts w:cs="Arial"/>
                <w:lang w:eastAsia="en-NZ"/>
              </w:rPr>
            </w:pPr>
          </w:p>
        </w:tc>
        <w:tc>
          <w:tcPr>
            <w:tcW w:w="0" w:type="auto"/>
          </w:tcPr>
          <w:p w14:paraId="6EA482B8" w14:textId="77777777" w:rsidR="00A47EF3" w:rsidRPr="00BE00C7" w:rsidRDefault="00A47EF3" w:rsidP="00BE00C7">
            <w:pPr>
              <w:pStyle w:val="OutcomeDescription"/>
              <w:spacing w:before="120" w:after="120"/>
              <w:rPr>
                <w:rFonts w:cs="Arial"/>
                <w:lang w:eastAsia="en-NZ"/>
              </w:rPr>
            </w:pPr>
            <w:r w:rsidRPr="00BE00C7">
              <w:rPr>
                <w:rFonts w:cs="Arial"/>
                <w:lang w:eastAsia="en-NZ"/>
              </w:rPr>
              <w:t>Ensure there are sufficient civil defence supplies available to meet the requirements of residents and staff during a civil defence emergency. Ensure sufficient water is stored to meet the recommendations of the National Emergency Management Agency, and that the water is monitored for expiry dates.</w:t>
            </w:r>
          </w:p>
          <w:p w14:paraId="3837ACAE" w14:textId="77777777" w:rsidR="00A47EF3" w:rsidRPr="00BE00C7" w:rsidRDefault="00A47EF3" w:rsidP="00BE00C7">
            <w:pPr>
              <w:pStyle w:val="OutcomeDescription"/>
              <w:spacing w:before="120" w:after="120"/>
              <w:rPr>
                <w:rFonts w:cs="Arial"/>
                <w:lang w:eastAsia="en-NZ"/>
              </w:rPr>
            </w:pPr>
          </w:p>
          <w:p w14:paraId="4AE84EF9" w14:textId="77777777" w:rsidR="00A47EF3" w:rsidRPr="00BE00C7" w:rsidRDefault="00A47EF3" w:rsidP="00BE00C7">
            <w:pPr>
              <w:pStyle w:val="OutcomeDescription"/>
              <w:spacing w:before="120" w:after="120"/>
              <w:rPr>
                <w:rFonts w:cs="Arial"/>
                <w:lang w:eastAsia="en-NZ"/>
              </w:rPr>
            </w:pPr>
            <w:r w:rsidRPr="00BE00C7">
              <w:rPr>
                <w:rFonts w:cs="Arial"/>
                <w:lang w:eastAsia="en-NZ"/>
              </w:rPr>
              <w:t>60 days</w:t>
            </w:r>
          </w:p>
        </w:tc>
      </w:tr>
      <w:tr w:rsidR="00350B3B" w14:paraId="264AB6EE" w14:textId="77777777">
        <w:tc>
          <w:tcPr>
            <w:tcW w:w="0" w:type="auto"/>
          </w:tcPr>
          <w:p w14:paraId="75D8AF21" w14:textId="77777777" w:rsidR="00A47EF3" w:rsidRPr="00BE00C7" w:rsidRDefault="00A47EF3" w:rsidP="00BE00C7">
            <w:pPr>
              <w:pStyle w:val="OutcomeDescription"/>
              <w:spacing w:before="120" w:after="120"/>
              <w:rPr>
                <w:rFonts w:cs="Arial"/>
                <w:lang w:eastAsia="en-NZ"/>
              </w:rPr>
            </w:pPr>
            <w:r w:rsidRPr="00BE00C7">
              <w:rPr>
                <w:rFonts w:cs="Arial"/>
                <w:lang w:eastAsia="en-NZ"/>
              </w:rPr>
              <w:t>Criterion 6.1.6</w:t>
            </w:r>
          </w:p>
          <w:p w14:paraId="14C36A4B" w14:textId="77777777" w:rsidR="00A47EF3" w:rsidRPr="00BE00C7" w:rsidRDefault="00A47EF3"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27D188E7" w14:textId="77777777" w:rsidR="00A47EF3" w:rsidRPr="00BE00C7" w:rsidRDefault="00A47EF3" w:rsidP="00BE00C7">
            <w:pPr>
              <w:pStyle w:val="OutcomeDescription"/>
              <w:spacing w:before="120" w:after="120"/>
              <w:rPr>
                <w:rFonts w:cs="Arial"/>
                <w:lang w:eastAsia="en-NZ"/>
              </w:rPr>
            </w:pPr>
            <w:r w:rsidRPr="00BE00C7">
              <w:rPr>
                <w:rFonts w:cs="Arial"/>
                <w:lang w:eastAsia="en-NZ"/>
              </w:rPr>
              <w:t>PA Low</w:t>
            </w:r>
          </w:p>
        </w:tc>
        <w:tc>
          <w:tcPr>
            <w:tcW w:w="0" w:type="auto"/>
          </w:tcPr>
          <w:p w14:paraId="2C7DCE9A" w14:textId="77777777" w:rsidR="00A47EF3" w:rsidRPr="00BE00C7" w:rsidRDefault="00A47EF3" w:rsidP="00BE00C7">
            <w:pPr>
              <w:pStyle w:val="OutcomeDescription"/>
              <w:spacing w:before="120" w:after="120"/>
              <w:rPr>
                <w:rFonts w:cs="Arial"/>
                <w:lang w:eastAsia="en-NZ"/>
              </w:rPr>
            </w:pPr>
            <w:r w:rsidRPr="00BE00C7">
              <w:rPr>
                <w:rFonts w:cs="Arial"/>
                <w:lang w:eastAsia="en-NZ"/>
              </w:rPr>
              <w:t>The education programme had been implemented in the service. Staff had received education related to the management of alternative cultural-specific interventions and de-escalation techniques via the facility’s electronic online training system and through staff from the Te Whatu Ora Mental Health of Older Persons Service. Training on the restraint process was on the education calendar for April 2025; however, while staff interviewed were knowledgeable about the restraint process and monitoring, there had been no education on least restrictive practice, safe practice, or the use of restraint in 2025 or 2026.</w:t>
            </w:r>
          </w:p>
          <w:p w14:paraId="716BA4C3" w14:textId="77777777" w:rsidR="00A47EF3" w:rsidRPr="00BE00C7" w:rsidRDefault="00A47EF3" w:rsidP="00BE00C7">
            <w:pPr>
              <w:pStyle w:val="OutcomeDescription"/>
              <w:spacing w:before="120" w:after="120"/>
              <w:rPr>
                <w:rFonts w:cs="Arial"/>
                <w:lang w:eastAsia="en-NZ"/>
              </w:rPr>
            </w:pPr>
          </w:p>
        </w:tc>
        <w:tc>
          <w:tcPr>
            <w:tcW w:w="0" w:type="auto"/>
          </w:tcPr>
          <w:p w14:paraId="499CBD3B" w14:textId="77777777" w:rsidR="00A47EF3" w:rsidRPr="00BE00C7" w:rsidRDefault="00A47EF3" w:rsidP="00BE00C7">
            <w:pPr>
              <w:pStyle w:val="OutcomeDescription"/>
              <w:spacing w:before="120" w:after="120"/>
              <w:rPr>
                <w:rFonts w:cs="Arial"/>
                <w:lang w:eastAsia="en-NZ"/>
              </w:rPr>
            </w:pPr>
            <w:r w:rsidRPr="00BE00C7">
              <w:rPr>
                <w:rFonts w:cs="Arial"/>
                <w:lang w:eastAsia="en-NZ"/>
              </w:rPr>
              <w:t>No education on least restrictive practice, safe practice, or the use of restraint had been delivered in 2025 or 2026.</w:t>
            </w:r>
          </w:p>
          <w:p w14:paraId="1D146BF5" w14:textId="77777777" w:rsidR="00A47EF3" w:rsidRPr="00BE00C7" w:rsidRDefault="00A47EF3" w:rsidP="00BE00C7">
            <w:pPr>
              <w:pStyle w:val="OutcomeDescription"/>
              <w:spacing w:before="120" w:after="120"/>
              <w:rPr>
                <w:rFonts w:cs="Arial"/>
                <w:lang w:eastAsia="en-NZ"/>
              </w:rPr>
            </w:pPr>
          </w:p>
        </w:tc>
        <w:tc>
          <w:tcPr>
            <w:tcW w:w="0" w:type="auto"/>
          </w:tcPr>
          <w:p w14:paraId="337E6295" w14:textId="77777777" w:rsidR="00A47EF3" w:rsidRPr="00BE00C7" w:rsidRDefault="00A47EF3" w:rsidP="00BE00C7">
            <w:pPr>
              <w:pStyle w:val="OutcomeDescription"/>
              <w:spacing w:before="120" w:after="120"/>
              <w:rPr>
                <w:rFonts w:cs="Arial"/>
                <w:lang w:eastAsia="en-NZ"/>
              </w:rPr>
            </w:pPr>
            <w:r w:rsidRPr="00BE00C7">
              <w:rPr>
                <w:rFonts w:cs="Arial"/>
                <w:lang w:eastAsia="en-NZ"/>
              </w:rPr>
              <w:t>Provide evidence that staff have received education on least restrictive practice, safe practice, and the use of restraint.</w:t>
            </w:r>
          </w:p>
          <w:p w14:paraId="1298BA09" w14:textId="77777777" w:rsidR="00A47EF3" w:rsidRPr="00BE00C7" w:rsidRDefault="00A47EF3" w:rsidP="00BE00C7">
            <w:pPr>
              <w:pStyle w:val="OutcomeDescription"/>
              <w:spacing w:before="120" w:after="120"/>
              <w:rPr>
                <w:rFonts w:cs="Arial"/>
                <w:lang w:eastAsia="en-NZ"/>
              </w:rPr>
            </w:pPr>
          </w:p>
          <w:p w14:paraId="08259ED3" w14:textId="77777777" w:rsidR="00A47EF3" w:rsidRPr="00BE00C7" w:rsidRDefault="00A47EF3" w:rsidP="00BE00C7">
            <w:pPr>
              <w:pStyle w:val="OutcomeDescription"/>
              <w:spacing w:before="120" w:after="120"/>
              <w:rPr>
                <w:rFonts w:cs="Arial"/>
                <w:lang w:eastAsia="en-NZ"/>
              </w:rPr>
            </w:pPr>
            <w:r w:rsidRPr="00BE00C7">
              <w:rPr>
                <w:rFonts w:cs="Arial"/>
                <w:lang w:eastAsia="en-NZ"/>
              </w:rPr>
              <w:t>180 days</w:t>
            </w:r>
          </w:p>
        </w:tc>
      </w:tr>
    </w:tbl>
    <w:p w14:paraId="1B589DBB" w14:textId="77777777" w:rsidR="00A47EF3" w:rsidRPr="00BE00C7" w:rsidRDefault="00A47EF3" w:rsidP="00BE00C7">
      <w:pPr>
        <w:pStyle w:val="OutcomeDescription"/>
        <w:spacing w:before="120" w:after="120"/>
        <w:rPr>
          <w:rFonts w:cs="Arial"/>
          <w:lang w:eastAsia="en-NZ"/>
        </w:rPr>
      </w:pPr>
      <w:bookmarkStart w:id="57" w:name="AuditSummaryCAMCriterion"/>
      <w:bookmarkEnd w:id="57"/>
    </w:p>
    <w:p w14:paraId="31A7DD89" w14:textId="77777777" w:rsidR="00A47EF3" w:rsidRDefault="00A47EF3">
      <w:pPr>
        <w:pStyle w:val="Heading1"/>
        <w:rPr>
          <w:rFonts w:cs="Arial"/>
        </w:rPr>
      </w:pPr>
      <w:r>
        <w:rPr>
          <w:rFonts w:cs="Arial"/>
        </w:rPr>
        <w:lastRenderedPageBreak/>
        <w:t>Specific results for criterion where a continuous improvement has been recorded</w:t>
      </w:r>
    </w:p>
    <w:p w14:paraId="0FEA9901" w14:textId="77777777" w:rsidR="00A47EF3" w:rsidRDefault="00A47EF3">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FC72BC" w14:textId="77777777" w:rsidR="00A47EF3" w:rsidRDefault="00A47EF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0CA790E" w14:textId="77777777" w:rsidR="00A47EF3" w:rsidRDefault="00A47EF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378"/>
        <w:gridCol w:w="6771"/>
        <w:gridCol w:w="2380"/>
      </w:tblGrid>
      <w:tr w:rsidR="00350B3B" w14:paraId="75729345" w14:textId="77777777">
        <w:tc>
          <w:tcPr>
            <w:tcW w:w="0" w:type="auto"/>
          </w:tcPr>
          <w:p w14:paraId="6292D0FF" w14:textId="77777777" w:rsidR="00A47EF3" w:rsidRPr="00BE00C7" w:rsidRDefault="00A47EF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68A858"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0F0C6B"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B5C0D2E" w14:textId="77777777" w:rsidR="00A47EF3" w:rsidRPr="00BE00C7" w:rsidRDefault="00A47EF3" w:rsidP="00BE00C7">
            <w:pPr>
              <w:pStyle w:val="OutcomeDescription"/>
              <w:spacing w:before="120" w:after="120"/>
              <w:rPr>
                <w:rFonts w:cs="Arial"/>
                <w:b/>
                <w:lang w:eastAsia="en-NZ"/>
              </w:rPr>
            </w:pPr>
            <w:r w:rsidRPr="00BE00C7">
              <w:rPr>
                <w:rFonts w:cs="Arial"/>
                <w:b/>
                <w:lang w:eastAsia="en-NZ"/>
              </w:rPr>
              <w:t>Audit Finding</w:t>
            </w:r>
          </w:p>
        </w:tc>
      </w:tr>
      <w:tr w:rsidR="00350B3B" w14:paraId="604F675D" w14:textId="77777777">
        <w:tc>
          <w:tcPr>
            <w:tcW w:w="0" w:type="auto"/>
          </w:tcPr>
          <w:p w14:paraId="4788BE0B" w14:textId="77777777" w:rsidR="00A47EF3" w:rsidRPr="00BE00C7" w:rsidRDefault="00A47EF3" w:rsidP="00BE00C7">
            <w:pPr>
              <w:pStyle w:val="OutcomeDescription"/>
              <w:spacing w:before="120" w:after="120"/>
              <w:rPr>
                <w:rFonts w:cs="Arial"/>
                <w:lang w:eastAsia="en-NZ"/>
              </w:rPr>
            </w:pPr>
            <w:r w:rsidRPr="00BE00C7">
              <w:rPr>
                <w:rFonts w:cs="Arial"/>
                <w:lang w:eastAsia="en-NZ"/>
              </w:rPr>
              <w:t>Criterion 2.2.4</w:t>
            </w:r>
          </w:p>
          <w:p w14:paraId="63EF8F20" w14:textId="77777777" w:rsidR="00A47EF3" w:rsidRPr="00BE00C7" w:rsidRDefault="00A47EF3"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7852A460" w14:textId="77777777" w:rsidR="00A47EF3" w:rsidRPr="00BE00C7" w:rsidRDefault="00A47EF3" w:rsidP="00BE00C7">
            <w:pPr>
              <w:pStyle w:val="OutcomeDescription"/>
              <w:spacing w:before="120" w:after="120"/>
              <w:rPr>
                <w:rFonts w:cs="Arial"/>
                <w:lang w:eastAsia="en-NZ"/>
              </w:rPr>
            </w:pPr>
            <w:r w:rsidRPr="00BE00C7">
              <w:rPr>
                <w:rFonts w:cs="Arial"/>
                <w:lang w:eastAsia="en-NZ"/>
              </w:rPr>
              <w:t>CI</w:t>
            </w:r>
          </w:p>
        </w:tc>
        <w:tc>
          <w:tcPr>
            <w:tcW w:w="0" w:type="auto"/>
          </w:tcPr>
          <w:p w14:paraId="1578EA58" w14:textId="77777777" w:rsidR="00A47EF3" w:rsidRPr="00BE00C7" w:rsidRDefault="00A47EF3" w:rsidP="00BE00C7">
            <w:pPr>
              <w:pStyle w:val="OutcomeDescription"/>
              <w:spacing w:before="120" w:after="120"/>
              <w:rPr>
                <w:rFonts w:cs="Arial"/>
                <w:lang w:eastAsia="en-NZ"/>
              </w:rPr>
            </w:pPr>
            <w:r w:rsidRPr="00BE00C7">
              <w:rPr>
                <w:rFonts w:cs="Arial"/>
                <w:lang w:eastAsia="en-NZ"/>
              </w:rPr>
              <w:t>With the exception of internal audits (refer criterion 2.2.3), external and internal risks and opportunities, including potential inequities had been planned for with strategies developed to manage any deficits. The FM described a specific area of internal risk in relation to a high number of adverse events in 2024—particularly falls, medication errors, and behavioural incidents—Eastcare implemented a structured quality improvement project in 2025 to address these events. Analysis had identified gaps in clinical oversight, staff education, and preventative strategies, prompting a targeted, data-driven approach with clear reduction goals and ongoing monitoring.</w:t>
            </w:r>
          </w:p>
          <w:p w14:paraId="5AC2E1FF" w14:textId="77777777" w:rsidR="00A47EF3" w:rsidRPr="00BE00C7" w:rsidRDefault="00A47EF3" w:rsidP="00BE00C7">
            <w:pPr>
              <w:pStyle w:val="OutcomeDescription"/>
              <w:spacing w:before="120" w:after="120"/>
              <w:rPr>
                <w:rFonts w:cs="Arial"/>
                <w:lang w:eastAsia="en-NZ"/>
              </w:rPr>
            </w:pPr>
            <w:r w:rsidRPr="00BE00C7">
              <w:rPr>
                <w:rFonts w:cs="Arial"/>
                <w:lang w:eastAsia="en-NZ"/>
              </w:rPr>
              <w:t>Key interventions included increasing RN hours to strengthen clinical oversight, introducing an electronic resident management system to improve risk assessment and documentation, and conducting monthly adverse event reviews to identify trends and high-risk residents.</w:t>
            </w:r>
          </w:p>
          <w:p w14:paraId="0164DE0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Falls prevention strategies focused on updated risk assessments, root cause analysis, staff training, environmental modifications, sensor mat use, and intentional ‘rounding’ (scheduled resident checks based around resident assessed risk). Medication safety improvements included RN-led </w:t>
            </w:r>
            <w:r w:rsidRPr="00BE00C7">
              <w:rPr>
                <w:rFonts w:cs="Arial"/>
                <w:lang w:eastAsia="en-NZ"/>
              </w:rPr>
              <w:lastRenderedPageBreak/>
              <w:t>medication administration, enhanced GP/NP oversight, reduced sedative use and polypharmacy, and stronger pharmacy collaboration. Behavioural support was enhanced through trigger analysis, specialist training, proactive monitoring, and redevelopment of individualised 24-hour dementia care plans.</w:t>
            </w:r>
          </w:p>
          <w:p w14:paraId="15A6D66A" w14:textId="77777777" w:rsidR="00A47EF3" w:rsidRPr="00BE00C7" w:rsidRDefault="00A47EF3" w:rsidP="00BE00C7">
            <w:pPr>
              <w:pStyle w:val="OutcomeDescription"/>
              <w:spacing w:before="120" w:after="120"/>
              <w:rPr>
                <w:rFonts w:cs="Arial"/>
                <w:lang w:eastAsia="en-NZ"/>
              </w:rPr>
            </w:pPr>
            <w:r w:rsidRPr="00BE00C7">
              <w:rPr>
                <w:rFonts w:cs="Arial"/>
                <w:lang w:eastAsia="en-NZ"/>
              </w:rPr>
              <w:t xml:space="preserve">Comparative data from January–December 2024 and 2025 showed significant reductions: falls decreased by 38.5%, medication errors by 90%, and behavioural incidents by 88.9%. Overall, the initiative achieved measurable improvements in resident safety, clinical practice, and quality of care. </w:t>
            </w:r>
          </w:p>
          <w:p w14:paraId="3C7C5D80" w14:textId="77777777" w:rsidR="00A47EF3" w:rsidRPr="00BE00C7" w:rsidRDefault="00A47EF3" w:rsidP="00BE00C7">
            <w:pPr>
              <w:pStyle w:val="OutcomeDescription"/>
              <w:spacing w:before="120" w:after="120"/>
              <w:rPr>
                <w:rFonts w:cs="Arial"/>
                <w:lang w:eastAsia="en-NZ"/>
              </w:rPr>
            </w:pPr>
            <w:r w:rsidRPr="00BE00C7">
              <w:rPr>
                <w:rFonts w:cs="Arial"/>
                <w:lang w:eastAsia="en-NZ"/>
              </w:rPr>
              <w:t>Eastcare has reduced the number of adverse events using a focused plan to reduce resident harm.</w:t>
            </w:r>
          </w:p>
          <w:p w14:paraId="0A1BD74D" w14:textId="77777777" w:rsidR="00A47EF3" w:rsidRPr="00BE00C7" w:rsidRDefault="00A47EF3" w:rsidP="00BE00C7">
            <w:pPr>
              <w:pStyle w:val="OutcomeDescription"/>
              <w:spacing w:before="120" w:after="120"/>
              <w:rPr>
                <w:rFonts w:cs="Arial"/>
                <w:lang w:eastAsia="en-NZ"/>
              </w:rPr>
            </w:pPr>
          </w:p>
        </w:tc>
        <w:tc>
          <w:tcPr>
            <w:tcW w:w="0" w:type="auto"/>
          </w:tcPr>
          <w:p w14:paraId="691F4E08" w14:textId="77777777" w:rsidR="00A47EF3" w:rsidRPr="00BE00C7" w:rsidRDefault="00A47EF3" w:rsidP="00BE00C7">
            <w:pPr>
              <w:pStyle w:val="OutcomeDescription"/>
              <w:spacing w:before="120" w:after="120"/>
              <w:rPr>
                <w:rFonts w:cs="Arial"/>
                <w:lang w:eastAsia="en-NZ"/>
              </w:rPr>
            </w:pPr>
            <w:r w:rsidRPr="00BE00C7">
              <w:rPr>
                <w:rFonts w:cs="Arial"/>
                <w:lang w:eastAsia="en-NZ"/>
              </w:rPr>
              <w:lastRenderedPageBreak/>
              <w:t>Eastcare has reduced the number of adverse events using a focused plan to reduce resident harm.</w:t>
            </w:r>
          </w:p>
          <w:p w14:paraId="7101776C" w14:textId="77777777" w:rsidR="00A47EF3" w:rsidRPr="00BE00C7" w:rsidRDefault="00A47EF3" w:rsidP="00BE00C7">
            <w:pPr>
              <w:pStyle w:val="OutcomeDescription"/>
              <w:spacing w:before="120" w:after="120"/>
              <w:rPr>
                <w:rFonts w:cs="Arial"/>
                <w:lang w:eastAsia="en-NZ"/>
              </w:rPr>
            </w:pPr>
          </w:p>
        </w:tc>
      </w:tr>
    </w:tbl>
    <w:p w14:paraId="613D41CF" w14:textId="77777777" w:rsidR="00A47EF3" w:rsidRPr="00BE00C7" w:rsidRDefault="00A47EF3" w:rsidP="00BE00C7">
      <w:pPr>
        <w:pStyle w:val="OutcomeDescription"/>
        <w:spacing w:before="120" w:after="120"/>
        <w:rPr>
          <w:rFonts w:cs="Arial"/>
          <w:lang w:eastAsia="en-NZ"/>
        </w:rPr>
      </w:pPr>
      <w:bookmarkStart w:id="58" w:name="AuditSummaryCAMImprovment"/>
      <w:bookmarkEnd w:id="58"/>
    </w:p>
    <w:p w14:paraId="0612990A" w14:textId="77777777" w:rsidR="00A47EF3" w:rsidRDefault="00A47EF3">
      <w:pPr>
        <w:pStyle w:val="OutcomeDescription"/>
        <w:spacing w:before="240"/>
        <w:rPr>
          <w:rFonts w:cs="Arial"/>
          <w:sz w:val="24"/>
          <w:lang w:eastAsia="en-NZ"/>
        </w:rPr>
      </w:pPr>
      <w:r>
        <w:rPr>
          <w:rFonts w:cs="Arial"/>
          <w:sz w:val="24"/>
          <w:lang w:eastAsia="en-NZ"/>
        </w:rPr>
        <w:t>End of the report.</w:t>
      </w:r>
    </w:p>
    <w:sectPr w:rsidR="00A47EF3"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C100" w14:textId="77777777" w:rsidR="00A47EF3" w:rsidRDefault="00A47EF3">
      <w:r>
        <w:separator/>
      </w:r>
    </w:p>
  </w:endnote>
  <w:endnote w:type="continuationSeparator" w:id="0">
    <w:p w14:paraId="03F466B1" w14:textId="77777777" w:rsidR="00A47EF3" w:rsidRDefault="00A4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9E08" w14:textId="77777777" w:rsidR="00A47EF3" w:rsidRDefault="00A47EF3">
    <w:pPr>
      <w:pStyle w:val="Footer"/>
    </w:pPr>
  </w:p>
  <w:p w14:paraId="3FC3858D" w14:textId="77777777" w:rsidR="00A47EF3" w:rsidRDefault="00A47EF3"/>
  <w:p w14:paraId="4AE75A99" w14:textId="77777777" w:rsidR="00A47EF3" w:rsidRDefault="00A47EF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543B" w14:textId="77777777" w:rsidR="00A47EF3" w:rsidRPr="000B00BC" w:rsidRDefault="00A47EF3"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Kaylex</w:t>
    </w:r>
    <w:proofErr w:type="spellEnd"/>
    <w:r>
      <w:rPr>
        <w:rFonts w:cs="Arial"/>
        <w:sz w:val="16"/>
        <w:szCs w:val="20"/>
      </w:rPr>
      <w:t xml:space="preserve"> Care Limited - Eastcare Residential Home</w:t>
    </w:r>
    <w:bookmarkEnd w:id="59"/>
    <w:r>
      <w:rPr>
        <w:rFonts w:cs="Arial"/>
        <w:sz w:val="16"/>
        <w:szCs w:val="20"/>
      </w:rPr>
      <w:tab/>
      <w:t xml:space="preserve">Date of Audit: </w:t>
    </w:r>
    <w:bookmarkStart w:id="60" w:name="AuditStartDate1"/>
    <w:r>
      <w:rPr>
        <w:rFonts w:cs="Arial"/>
        <w:sz w:val="16"/>
        <w:szCs w:val="20"/>
      </w:rPr>
      <w:t>18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22FF3F" w14:textId="77777777" w:rsidR="00A47EF3" w:rsidRDefault="00A47E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FB1" w14:textId="77777777" w:rsidR="00A47EF3" w:rsidRDefault="00A4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666A" w14:textId="77777777" w:rsidR="00A47EF3" w:rsidRDefault="00A47EF3">
      <w:r>
        <w:separator/>
      </w:r>
    </w:p>
  </w:footnote>
  <w:footnote w:type="continuationSeparator" w:id="0">
    <w:p w14:paraId="00B92CAB" w14:textId="77777777" w:rsidR="00A47EF3" w:rsidRDefault="00A4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2556" w14:textId="77777777" w:rsidR="00A47EF3" w:rsidRDefault="00A47EF3">
    <w:pPr>
      <w:pStyle w:val="Header"/>
    </w:pPr>
  </w:p>
  <w:p w14:paraId="2BA24409" w14:textId="77777777" w:rsidR="00A47EF3" w:rsidRDefault="00A47E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6E53" w14:textId="77777777" w:rsidR="00A47EF3" w:rsidRDefault="00A47EF3">
    <w:pPr>
      <w:pStyle w:val="Header"/>
    </w:pPr>
  </w:p>
  <w:p w14:paraId="21FF556C" w14:textId="77777777" w:rsidR="00A47EF3" w:rsidRDefault="00A47E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D3BE" w14:textId="77777777" w:rsidR="00A47EF3" w:rsidRDefault="00A47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E6EE34C">
      <w:start w:val="1"/>
      <w:numFmt w:val="decimal"/>
      <w:lvlText w:val="%1."/>
      <w:lvlJc w:val="left"/>
      <w:pPr>
        <w:ind w:left="360" w:hanging="360"/>
      </w:pPr>
    </w:lvl>
    <w:lvl w:ilvl="1" w:tplc="5EA0A60A" w:tentative="1">
      <w:start w:val="1"/>
      <w:numFmt w:val="lowerLetter"/>
      <w:lvlText w:val="%2."/>
      <w:lvlJc w:val="left"/>
      <w:pPr>
        <w:ind w:left="1080" w:hanging="360"/>
      </w:pPr>
    </w:lvl>
    <w:lvl w:ilvl="2" w:tplc="577C897C" w:tentative="1">
      <w:start w:val="1"/>
      <w:numFmt w:val="lowerRoman"/>
      <w:lvlText w:val="%3."/>
      <w:lvlJc w:val="right"/>
      <w:pPr>
        <w:ind w:left="1800" w:hanging="180"/>
      </w:pPr>
    </w:lvl>
    <w:lvl w:ilvl="3" w:tplc="F1D03A88" w:tentative="1">
      <w:start w:val="1"/>
      <w:numFmt w:val="decimal"/>
      <w:lvlText w:val="%4."/>
      <w:lvlJc w:val="left"/>
      <w:pPr>
        <w:ind w:left="2520" w:hanging="360"/>
      </w:pPr>
    </w:lvl>
    <w:lvl w:ilvl="4" w:tplc="FEF0EA40" w:tentative="1">
      <w:start w:val="1"/>
      <w:numFmt w:val="lowerLetter"/>
      <w:lvlText w:val="%5."/>
      <w:lvlJc w:val="left"/>
      <w:pPr>
        <w:ind w:left="3240" w:hanging="360"/>
      </w:pPr>
    </w:lvl>
    <w:lvl w:ilvl="5" w:tplc="50124DF4" w:tentative="1">
      <w:start w:val="1"/>
      <w:numFmt w:val="lowerRoman"/>
      <w:lvlText w:val="%6."/>
      <w:lvlJc w:val="right"/>
      <w:pPr>
        <w:ind w:left="3960" w:hanging="180"/>
      </w:pPr>
    </w:lvl>
    <w:lvl w:ilvl="6" w:tplc="1B6E8EFA" w:tentative="1">
      <w:start w:val="1"/>
      <w:numFmt w:val="decimal"/>
      <w:lvlText w:val="%7."/>
      <w:lvlJc w:val="left"/>
      <w:pPr>
        <w:ind w:left="4680" w:hanging="360"/>
      </w:pPr>
    </w:lvl>
    <w:lvl w:ilvl="7" w:tplc="9AAAE63C" w:tentative="1">
      <w:start w:val="1"/>
      <w:numFmt w:val="lowerLetter"/>
      <w:lvlText w:val="%8."/>
      <w:lvlJc w:val="left"/>
      <w:pPr>
        <w:ind w:left="5400" w:hanging="360"/>
      </w:pPr>
    </w:lvl>
    <w:lvl w:ilvl="8" w:tplc="2558FA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23C5D72">
      <w:start w:val="1"/>
      <w:numFmt w:val="bullet"/>
      <w:lvlText w:val=""/>
      <w:lvlJc w:val="left"/>
      <w:pPr>
        <w:ind w:left="720" w:hanging="360"/>
      </w:pPr>
      <w:rPr>
        <w:rFonts w:ascii="Symbol" w:hAnsi="Symbol" w:hint="default"/>
      </w:rPr>
    </w:lvl>
    <w:lvl w:ilvl="1" w:tplc="62CA7AB6" w:tentative="1">
      <w:start w:val="1"/>
      <w:numFmt w:val="bullet"/>
      <w:lvlText w:val="o"/>
      <w:lvlJc w:val="left"/>
      <w:pPr>
        <w:ind w:left="1440" w:hanging="360"/>
      </w:pPr>
      <w:rPr>
        <w:rFonts w:ascii="Courier New" w:hAnsi="Courier New" w:cs="Courier New" w:hint="default"/>
      </w:rPr>
    </w:lvl>
    <w:lvl w:ilvl="2" w:tplc="FB5EEE62" w:tentative="1">
      <w:start w:val="1"/>
      <w:numFmt w:val="bullet"/>
      <w:lvlText w:val=""/>
      <w:lvlJc w:val="left"/>
      <w:pPr>
        <w:ind w:left="2160" w:hanging="360"/>
      </w:pPr>
      <w:rPr>
        <w:rFonts w:ascii="Wingdings" w:hAnsi="Wingdings" w:hint="default"/>
      </w:rPr>
    </w:lvl>
    <w:lvl w:ilvl="3" w:tplc="BB483010" w:tentative="1">
      <w:start w:val="1"/>
      <w:numFmt w:val="bullet"/>
      <w:lvlText w:val=""/>
      <w:lvlJc w:val="left"/>
      <w:pPr>
        <w:ind w:left="2880" w:hanging="360"/>
      </w:pPr>
      <w:rPr>
        <w:rFonts w:ascii="Symbol" w:hAnsi="Symbol" w:hint="default"/>
      </w:rPr>
    </w:lvl>
    <w:lvl w:ilvl="4" w:tplc="4B7A0E1C" w:tentative="1">
      <w:start w:val="1"/>
      <w:numFmt w:val="bullet"/>
      <w:lvlText w:val="o"/>
      <w:lvlJc w:val="left"/>
      <w:pPr>
        <w:ind w:left="3600" w:hanging="360"/>
      </w:pPr>
      <w:rPr>
        <w:rFonts w:ascii="Courier New" w:hAnsi="Courier New" w:cs="Courier New" w:hint="default"/>
      </w:rPr>
    </w:lvl>
    <w:lvl w:ilvl="5" w:tplc="B5E0D7AC" w:tentative="1">
      <w:start w:val="1"/>
      <w:numFmt w:val="bullet"/>
      <w:lvlText w:val=""/>
      <w:lvlJc w:val="left"/>
      <w:pPr>
        <w:ind w:left="4320" w:hanging="360"/>
      </w:pPr>
      <w:rPr>
        <w:rFonts w:ascii="Wingdings" w:hAnsi="Wingdings" w:hint="default"/>
      </w:rPr>
    </w:lvl>
    <w:lvl w:ilvl="6" w:tplc="7B2020AA" w:tentative="1">
      <w:start w:val="1"/>
      <w:numFmt w:val="bullet"/>
      <w:lvlText w:val=""/>
      <w:lvlJc w:val="left"/>
      <w:pPr>
        <w:ind w:left="5040" w:hanging="360"/>
      </w:pPr>
      <w:rPr>
        <w:rFonts w:ascii="Symbol" w:hAnsi="Symbol" w:hint="default"/>
      </w:rPr>
    </w:lvl>
    <w:lvl w:ilvl="7" w:tplc="67F23282" w:tentative="1">
      <w:start w:val="1"/>
      <w:numFmt w:val="bullet"/>
      <w:lvlText w:val="o"/>
      <w:lvlJc w:val="left"/>
      <w:pPr>
        <w:ind w:left="5760" w:hanging="360"/>
      </w:pPr>
      <w:rPr>
        <w:rFonts w:ascii="Courier New" w:hAnsi="Courier New" w:cs="Courier New" w:hint="default"/>
      </w:rPr>
    </w:lvl>
    <w:lvl w:ilvl="8" w:tplc="EE946296" w:tentative="1">
      <w:start w:val="1"/>
      <w:numFmt w:val="bullet"/>
      <w:lvlText w:val=""/>
      <w:lvlJc w:val="left"/>
      <w:pPr>
        <w:ind w:left="6480" w:hanging="360"/>
      </w:pPr>
      <w:rPr>
        <w:rFonts w:ascii="Wingdings" w:hAnsi="Wingdings" w:hint="default"/>
      </w:rPr>
    </w:lvl>
  </w:abstractNum>
  <w:num w:numId="1" w16cid:durableId="1217550199">
    <w:abstractNumId w:val="1"/>
  </w:num>
  <w:num w:numId="2" w16cid:durableId="131271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3B"/>
    <w:rsid w:val="00350B3B"/>
    <w:rsid w:val="004A64C3"/>
    <w:rsid w:val="00A47EF3"/>
    <w:rsid w:val="00B33243"/>
    <w:rsid w:val="00F65F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3192"/>
  <w15:docId w15:val="{6A2FC88C-95BB-46DB-9827-4E475456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12773</Words>
  <Characters>72809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2026-03-18T19:20:00Z</dcterms:created>
  <dcterms:modified xsi:type="dcterms:W3CDTF">2026-03-18T19:20:00Z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