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439D" w14:textId="77777777" w:rsidR="00000000" w:rsidRDefault="00000000">
      <w:pPr>
        <w:pStyle w:val="Heading1"/>
        <w:rPr>
          <w:rFonts w:cs="Arial"/>
        </w:rPr>
      </w:pPr>
      <w:bookmarkStart w:id="0" w:name="PRMS_RIName"/>
      <w:r>
        <w:rPr>
          <w:rFonts w:cs="Arial"/>
        </w:rPr>
        <w:t>Te Mana Lifecare Limited - Te Mana Lifecare</w:t>
      </w:r>
      <w:bookmarkEnd w:id="0"/>
    </w:p>
    <w:p w14:paraId="7BBBA2BE" w14:textId="77777777" w:rsidR="00000000" w:rsidRDefault="00000000">
      <w:pPr>
        <w:pStyle w:val="Heading2"/>
        <w:spacing w:after="0"/>
        <w:rPr>
          <w:rFonts w:cs="Arial"/>
        </w:rPr>
      </w:pPr>
      <w:r>
        <w:rPr>
          <w:rFonts w:cs="Arial"/>
        </w:rPr>
        <w:t>Introduction</w:t>
      </w:r>
    </w:p>
    <w:p w14:paraId="685F428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987A69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0E79C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A634E8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EC7FBC3" w14:textId="77777777" w:rsidR="00000000" w:rsidRDefault="00000000">
      <w:pPr>
        <w:spacing w:before="240" w:after="240"/>
        <w:rPr>
          <w:rFonts w:cs="Arial"/>
          <w:lang w:eastAsia="en-NZ"/>
        </w:rPr>
      </w:pPr>
      <w:r>
        <w:rPr>
          <w:rFonts w:cs="Arial"/>
          <w:lang w:eastAsia="en-NZ"/>
        </w:rPr>
        <w:t>The specifics of this audit included:</w:t>
      </w:r>
    </w:p>
    <w:p w14:paraId="3912519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CFE6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Mana Lifecare Limited</w:t>
      </w:r>
      <w:bookmarkEnd w:id="4"/>
    </w:p>
    <w:p w14:paraId="58C945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Te </w:t>
      </w:r>
      <w:r>
        <w:rPr>
          <w:rFonts w:cs="Arial"/>
        </w:rPr>
        <w:t>Mana Lifecare</w:t>
      </w:r>
      <w:bookmarkEnd w:id="5"/>
    </w:p>
    <w:p w14:paraId="3C74DEFC" w14:textId="5552624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r w:rsidR="006C3337" w:rsidRPr="006C3337">
        <w:rPr>
          <w:rFonts w:cs="Arial"/>
        </w:rPr>
        <w:t>Hospital services – Medical services; Hospital services – Geriatric services (excl. psychogeriatric); Rest home care (excluding dementia care); Residential disability services – Physical</w:t>
      </w:r>
    </w:p>
    <w:p w14:paraId="6A9B49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6" w:name="AuditStartDate"/>
      <w:r>
        <w:rPr>
          <w:rFonts w:cs="Arial"/>
        </w:rPr>
        <w:t>27 January 2026</w:t>
      </w:r>
      <w:bookmarkEnd w:id="6"/>
      <w:r w:rsidRPr="009418D4">
        <w:rPr>
          <w:rFonts w:cs="Arial"/>
        </w:rPr>
        <w:tab/>
        <w:t xml:space="preserve">End date: </w:t>
      </w:r>
      <w:bookmarkStart w:id="7" w:name="AuditEndDate"/>
      <w:r>
        <w:rPr>
          <w:rFonts w:cs="Arial"/>
        </w:rPr>
        <w:t>28 January 2026</w:t>
      </w:r>
      <w:bookmarkEnd w:id="7"/>
    </w:p>
    <w:p w14:paraId="6271F34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8" w:name="ProposedChangesToServices"/>
      <w:r w:rsidRPr="009418D4">
        <w:rPr>
          <w:rFonts w:cs="Arial"/>
        </w:rPr>
        <w:t>Change of ownership.</w:t>
      </w:r>
    </w:p>
    <w:bookmarkEnd w:id="8"/>
    <w:p w14:paraId="488DF2FC" w14:textId="77777777" w:rsidR="009601C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9" w:name="BedsOccupied"/>
      <w:r w:rsidRPr="009418D4">
        <w:rPr>
          <w:rFonts w:cs="Arial"/>
        </w:rPr>
        <w:t>42</w:t>
      </w:r>
      <w:bookmarkEnd w:id="9"/>
    </w:p>
    <w:p w14:paraId="08AF766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5D2FFE" w14:textId="77777777" w:rsidR="00000000" w:rsidRDefault="00000000">
      <w:pPr>
        <w:pStyle w:val="Heading1"/>
        <w:rPr>
          <w:rFonts w:cs="Arial"/>
        </w:rPr>
      </w:pPr>
      <w:r>
        <w:rPr>
          <w:rFonts w:cs="Arial"/>
        </w:rPr>
        <w:lastRenderedPageBreak/>
        <w:t>Executive summary of the audit</w:t>
      </w:r>
    </w:p>
    <w:p w14:paraId="68070B6C" w14:textId="77777777" w:rsidR="00000000" w:rsidRDefault="00000000">
      <w:pPr>
        <w:pStyle w:val="Heading2"/>
        <w:rPr>
          <w:rFonts w:cs="Arial"/>
        </w:rPr>
      </w:pPr>
      <w:r>
        <w:rPr>
          <w:rFonts w:cs="Arial"/>
        </w:rPr>
        <w:t>Introduction</w:t>
      </w:r>
    </w:p>
    <w:p w14:paraId="714E1A8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C5BB2C2" w14:textId="77777777" w:rsidR="00000000" w:rsidRDefault="00000000" w:rsidP="00FB778F">
      <w:pPr>
        <w:pStyle w:val="ListParagraph"/>
        <w:numPr>
          <w:ilvl w:val="0"/>
          <w:numId w:val="1"/>
        </w:numPr>
        <w:spacing w:before="240" w:after="240"/>
        <w:rPr>
          <w:rFonts w:cs="Arial"/>
          <w:lang w:eastAsia="en-NZ"/>
        </w:rPr>
      </w:pPr>
      <w:bookmarkStart w:id="10"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0"/>
      <w:r w:rsidRPr="00851D20">
        <w:rPr>
          <w:rFonts w:cs="Arial"/>
          <w:b/>
          <w:bCs/>
          <w:lang w:eastAsia="en-NZ"/>
        </w:rPr>
        <w:t>│</w:t>
      </w:r>
      <w:r>
        <w:rPr>
          <w:rFonts w:cs="Arial"/>
          <w:lang w:eastAsia="en-NZ"/>
        </w:rPr>
        <w:t xml:space="preserve"> </w:t>
      </w:r>
      <w:r w:rsidRPr="005A0254">
        <w:rPr>
          <w:rFonts w:cs="Arial"/>
          <w:lang w:eastAsia="en-NZ"/>
        </w:rPr>
        <w:t>our rights</w:t>
      </w:r>
    </w:p>
    <w:p w14:paraId="44E5ABE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004DDA" w14:textId="77777777" w:rsidR="00000000" w:rsidRDefault="00000000" w:rsidP="00FB778F">
      <w:pPr>
        <w:pStyle w:val="ListParagraph"/>
        <w:numPr>
          <w:ilvl w:val="0"/>
          <w:numId w:val="1"/>
        </w:numPr>
        <w:spacing w:before="240" w:after="240"/>
        <w:rPr>
          <w:rFonts w:cs="Arial"/>
          <w:lang w:eastAsia="en-NZ"/>
        </w:rPr>
      </w:pPr>
      <w:bookmarkStart w:id="11" w:name="_Hlk85622837"/>
      <w:r>
        <w:rPr>
          <w:rFonts w:cs="Arial"/>
          <w:lang w:eastAsia="en-NZ"/>
        </w:rPr>
        <w:t>ngā huarahi ki</w:t>
      </w:r>
      <w:r>
        <w:rPr>
          <w:rFonts w:cs="Arial"/>
          <w:lang w:eastAsia="en-NZ"/>
        </w:rPr>
        <w:t xml:space="preserve"> te oranga </w:t>
      </w:r>
      <w:bookmarkEnd w:id="11"/>
      <w:r>
        <w:rPr>
          <w:rFonts w:cs="Arial"/>
          <w:lang w:eastAsia="en-NZ"/>
        </w:rPr>
        <w:t>│ pathways to wellbeing</w:t>
      </w:r>
    </w:p>
    <w:p w14:paraId="38B77FF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2B5AD9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ED0E81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96BDECF" w14:textId="77777777" w:rsidR="00000000" w:rsidRDefault="00000000">
      <w:pPr>
        <w:pStyle w:val="Heading2"/>
        <w:spacing w:after="0"/>
        <w:rPr>
          <w:rFonts w:cs="Arial"/>
        </w:rPr>
      </w:pPr>
      <w:r>
        <w:rPr>
          <w:rFonts w:cs="Arial"/>
        </w:rPr>
        <w:t>General overview of the audit</w:t>
      </w:r>
    </w:p>
    <w:p w14:paraId="6A4F8FAD" w14:textId="77777777" w:rsidR="00000000" w:rsidRDefault="00000000">
      <w:pPr>
        <w:spacing w:before="240" w:line="276" w:lineRule="auto"/>
        <w:rPr>
          <w:rFonts w:eastAsia="Calibri"/>
        </w:rPr>
      </w:pPr>
      <w:bookmarkStart w:id="12" w:name="GeneralOverview"/>
      <w:r w:rsidRPr="00A4268A">
        <w:rPr>
          <w:rFonts w:eastAsia="Calibri"/>
        </w:rPr>
        <w:t xml:space="preserve">Te Mana Lifecare facility can provide services for up to 46 residents requiring rest home or hospital levels of care. On the day of audit, there were 42 residents. </w:t>
      </w:r>
    </w:p>
    <w:p w14:paraId="0947CFF2" w14:textId="77777777" w:rsidR="009601C8" w:rsidRPr="00A4268A" w:rsidRDefault="00000000">
      <w:pPr>
        <w:spacing w:before="240" w:line="276" w:lineRule="auto"/>
        <w:rPr>
          <w:rFonts w:eastAsia="Calibri"/>
        </w:rPr>
      </w:pPr>
      <w:r w:rsidRPr="00A4268A">
        <w:rPr>
          <w:rFonts w:eastAsia="Calibri"/>
        </w:rPr>
        <w:t xml:space="preserve">There is a sale and purchase agreement between New Zealand Aged Care Services Limited (the prospective provider) and Oceania Care Company Limited (Oceania) for the ownership of Te Mana Rest Home. Settlement is planned to occur on 24 March 2026. </w:t>
      </w:r>
    </w:p>
    <w:p w14:paraId="23012034" w14:textId="77777777" w:rsidR="009601C8" w:rsidRPr="00A4268A" w:rsidRDefault="00000000">
      <w:pPr>
        <w:spacing w:before="240" w:line="276" w:lineRule="auto"/>
        <w:rPr>
          <w:rFonts w:eastAsia="Calibri"/>
        </w:rPr>
      </w:pPr>
      <w:r w:rsidRPr="00A4268A">
        <w:rPr>
          <w:rFonts w:eastAsia="Calibri"/>
        </w:rPr>
        <w:t xml:space="preserve">This provisional audit process included review of policies and procedures, review of residents’ and staff files, observations, and interviews with residents, family members, the prospective provider’s managing director, the current organisation’s managers, staff, and a nurse practitioner by telephone. </w:t>
      </w:r>
    </w:p>
    <w:p w14:paraId="7D3D2196" w14:textId="77777777" w:rsidR="009601C8" w:rsidRPr="00A4268A" w:rsidRDefault="00000000">
      <w:pPr>
        <w:spacing w:before="240" w:line="276" w:lineRule="auto"/>
        <w:rPr>
          <w:rFonts w:eastAsia="Calibri"/>
        </w:rPr>
      </w:pPr>
      <w:r w:rsidRPr="00A4268A">
        <w:rPr>
          <w:rFonts w:eastAsia="Calibri"/>
        </w:rPr>
        <w:t>There were no non-conformances identified at this audit.</w:t>
      </w:r>
    </w:p>
    <w:bookmarkEnd w:id="12"/>
    <w:p w14:paraId="2D3E6843" w14:textId="77777777" w:rsidR="009601C8" w:rsidRPr="00A4268A" w:rsidRDefault="009601C8">
      <w:pPr>
        <w:spacing w:before="240" w:line="276" w:lineRule="auto"/>
        <w:rPr>
          <w:rFonts w:eastAsia="Calibri"/>
        </w:rPr>
      </w:pPr>
    </w:p>
    <w:p w14:paraId="4E32940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p w14:paraId="46778701" w14:textId="77777777" w:rsidR="00000000" w:rsidRDefault="00000000">
      <w:pPr>
        <w:spacing w:before="240" w:line="276" w:lineRule="auto"/>
        <w:rPr>
          <w:rFonts w:eastAsia="Calibri"/>
        </w:rPr>
      </w:pPr>
      <w:bookmarkStart w:id="13" w:name="ConsumerRights"/>
      <w:r w:rsidRPr="00A4268A">
        <w:rPr>
          <w:rFonts w:eastAsia="Calibri"/>
        </w:rPr>
        <w:t xml:space="preserve">Te Mana works collaboratively to support and encourage a Māori world view of health in service delivery. Māori are provided with equitable and effective services based on Te Tiriti o Waitangi and the principles of mana motuhake. </w:t>
      </w:r>
    </w:p>
    <w:p w14:paraId="7282FDF0" w14:textId="77777777" w:rsidR="009601C8"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654D274" w14:textId="77777777" w:rsidR="009601C8"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1F1A8622" w14:textId="77777777" w:rsidR="009601C8"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57987F98" w14:textId="77777777" w:rsidR="009601C8"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3"/>
    <w:p w14:paraId="1063E1BC" w14:textId="77777777" w:rsidR="009601C8" w:rsidRPr="00A4268A" w:rsidRDefault="009601C8">
      <w:pPr>
        <w:spacing w:before="240" w:line="276" w:lineRule="auto"/>
        <w:rPr>
          <w:rFonts w:eastAsia="Calibri"/>
        </w:rPr>
      </w:pPr>
    </w:p>
    <w:p w14:paraId="62D791E8"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0C34132D" w14:textId="77777777" w:rsidR="00000000" w:rsidRDefault="00000000">
      <w:pPr>
        <w:spacing w:before="240" w:line="276" w:lineRule="auto"/>
        <w:rPr>
          <w:rFonts w:eastAsia="Calibri"/>
        </w:rPr>
      </w:pPr>
      <w:bookmarkStart w:id="14"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44D05D9E" w14:textId="77777777" w:rsidR="009601C8"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8A4600D" w14:textId="77777777" w:rsidR="009601C8"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w:t>
      </w:r>
      <w:r w:rsidRPr="00A4268A">
        <w:rPr>
          <w:rFonts w:eastAsia="Calibri"/>
        </w:rPr>
        <w:lastRenderedPageBreak/>
        <w:t xml:space="preserve">collection and analysis of quality improvement data, identifies trends, and leads to improvements. Actual and potential risks are identified and mitigated.  </w:t>
      </w:r>
    </w:p>
    <w:p w14:paraId="25058A8C" w14:textId="77777777" w:rsidR="009601C8"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0A0DCB2" w14:textId="77777777" w:rsidR="009601C8"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163F8F94" w14:textId="77777777" w:rsidR="009601C8"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4"/>
    <w:p w14:paraId="1F73DE5C" w14:textId="77777777" w:rsidR="009601C8" w:rsidRPr="00A4268A" w:rsidRDefault="009601C8">
      <w:pPr>
        <w:spacing w:before="240" w:line="276" w:lineRule="auto"/>
        <w:rPr>
          <w:rFonts w:eastAsia="Calibri"/>
        </w:rPr>
      </w:pPr>
    </w:p>
    <w:p w14:paraId="3B262EB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EBC7726" w14:textId="77777777" w:rsidR="00000000" w:rsidRPr="005E14A4" w:rsidRDefault="00000000" w:rsidP="00621629">
      <w:pPr>
        <w:spacing w:before="240" w:line="276" w:lineRule="auto"/>
        <w:rPr>
          <w:rFonts w:eastAsia="Calibri"/>
        </w:rPr>
      </w:pPr>
      <w:bookmarkStart w:id="15"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4F33E91C" w14:textId="77777777" w:rsidR="009601C8"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1582BE34" w14:textId="77777777" w:rsidR="009601C8"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53C77B00" w14:textId="77777777" w:rsidR="009601C8"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26C68BFD" w14:textId="77777777" w:rsidR="009601C8"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29F52C59" w14:textId="77777777" w:rsidR="009601C8"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15"/>
    <w:p w14:paraId="3DB31817" w14:textId="77777777" w:rsidR="009601C8" w:rsidRPr="00A4268A" w:rsidRDefault="009601C8" w:rsidP="00621629">
      <w:pPr>
        <w:spacing w:before="240" w:line="276" w:lineRule="auto"/>
        <w:rPr>
          <w:rFonts w:eastAsia="Calibri"/>
        </w:rPr>
      </w:pPr>
    </w:p>
    <w:p w14:paraId="1AB0085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6F58EF25" w14:textId="77777777" w:rsidR="00000000" w:rsidRDefault="00000000">
      <w:pPr>
        <w:spacing w:before="240" w:line="276" w:lineRule="auto"/>
        <w:rPr>
          <w:rFonts w:eastAsia="Calibri"/>
        </w:rPr>
      </w:pPr>
      <w:bookmarkStart w:id="16"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41DB59B3" w14:textId="77777777" w:rsidR="009601C8"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16"/>
    <w:p w14:paraId="170CFA3A" w14:textId="77777777" w:rsidR="009601C8" w:rsidRPr="00A4268A" w:rsidRDefault="009601C8">
      <w:pPr>
        <w:spacing w:before="240" w:line="276" w:lineRule="auto"/>
        <w:rPr>
          <w:rFonts w:eastAsia="Calibri"/>
        </w:rPr>
      </w:pPr>
    </w:p>
    <w:p w14:paraId="67E8408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3AE072B" w14:textId="77777777" w:rsidR="00000000" w:rsidRDefault="00000000">
      <w:pPr>
        <w:spacing w:before="240" w:line="276" w:lineRule="auto"/>
        <w:rPr>
          <w:rFonts w:eastAsia="Calibri"/>
        </w:rPr>
      </w:pPr>
      <w:bookmarkStart w:id="17"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5655F076" w14:textId="77777777" w:rsidR="009601C8"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39F6B1AA" w14:textId="77777777" w:rsidR="009601C8"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80A9595" w14:textId="77777777" w:rsidR="009601C8"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59195243" w14:textId="77777777" w:rsidR="009601C8"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17"/>
    <w:p w14:paraId="3B75CC13" w14:textId="77777777" w:rsidR="009601C8" w:rsidRPr="00A4268A" w:rsidRDefault="009601C8">
      <w:pPr>
        <w:spacing w:before="240" w:line="276" w:lineRule="auto"/>
        <w:rPr>
          <w:rFonts w:eastAsia="Calibri"/>
        </w:rPr>
      </w:pPr>
    </w:p>
    <w:p w14:paraId="3122D8C8" w14:textId="77777777" w:rsidR="00000000" w:rsidRDefault="00000000" w:rsidP="000E6E02">
      <w:pPr>
        <w:pStyle w:val="Heading2"/>
        <w:spacing w:before="0"/>
        <w:rPr>
          <w:rFonts w:cs="Arial"/>
        </w:rPr>
      </w:pPr>
      <w:r w:rsidRPr="00FB778F">
        <w:rPr>
          <w:rFonts w:cs="Arial"/>
        </w:rPr>
        <w:t>Here taratahi │ Restraint and seclusion</w:t>
      </w:r>
    </w:p>
    <w:p w14:paraId="1313E85F" w14:textId="77777777" w:rsidR="00000000" w:rsidRDefault="00000000">
      <w:pPr>
        <w:spacing w:before="240" w:line="276" w:lineRule="auto"/>
        <w:rPr>
          <w:rFonts w:eastAsia="Calibri"/>
        </w:rPr>
      </w:pPr>
      <w:bookmarkStart w:id="18"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7DC62D7E" w14:textId="77777777" w:rsidR="009601C8" w:rsidRPr="00A4268A" w:rsidRDefault="00000000">
      <w:pPr>
        <w:spacing w:before="240" w:line="276" w:lineRule="auto"/>
        <w:rPr>
          <w:rFonts w:eastAsia="Calibri"/>
        </w:rPr>
      </w:pPr>
      <w:r w:rsidRPr="00A4268A">
        <w:rPr>
          <w:rFonts w:eastAsia="Calibri"/>
        </w:rPr>
        <w:t xml:space="preserve">Comprehensive assessment, approval and monitoring processes are available should restraint be required.  Staff demonstrated a sound knowledge and understanding of providing the least restrictive practice, de-escalation techniques, and alternative interventions.  </w:t>
      </w:r>
    </w:p>
    <w:bookmarkEnd w:id="18"/>
    <w:p w14:paraId="36CC48B0" w14:textId="77777777" w:rsidR="009601C8" w:rsidRPr="00A4268A" w:rsidRDefault="009601C8">
      <w:pPr>
        <w:spacing w:before="240" w:line="276" w:lineRule="auto"/>
        <w:rPr>
          <w:rFonts w:eastAsia="Calibri"/>
        </w:rPr>
      </w:pPr>
    </w:p>
    <w:p w14:paraId="560D62F9" w14:textId="77777777" w:rsidR="00000000" w:rsidRDefault="00000000" w:rsidP="000E6E02">
      <w:pPr>
        <w:pStyle w:val="Heading2"/>
        <w:spacing w:before="0"/>
        <w:rPr>
          <w:rFonts w:cs="Arial"/>
        </w:rPr>
      </w:pPr>
      <w:r>
        <w:rPr>
          <w:rFonts w:cs="Arial"/>
        </w:rPr>
        <w:t>Summary of attainment</w:t>
      </w:r>
    </w:p>
    <w:p w14:paraId="5A9ADEE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01C8" w14:paraId="1BCBE1EB" w14:textId="77777777">
        <w:tc>
          <w:tcPr>
            <w:tcW w:w="1384" w:type="dxa"/>
            <w:vAlign w:val="center"/>
          </w:tcPr>
          <w:p w14:paraId="0265DB6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89D9FBC" w14:textId="77777777" w:rsidR="00000000" w:rsidRDefault="00000000">
            <w:pPr>
              <w:keepNext/>
              <w:spacing w:before="60" w:after="60"/>
              <w:jc w:val="center"/>
              <w:rPr>
                <w:rFonts w:cs="Arial"/>
                <w:b/>
                <w:sz w:val="20"/>
                <w:szCs w:val="20"/>
              </w:rPr>
            </w:pPr>
            <w:r>
              <w:rPr>
                <w:rFonts w:cs="Arial"/>
                <w:b/>
                <w:sz w:val="20"/>
                <w:szCs w:val="20"/>
              </w:rPr>
              <w:t>Continuous Improvement</w:t>
            </w:r>
          </w:p>
          <w:p w14:paraId="7205A91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33E3BD" w14:textId="77777777" w:rsidR="00000000" w:rsidRDefault="00000000">
            <w:pPr>
              <w:keepNext/>
              <w:spacing w:before="60" w:after="60"/>
              <w:jc w:val="center"/>
              <w:rPr>
                <w:rFonts w:cs="Arial"/>
                <w:b/>
                <w:sz w:val="20"/>
                <w:szCs w:val="20"/>
              </w:rPr>
            </w:pPr>
            <w:r>
              <w:rPr>
                <w:rFonts w:cs="Arial"/>
                <w:b/>
                <w:sz w:val="20"/>
                <w:szCs w:val="20"/>
              </w:rPr>
              <w:t>Fully Attained</w:t>
            </w:r>
          </w:p>
          <w:p w14:paraId="07B4BF8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C2446C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6BD1F7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06D98F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790EE3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E0F118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31FB98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31CB82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FD1507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C08A3B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27DB66A" w14:textId="77777777" w:rsidR="00000000" w:rsidRDefault="00000000">
            <w:pPr>
              <w:keepNext/>
              <w:spacing w:before="60" w:after="60"/>
              <w:jc w:val="center"/>
              <w:rPr>
                <w:rFonts w:cs="Arial"/>
                <w:b/>
                <w:sz w:val="20"/>
                <w:szCs w:val="20"/>
              </w:rPr>
            </w:pPr>
            <w:r>
              <w:rPr>
                <w:rFonts w:cs="Arial"/>
                <w:b/>
                <w:sz w:val="20"/>
                <w:szCs w:val="20"/>
              </w:rPr>
              <w:t>(PA Critical)</w:t>
            </w:r>
          </w:p>
        </w:tc>
      </w:tr>
      <w:tr w:rsidR="009601C8" w14:paraId="5BC3D654" w14:textId="77777777">
        <w:tc>
          <w:tcPr>
            <w:tcW w:w="1384" w:type="dxa"/>
            <w:vAlign w:val="center"/>
          </w:tcPr>
          <w:p w14:paraId="77A6ACF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4578B6" w14:textId="77777777" w:rsidR="00000000" w:rsidRDefault="00000000"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1434ABF8" w14:textId="77777777" w:rsidR="00000000" w:rsidRDefault="00000000" w:rsidP="00A4268A">
            <w:pPr>
              <w:spacing w:before="60" w:after="60"/>
              <w:jc w:val="center"/>
              <w:rPr>
                <w:rFonts w:cs="Arial"/>
                <w:sz w:val="20"/>
                <w:szCs w:val="20"/>
                <w:lang w:eastAsia="en-NZ"/>
              </w:rPr>
            </w:pPr>
            <w:bookmarkStart w:id="20" w:name="TotalStdFA"/>
            <w:r>
              <w:rPr>
                <w:rFonts w:cs="Arial"/>
                <w:sz w:val="20"/>
                <w:szCs w:val="20"/>
                <w:lang w:eastAsia="en-NZ"/>
              </w:rPr>
              <w:t>27</w:t>
            </w:r>
            <w:bookmarkEnd w:id="20"/>
          </w:p>
        </w:tc>
        <w:tc>
          <w:tcPr>
            <w:tcW w:w="1843" w:type="dxa"/>
            <w:vAlign w:val="center"/>
          </w:tcPr>
          <w:p w14:paraId="43B6185E" w14:textId="77777777" w:rsidR="00000000" w:rsidRDefault="00000000">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3BD1AEBB" w14:textId="77777777" w:rsidR="00000000" w:rsidRDefault="00000000" w:rsidP="00A4268A">
            <w:pPr>
              <w:spacing w:before="60" w:after="60"/>
              <w:jc w:val="center"/>
              <w:rPr>
                <w:rFonts w:cs="Arial"/>
                <w:sz w:val="20"/>
                <w:szCs w:val="20"/>
                <w:lang w:eastAsia="en-NZ"/>
              </w:rPr>
            </w:pPr>
            <w:bookmarkStart w:id="22" w:name="TotalStdPA_Low"/>
            <w:r>
              <w:rPr>
                <w:rFonts w:cs="Arial"/>
                <w:sz w:val="20"/>
                <w:szCs w:val="20"/>
                <w:lang w:eastAsia="en-NZ"/>
              </w:rPr>
              <w:t>0</w:t>
            </w:r>
            <w:bookmarkEnd w:id="22"/>
          </w:p>
        </w:tc>
        <w:tc>
          <w:tcPr>
            <w:tcW w:w="1843" w:type="dxa"/>
            <w:vAlign w:val="center"/>
          </w:tcPr>
          <w:p w14:paraId="76291AF1" w14:textId="77777777" w:rsidR="00000000" w:rsidRDefault="00000000"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14:paraId="21FB75AE" w14:textId="77777777" w:rsidR="00000000" w:rsidRDefault="00000000">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46DE5DDE" w14:textId="77777777" w:rsidR="00000000" w:rsidRDefault="00000000">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9601C8" w14:paraId="26D2CF12" w14:textId="77777777">
        <w:tc>
          <w:tcPr>
            <w:tcW w:w="1384" w:type="dxa"/>
            <w:vAlign w:val="center"/>
          </w:tcPr>
          <w:p w14:paraId="030235B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6D2DE0F" w14:textId="77777777" w:rsidR="00000000" w:rsidRDefault="00000000">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629DAA9C" w14:textId="77777777" w:rsidR="00000000" w:rsidRDefault="00000000" w:rsidP="00A4268A">
            <w:pPr>
              <w:spacing w:before="60" w:after="60"/>
              <w:jc w:val="center"/>
              <w:rPr>
                <w:rFonts w:cs="Arial"/>
                <w:sz w:val="20"/>
                <w:szCs w:val="20"/>
                <w:lang w:eastAsia="en-NZ"/>
              </w:rPr>
            </w:pPr>
            <w:bookmarkStart w:id="27" w:name="TotalCritFA"/>
            <w:r>
              <w:rPr>
                <w:rFonts w:cs="Arial"/>
                <w:sz w:val="20"/>
                <w:szCs w:val="20"/>
                <w:lang w:eastAsia="en-NZ"/>
              </w:rPr>
              <w:t>170</w:t>
            </w:r>
            <w:bookmarkEnd w:id="27"/>
          </w:p>
        </w:tc>
        <w:tc>
          <w:tcPr>
            <w:tcW w:w="1843" w:type="dxa"/>
            <w:vAlign w:val="center"/>
          </w:tcPr>
          <w:p w14:paraId="55A7063E" w14:textId="77777777" w:rsidR="00000000" w:rsidRDefault="00000000">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03A75271" w14:textId="77777777" w:rsidR="00000000" w:rsidRDefault="00000000" w:rsidP="00A4268A">
            <w:pPr>
              <w:spacing w:before="60" w:after="60"/>
              <w:jc w:val="center"/>
              <w:rPr>
                <w:rFonts w:cs="Arial"/>
                <w:sz w:val="20"/>
                <w:szCs w:val="20"/>
                <w:lang w:eastAsia="en-NZ"/>
              </w:rPr>
            </w:pPr>
            <w:bookmarkStart w:id="29" w:name="TotalCritPA_Low"/>
            <w:r>
              <w:rPr>
                <w:rFonts w:cs="Arial"/>
                <w:sz w:val="20"/>
                <w:szCs w:val="20"/>
                <w:lang w:eastAsia="en-NZ"/>
              </w:rPr>
              <w:t>0</w:t>
            </w:r>
            <w:bookmarkEnd w:id="29"/>
          </w:p>
        </w:tc>
        <w:tc>
          <w:tcPr>
            <w:tcW w:w="1843" w:type="dxa"/>
            <w:vAlign w:val="center"/>
          </w:tcPr>
          <w:p w14:paraId="45126B54" w14:textId="77777777" w:rsidR="00000000" w:rsidRDefault="00000000"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14:paraId="6EAC4AC8" w14:textId="77777777" w:rsidR="00000000" w:rsidRDefault="00000000">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62BDCF9E" w14:textId="77777777" w:rsidR="00000000" w:rsidRDefault="00000000">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005EA3E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01C8" w14:paraId="7F9D13D7" w14:textId="77777777">
        <w:tc>
          <w:tcPr>
            <w:tcW w:w="1384" w:type="dxa"/>
            <w:vAlign w:val="center"/>
          </w:tcPr>
          <w:p w14:paraId="49C1CD5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F09F2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C16D47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2E1BAA3" w14:textId="77777777" w:rsidR="00000000" w:rsidRDefault="00000000">
            <w:pPr>
              <w:keepNext/>
              <w:spacing w:before="60" w:after="60"/>
              <w:jc w:val="center"/>
              <w:rPr>
                <w:rFonts w:cs="Arial"/>
                <w:b/>
                <w:sz w:val="20"/>
                <w:szCs w:val="20"/>
              </w:rPr>
            </w:pPr>
            <w:r>
              <w:rPr>
                <w:rFonts w:cs="Arial"/>
                <w:b/>
                <w:sz w:val="20"/>
                <w:szCs w:val="20"/>
              </w:rPr>
              <w:t>Unattained Low Risk</w:t>
            </w:r>
          </w:p>
          <w:p w14:paraId="68C1DE2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7436F6" w14:textId="77777777" w:rsidR="00000000" w:rsidRDefault="00000000">
            <w:pPr>
              <w:keepNext/>
              <w:spacing w:before="60" w:after="60"/>
              <w:jc w:val="center"/>
              <w:rPr>
                <w:rFonts w:cs="Arial"/>
                <w:b/>
                <w:sz w:val="20"/>
                <w:szCs w:val="20"/>
              </w:rPr>
            </w:pPr>
            <w:r>
              <w:rPr>
                <w:rFonts w:cs="Arial"/>
                <w:b/>
                <w:sz w:val="20"/>
                <w:szCs w:val="20"/>
              </w:rPr>
              <w:t>Unattained Moderate Risk</w:t>
            </w:r>
          </w:p>
          <w:p w14:paraId="356D6F6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258B6BD" w14:textId="77777777" w:rsidR="00000000" w:rsidRDefault="00000000">
            <w:pPr>
              <w:keepNext/>
              <w:spacing w:before="60" w:after="60"/>
              <w:jc w:val="center"/>
              <w:rPr>
                <w:rFonts w:cs="Arial"/>
                <w:b/>
                <w:sz w:val="20"/>
                <w:szCs w:val="20"/>
              </w:rPr>
            </w:pPr>
            <w:r>
              <w:rPr>
                <w:rFonts w:cs="Arial"/>
                <w:b/>
                <w:sz w:val="20"/>
                <w:szCs w:val="20"/>
              </w:rPr>
              <w:t>Unattained High Risk</w:t>
            </w:r>
          </w:p>
          <w:p w14:paraId="60673A1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32C5E7E" w14:textId="77777777" w:rsidR="00000000" w:rsidRDefault="00000000">
            <w:pPr>
              <w:keepNext/>
              <w:spacing w:before="60" w:after="60"/>
              <w:jc w:val="center"/>
              <w:rPr>
                <w:rFonts w:cs="Arial"/>
                <w:b/>
                <w:sz w:val="20"/>
                <w:szCs w:val="20"/>
              </w:rPr>
            </w:pPr>
            <w:r>
              <w:rPr>
                <w:rFonts w:cs="Arial"/>
                <w:b/>
                <w:sz w:val="20"/>
                <w:szCs w:val="20"/>
              </w:rPr>
              <w:t>Unattained Critical Risk</w:t>
            </w:r>
          </w:p>
          <w:p w14:paraId="0831F553" w14:textId="77777777" w:rsidR="00000000" w:rsidRDefault="00000000">
            <w:pPr>
              <w:keepNext/>
              <w:spacing w:before="60" w:after="60"/>
              <w:jc w:val="center"/>
              <w:rPr>
                <w:rFonts w:cs="Arial"/>
                <w:b/>
                <w:sz w:val="20"/>
                <w:szCs w:val="20"/>
              </w:rPr>
            </w:pPr>
            <w:r>
              <w:rPr>
                <w:rFonts w:cs="Arial"/>
                <w:b/>
                <w:sz w:val="20"/>
                <w:szCs w:val="20"/>
              </w:rPr>
              <w:t>(UA Critical)</w:t>
            </w:r>
          </w:p>
        </w:tc>
      </w:tr>
      <w:tr w:rsidR="009601C8" w14:paraId="3AFD7E8B" w14:textId="77777777">
        <w:tc>
          <w:tcPr>
            <w:tcW w:w="1384" w:type="dxa"/>
            <w:vAlign w:val="center"/>
          </w:tcPr>
          <w:p w14:paraId="480F232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7C384EE" w14:textId="77777777" w:rsidR="00000000" w:rsidRDefault="00000000">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72CF4D10" w14:textId="77777777" w:rsidR="00000000" w:rsidRDefault="00000000">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15CC5E45" w14:textId="77777777" w:rsidR="00000000" w:rsidRDefault="00000000">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5C492F7E" w14:textId="77777777" w:rsidR="00000000" w:rsidRDefault="00000000">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7EAFD7FA" w14:textId="77777777" w:rsidR="00000000" w:rsidRDefault="00000000">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9601C8" w14:paraId="2C427253" w14:textId="77777777">
        <w:tc>
          <w:tcPr>
            <w:tcW w:w="1384" w:type="dxa"/>
            <w:vAlign w:val="center"/>
          </w:tcPr>
          <w:p w14:paraId="29EC638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CB3F5E1" w14:textId="77777777" w:rsidR="00000000" w:rsidRDefault="00000000">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4EECBAE3" w14:textId="77777777" w:rsidR="00000000" w:rsidRDefault="00000000">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6ACA83EF" w14:textId="77777777" w:rsidR="00000000" w:rsidRDefault="00000000">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7634501F" w14:textId="77777777" w:rsidR="00000000" w:rsidRDefault="00000000">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4FF2AF78" w14:textId="77777777" w:rsidR="00000000" w:rsidRDefault="00000000">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0C28AAE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F32189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E6588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DF470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356"/>
        <w:gridCol w:w="6562"/>
      </w:tblGrid>
      <w:tr w:rsidR="009601C8" w14:paraId="1B69978C" w14:textId="77777777">
        <w:tc>
          <w:tcPr>
            <w:tcW w:w="0" w:type="auto"/>
          </w:tcPr>
          <w:p w14:paraId="1AB4A7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877F7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3229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601C8" w14:paraId="50F6B492" w14:textId="77777777">
        <w:tc>
          <w:tcPr>
            <w:tcW w:w="0" w:type="auto"/>
          </w:tcPr>
          <w:p w14:paraId="3CE7A9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63622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BA2645" w14:textId="77777777" w:rsidR="00000000" w:rsidRPr="00BE00C7" w:rsidRDefault="00000000" w:rsidP="00BE00C7">
            <w:pPr>
              <w:pStyle w:val="OutcomeDescription"/>
              <w:spacing w:before="120" w:after="120"/>
              <w:rPr>
                <w:rFonts w:cs="Arial"/>
                <w:lang w:eastAsia="en-NZ"/>
              </w:rPr>
            </w:pPr>
          </w:p>
        </w:tc>
        <w:tc>
          <w:tcPr>
            <w:tcW w:w="0" w:type="auto"/>
          </w:tcPr>
          <w:p w14:paraId="315B21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279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Mana has implemented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care plan has been developed with input from cultural advisers and is used for residents who identify as Māori.  </w:t>
            </w:r>
          </w:p>
          <w:p w14:paraId="5B2FE64C"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approximately 8% of residents identified as Māori. These residents and whānau interviewed reported that staff respected their right to Māori self-determination, and they felt culturally safe.</w:t>
            </w:r>
          </w:p>
          <w:p w14:paraId="57A2D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was a small number of staff who identified as Māori.  Staff ethnicity data is documented on recruitment and trended. </w:t>
            </w:r>
          </w:p>
          <w:p w14:paraId="1CB41D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facility achieved a rating of continuous improvement at its May 2025 certification audit for the success of a multicultural teamwork initiative.</w:t>
            </w:r>
          </w:p>
          <w:p w14:paraId="44D59660" w14:textId="77777777" w:rsidR="00000000" w:rsidRPr="00BE00C7" w:rsidRDefault="00000000" w:rsidP="00BE00C7">
            <w:pPr>
              <w:pStyle w:val="OutcomeDescription"/>
              <w:spacing w:before="120" w:after="120"/>
              <w:rPr>
                <w:rFonts w:cs="Arial"/>
                <w:lang w:eastAsia="en-NZ"/>
              </w:rPr>
            </w:pPr>
          </w:p>
        </w:tc>
      </w:tr>
      <w:tr w:rsidR="009601C8" w14:paraId="072F68CB" w14:textId="77777777">
        <w:tc>
          <w:tcPr>
            <w:tcW w:w="0" w:type="auto"/>
          </w:tcPr>
          <w:p w14:paraId="237A1A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E6156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41288D" w14:textId="77777777" w:rsidR="00000000" w:rsidRPr="00BE00C7" w:rsidRDefault="00000000" w:rsidP="00BE00C7">
            <w:pPr>
              <w:pStyle w:val="OutcomeDescription"/>
              <w:spacing w:before="120" w:after="120"/>
              <w:rPr>
                <w:rFonts w:cs="Arial"/>
                <w:lang w:eastAsia="en-NZ"/>
              </w:rPr>
            </w:pPr>
          </w:p>
        </w:tc>
        <w:tc>
          <w:tcPr>
            <w:tcW w:w="0" w:type="auto"/>
          </w:tcPr>
          <w:p w14:paraId="39BD62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85C618"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Mana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740D67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small number of Pacific residents interviewed felt their worldview, and cultural and spiritual beliefs were embraced. </w:t>
            </w:r>
          </w:p>
          <w:p w14:paraId="414693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Active recruitment, training and actions to retain a Pacific workforce are supported, resulting in approximately 45% of staff who identify as Pacific employed across roles. The care facility achieved a rating of continuous improvement at its May 2025 certification audit for the success of a multicultural teamwork initiative.  </w:t>
            </w:r>
          </w:p>
          <w:p w14:paraId="4B9DFE3E" w14:textId="77777777" w:rsidR="00000000" w:rsidRPr="00BE00C7" w:rsidRDefault="00000000" w:rsidP="00BE00C7">
            <w:pPr>
              <w:pStyle w:val="OutcomeDescription"/>
              <w:spacing w:before="120" w:after="120"/>
              <w:rPr>
                <w:rFonts w:cs="Arial"/>
                <w:lang w:eastAsia="en-NZ"/>
              </w:rPr>
            </w:pPr>
          </w:p>
        </w:tc>
      </w:tr>
      <w:tr w:rsidR="009601C8" w14:paraId="7323B640" w14:textId="77777777">
        <w:tc>
          <w:tcPr>
            <w:tcW w:w="0" w:type="auto"/>
          </w:tcPr>
          <w:p w14:paraId="40D3E6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C3209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6976329" w14:textId="77777777" w:rsidR="00000000" w:rsidRPr="00BE00C7" w:rsidRDefault="00000000" w:rsidP="00BE00C7">
            <w:pPr>
              <w:pStyle w:val="OutcomeDescription"/>
              <w:spacing w:before="120" w:after="120"/>
              <w:rPr>
                <w:rFonts w:cs="Arial"/>
                <w:lang w:eastAsia="en-NZ"/>
              </w:rPr>
            </w:pPr>
          </w:p>
        </w:tc>
        <w:tc>
          <w:tcPr>
            <w:tcW w:w="0" w:type="auto"/>
          </w:tcPr>
          <w:p w14:paraId="38C3E4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303C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2B7D38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prospective provider interviewed had a good understanding of the Code and meeting the legal requirements of the standards and the obligations of the service agreement with Health New Zealand – Te Whatu Ora.</w:t>
            </w:r>
          </w:p>
          <w:p w14:paraId="7DDD6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was sighted of Māori mana motuhake, advocacy, and Code of Rights training being provided to staff. Opportunities to discuss and clarify residents’ rights were given during admission and at the six-monthly multidisciplinary meetings. Residents and whānau interviewed confirmed this practice.   </w:t>
            </w:r>
          </w:p>
          <w:p w14:paraId="32514729" w14:textId="77777777" w:rsidR="00000000" w:rsidRPr="00BE00C7" w:rsidRDefault="00000000" w:rsidP="00BE00C7">
            <w:pPr>
              <w:pStyle w:val="OutcomeDescription"/>
              <w:spacing w:before="120" w:after="120"/>
              <w:rPr>
                <w:rFonts w:cs="Arial"/>
                <w:lang w:eastAsia="en-NZ"/>
              </w:rPr>
            </w:pPr>
          </w:p>
        </w:tc>
      </w:tr>
      <w:tr w:rsidR="009601C8" w14:paraId="1B01E2F3" w14:textId="77777777">
        <w:tc>
          <w:tcPr>
            <w:tcW w:w="0" w:type="auto"/>
          </w:tcPr>
          <w:p w14:paraId="3C13A4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89E3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7F3574B" w14:textId="77777777" w:rsidR="00000000" w:rsidRPr="00BE00C7" w:rsidRDefault="00000000" w:rsidP="00BE00C7">
            <w:pPr>
              <w:pStyle w:val="OutcomeDescription"/>
              <w:spacing w:before="120" w:after="120"/>
              <w:rPr>
                <w:rFonts w:cs="Arial"/>
                <w:lang w:eastAsia="en-NZ"/>
              </w:rPr>
            </w:pPr>
          </w:p>
        </w:tc>
        <w:tc>
          <w:tcPr>
            <w:tcW w:w="0" w:type="auto"/>
          </w:tcPr>
          <w:p w14:paraId="5D68BD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287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whānau and including younger people with disabilities (YPDs), confirmed that they received services in a manner that had regard for their dignity, gender, privacy, </w:t>
            </w:r>
            <w:r w:rsidRPr="00BE00C7">
              <w:rPr>
                <w:rFonts w:cs="Arial"/>
                <w:lang w:eastAsia="en-NZ"/>
              </w:rPr>
              <w:lastRenderedPageBreak/>
              <w:t xml:space="preserve">sexual orientation, spirituality and choices. </w:t>
            </w:r>
          </w:p>
          <w:p w14:paraId="291502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their own room, providing a safe space for family meetings when required. This was confirmed by whānau, residents, and staff during interviews.</w:t>
            </w:r>
          </w:p>
          <w:p w14:paraId="2601A3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staff training provided and the cultural assessments completed on admission. Management and all staff have undertaken training in Te Tiriti o Waitangi and understood the principles and how to apply these in their daily work. </w:t>
            </w:r>
          </w:p>
          <w:p w14:paraId="27EF60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255723B7" w14:textId="77777777" w:rsidR="00000000" w:rsidRPr="00BE00C7" w:rsidRDefault="00000000" w:rsidP="00BE00C7">
            <w:pPr>
              <w:pStyle w:val="OutcomeDescription"/>
              <w:spacing w:before="120" w:after="120"/>
              <w:rPr>
                <w:rFonts w:cs="Arial"/>
                <w:lang w:eastAsia="en-NZ"/>
              </w:rPr>
            </w:pPr>
          </w:p>
        </w:tc>
      </w:tr>
      <w:tr w:rsidR="009601C8" w14:paraId="604C8E5E" w14:textId="77777777">
        <w:tc>
          <w:tcPr>
            <w:tcW w:w="0" w:type="auto"/>
          </w:tcPr>
          <w:p w14:paraId="326C31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BC66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C6F6D5" w14:textId="77777777" w:rsidR="00000000" w:rsidRPr="00BE00C7" w:rsidRDefault="00000000" w:rsidP="00BE00C7">
            <w:pPr>
              <w:pStyle w:val="OutcomeDescription"/>
              <w:spacing w:before="120" w:after="120"/>
              <w:rPr>
                <w:rFonts w:cs="Arial"/>
                <w:lang w:eastAsia="en-NZ"/>
              </w:rPr>
            </w:pPr>
          </w:p>
        </w:tc>
        <w:tc>
          <w:tcPr>
            <w:tcW w:w="0" w:type="auto"/>
          </w:tcPr>
          <w:p w14:paraId="5FF7FA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BB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23E92E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and finances are respected.  </w:t>
            </w:r>
          </w:p>
          <w:p w14:paraId="43B87E33"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framework. Māori health and cultural training were confirmed in the education records reviewed and through staff interviews.</w:t>
            </w:r>
          </w:p>
          <w:p w14:paraId="17CE4C29" w14:textId="77777777" w:rsidR="00000000" w:rsidRPr="00BE00C7" w:rsidRDefault="00000000" w:rsidP="00BE00C7">
            <w:pPr>
              <w:pStyle w:val="OutcomeDescription"/>
              <w:spacing w:before="120" w:after="120"/>
              <w:rPr>
                <w:rFonts w:cs="Arial"/>
                <w:lang w:eastAsia="en-NZ"/>
              </w:rPr>
            </w:pPr>
          </w:p>
        </w:tc>
      </w:tr>
      <w:tr w:rsidR="009601C8" w14:paraId="127C97C0" w14:textId="77777777">
        <w:tc>
          <w:tcPr>
            <w:tcW w:w="0" w:type="auto"/>
          </w:tcPr>
          <w:p w14:paraId="73FEA5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B1896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9536FD1" w14:textId="77777777" w:rsidR="00000000" w:rsidRPr="00BE00C7" w:rsidRDefault="00000000" w:rsidP="00BE00C7">
            <w:pPr>
              <w:pStyle w:val="OutcomeDescription"/>
              <w:spacing w:before="120" w:after="120"/>
              <w:rPr>
                <w:rFonts w:cs="Arial"/>
                <w:lang w:eastAsia="en-NZ"/>
              </w:rPr>
            </w:pPr>
          </w:p>
        </w:tc>
        <w:tc>
          <w:tcPr>
            <w:tcW w:w="0" w:type="auto"/>
          </w:tcPr>
          <w:p w14:paraId="20F576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C825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Two of </w:t>
            </w:r>
            <w:r w:rsidRPr="00BE00C7">
              <w:rPr>
                <w:rFonts w:cs="Arial"/>
                <w:lang w:eastAsia="en-NZ"/>
              </w:rPr>
              <w:lastRenderedPageBreak/>
              <w:t>the five YPD residents had communication methods available and were used as applicable.</w:t>
            </w:r>
          </w:p>
          <w:p w14:paraId="30530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audit observations, the clinical manager supported communication with a resident who had mobility and communication challenges. A communication care plan was subsequently developed on strategies identified by the multidisciplinary team (MDT). This was clearly communicated in the care plan strategies, progress notes, and interviews with the nurse practitioner (NP). </w:t>
            </w:r>
          </w:p>
          <w:p w14:paraId="7CDE6E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7C42980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1CEB82F" w14:textId="77777777" w:rsidR="00000000" w:rsidRPr="00BE00C7" w:rsidRDefault="00000000" w:rsidP="00BE00C7">
            <w:pPr>
              <w:pStyle w:val="OutcomeDescription"/>
              <w:spacing w:before="120" w:after="120"/>
              <w:rPr>
                <w:rFonts w:cs="Arial"/>
                <w:lang w:eastAsia="en-NZ"/>
              </w:rPr>
            </w:pPr>
          </w:p>
        </w:tc>
      </w:tr>
      <w:tr w:rsidR="009601C8" w14:paraId="39870E5F" w14:textId="77777777">
        <w:tc>
          <w:tcPr>
            <w:tcW w:w="0" w:type="auto"/>
          </w:tcPr>
          <w:p w14:paraId="50D66E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D6678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F365799" w14:textId="77777777" w:rsidR="00000000" w:rsidRPr="00BE00C7" w:rsidRDefault="00000000" w:rsidP="00BE00C7">
            <w:pPr>
              <w:pStyle w:val="OutcomeDescription"/>
              <w:spacing w:before="120" w:after="120"/>
              <w:rPr>
                <w:rFonts w:cs="Arial"/>
                <w:lang w:eastAsia="en-NZ"/>
              </w:rPr>
            </w:pPr>
          </w:p>
        </w:tc>
        <w:tc>
          <w:tcPr>
            <w:tcW w:w="0" w:type="auto"/>
          </w:tcPr>
          <w:p w14:paraId="12CB68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7D101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to ensure decisions were culturally responsive and aligned with individual preferences.</w:t>
            </w:r>
          </w:p>
          <w:p w14:paraId="78E02E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4B5F42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208C1825" w14:textId="77777777" w:rsidR="00000000" w:rsidRPr="00BE00C7" w:rsidRDefault="00000000" w:rsidP="00BE00C7">
            <w:pPr>
              <w:pStyle w:val="OutcomeDescription"/>
              <w:spacing w:before="120" w:after="120"/>
              <w:rPr>
                <w:rFonts w:cs="Arial"/>
                <w:lang w:eastAsia="en-NZ"/>
              </w:rPr>
            </w:pPr>
          </w:p>
        </w:tc>
      </w:tr>
      <w:tr w:rsidR="009601C8" w14:paraId="05F5DF0A" w14:textId="77777777">
        <w:tc>
          <w:tcPr>
            <w:tcW w:w="0" w:type="auto"/>
          </w:tcPr>
          <w:p w14:paraId="0D3F1E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98462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76B6B5A7" w14:textId="77777777" w:rsidR="00000000" w:rsidRPr="00BE00C7" w:rsidRDefault="00000000" w:rsidP="00BE00C7">
            <w:pPr>
              <w:pStyle w:val="OutcomeDescription"/>
              <w:spacing w:before="120" w:after="120"/>
              <w:rPr>
                <w:rFonts w:cs="Arial"/>
                <w:lang w:eastAsia="en-NZ"/>
              </w:rPr>
            </w:pPr>
          </w:p>
        </w:tc>
        <w:tc>
          <w:tcPr>
            <w:tcW w:w="0" w:type="auto"/>
          </w:tcPr>
          <w:p w14:paraId="5A63C4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64E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B1605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register showed three complaints had been received from families in 2025. Two of these had been closed to the satisfaction </w:t>
            </w:r>
            <w:r w:rsidRPr="00BE00C7">
              <w:rPr>
                <w:rFonts w:cs="Arial"/>
                <w:lang w:eastAsia="en-NZ"/>
              </w:rPr>
              <w:lastRenderedPageBreak/>
              <w:t xml:space="preserve">of the complainants. There has been regular and ongoing communication with the party involved in the open complaint (received in November 2025) to discuss the matter, but the complainant has been unwilling to meet.  Documentation sighted showed that complainants had been informed of findings following investigation. Where possible, improvements had been made as a result of the investigation. </w:t>
            </w:r>
          </w:p>
          <w:p w14:paraId="16DF60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through provision of a Māori advocate if required. </w:t>
            </w:r>
          </w:p>
          <w:p w14:paraId="128A4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5EB94E18" w14:textId="77777777" w:rsidR="00000000" w:rsidRPr="00BE00C7" w:rsidRDefault="00000000" w:rsidP="00BE00C7">
            <w:pPr>
              <w:pStyle w:val="OutcomeDescription"/>
              <w:spacing w:before="120" w:after="120"/>
              <w:rPr>
                <w:rFonts w:cs="Arial"/>
                <w:lang w:eastAsia="en-NZ"/>
              </w:rPr>
            </w:pPr>
          </w:p>
        </w:tc>
      </w:tr>
      <w:tr w:rsidR="009601C8" w14:paraId="45DC13D5" w14:textId="77777777">
        <w:tc>
          <w:tcPr>
            <w:tcW w:w="0" w:type="auto"/>
          </w:tcPr>
          <w:p w14:paraId="447A40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115AF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F4DB39" w14:textId="77777777" w:rsidR="00000000" w:rsidRPr="00BE00C7" w:rsidRDefault="00000000" w:rsidP="00BE00C7">
            <w:pPr>
              <w:pStyle w:val="OutcomeDescription"/>
              <w:spacing w:before="120" w:after="120"/>
              <w:rPr>
                <w:rFonts w:cs="Arial"/>
                <w:lang w:eastAsia="en-NZ"/>
              </w:rPr>
            </w:pPr>
          </w:p>
        </w:tc>
        <w:tc>
          <w:tcPr>
            <w:tcW w:w="0" w:type="auto"/>
          </w:tcPr>
          <w:p w14:paraId="678AF7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380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New Zealand Aged Care Services Limited (NZACS), currently operates ten aged care facilities and five retirement villages throughout New Zealand. Each care facility is its own legal entity with site-specific funding and employment agreements that the governing body/board assumes accountability for. The four-person board comprises the managing director (MD), who has long term experience in owning and operating age care services, and people who have demonstrated clinical experience in aged care and disabilities, business knowledge, and Māori representation. All board members have completed an e-learning session on Te Tiriti o Waitangi and module one of the Ngā Paerewa training, which includes information on health equity and cultural safety. </w:t>
            </w:r>
          </w:p>
          <w:p w14:paraId="5663FC8C"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a senior leadership team and monitored by the board, with external advice sought as required.  The senior leadership team (MD, general manager operations and a national clinical manager, GM finance and a senior human resource person) meet weekly for discussions and review of service delivery and planning. There is a transition plan for this and three other Oceania age care facilities that are being purchased by NZACS with goals, actions, and time frames.</w:t>
            </w:r>
          </w:p>
          <w:p w14:paraId="54DC6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Zealand Aged Care Service’s overall business plan describes its purpose, values, direction, scope and goals. Each care facility develops site-specific goals which respond to organisational goals.  Monitoring and review of each care facility’s performance occurs at monthly board </w:t>
            </w:r>
            <w:r w:rsidRPr="00BE00C7">
              <w:rPr>
                <w:rFonts w:cs="Arial"/>
                <w:lang w:eastAsia="en-NZ"/>
              </w:rPr>
              <w:lastRenderedPageBreak/>
              <w:t xml:space="preserve">meetings.  A focus on identifying barriers to access, improving outcomes, and achieving equity for Māori and tāngata whaikaha was evident in plans and monitoring documentation reviewed and through interview with the MD. Clinical key performance indicators (KPIs) provide the board with quality data to monitor service delivery, progress and risks. The board's commitment to quality and risk management processes is demonstrated in policies and monthly board reports.  The organisation has a well-established approach to clinical governance, which is appropriate to the size and complexity of the organisation. One of the directors sits on the clinical governance group. </w:t>
            </w:r>
          </w:p>
          <w:p w14:paraId="266AD9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funder has been notified about the potential change of ownership since this audit was undertaken.</w:t>
            </w:r>
          </w:p>
          <w:p w14:paraId="6C2EC9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provider, Oceania Care Company Limited, has been delivering a high-quality service to the residents at Te Mana, with meaningful Māori representation on governance groups. The governance group demonstrated expertise in Te Tiriti, health equity and cultural safety. </w:t>
            </w:r>
          </w:p>
          <w:p w14:paraId="59E698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a well-established leadership structure and employs experienced and suitably qualified people to manage the service. The current manager has been in the role for more than six years. This person was on leave during the audit. A national quality manager and the quality business partner (who used to be Te Mana’s clinical manager) were on site.  Oceania’s current facility manager will not be continuing at Te Mana, the prospective provider has another experienced facility manager ready to commence the role. This person has suitable qualifications and experience in the aged care sector to take on this role. </w:t>
            </w:r>
          </w:p>
          <w:p w14:paraId="7E6EC845"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bimonthly resident meetings, and six-monthly surveys.</w:t>
            </w:r>
          </w:p>
          <w:p w14:paraId="7B0605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residential aged care rest home and hospital. Of the 42 residents on site, 39 were assessed as hospital-level care and three as rest home-level care. Five of the hospital care residents were funded under contract to the Ministry of Social Development, as Younger People with Disabilities (YPD), but only four were under the age of 65 years.</w:t>
            </w:r>
          </w:p>
          <w:p w14:paraId="311320BF" w14:textId="77777777" w:rsidR="00000000" w:rsidRPr="00BE00C7" w:rsidRDefault="00000000" w:rsidP="00BE00C7">
            <w:pPr>
              <w:pStyle w:val="OutcomeDescription"/>
              <w:spacing w:before="120" w:after="120"/>
              <w:rPr>
                <w:rFonts w:cs="Arial"/>
                <w:lang w:eastAsia="en-NZ"/>
              </w:rPr>
            </w:pPr>
          </w:p>
        </w:tc>
      </w:tr>
      <w:tr w:rsidR="009601C8" w14:paraId="7767CB2B" w14:textId="77777777">
        <w:tc>
          <w:tcPr>
            <w:tcW w:w="0" w:type="auto"/>
          </w:tcPr>
          <w:p w14:paraId="26F1A1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EBC65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867B22" w14:textId="77777777" w:rsidR="00000000" w:rsidRPr="00BE00C7" w:rsidRDefault="00000000" w:rsidP="00BE00C7">
            <w:pPr>
              <w:pStyle w:val="OutcomeDescription"/>
              <w:spacing w:before="120" w:after="120"/>
              <w:rPr>
                <w:rFonts w:cs="Arial"/>
                <w:lang w:eastAsia="en-NZ"/>
              </w:rPr>
            </w:pPr>
          </w:p>
        </w:tc>
        <w:tc>
          <w:tcPr>
            <w:tcW w:w="0" w:type="auto"/>
          </w:tcPr>
          <w:p w14:paraId="0E2EAA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4F16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Care Company Limited, the current operator, has a planned quality and risk system that reflects the principles of continuous quality improvement.  These include a clinical risk management policy, document control, clinical governance terms of reference, quality improvement policy, health and safety strategy,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through records sighted and by staff at interview. </w:t>
            </w:r>
          </w:p>
          <w:p w14:paraId="081C93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on-site quality and risk monitoring at Te Mana includes collecting, collating and analysing quality data (such as clinical incidents) to identify trends, and conducting regular internal audits to monitor compliance with procedures. Where internal audits, resident/family feedback, or analyses of quality data indicated the need for improvement, corrective action plans were developed, with actions implemented and evaluated before being closed out. Evidence that results of quality monitoring and adverse event analysis is shared with staff was sighted in the minutes of monthly quality/staff and RN meetings and confirmed by interviews.</w:t>
            </w:r>
          </w:p>
          <w:p w14:paraId="4B5E82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using the six-monthly surveys, or by one-to-one or group meeting feedback. The May 2025 residents and relatives' satisfaction survey did not reveal any significant issues and there was a slight improvement in the overall net promotor score from 42 to 49.  Modification to some of the survey questions is underway, so the planned November survey did not occur. </w:t>
            </w:r>
          </w:p>
          <w:p w14:paraId="03C8F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conducts critical analysis of practices and systems, using ethnicity data, to identify possible inequities and the service works to address these. Delivering high-quality care to Māori residents is supported through relevant training, tikanga policies, and access to cultural support roles internally and externally. </w:t>
            </w:r>
          </w:p>
          <w:p w14:paraId="4EBD9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implemented processes for the identification, documentation, monitoring, review and reporting of risks, including </w:t>
            </w:r>
            <w:r w:rsidRPr="00BE00C7">
              <w:rPr>
                <w:rFonts w:cs="Arial"/>
                <w:lang w:eastAsia="en-NZ"/>
              </w:rPr>
              <w:lastRenderedPageBreak/>
              <w:t>health and safety risks, and development of mitigation strategies. Staff document adverse and near-miss events in line with the National Adverse Events Policy. A sample of incidents forms reviewed showed these were fully completed, incidents were investigated, action plans developed, and actions followed up in a timely manner.  Te Mana has complied with essential notification reporting requirements. An unstageable pressure injury and a fall with fracture were reported in 2025. The change of clinical manager was also notified under Section 31 in January 2026.</w:t>
            </w:r>
          </w:p>
          <w:p w14:paraId="59DAA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intends implementing its quality and risk management system, including policies/procedures and methods for performance monitoring.  Transition from Oceania systems to NZACS systems has successfully occurred in two other aged care homes after change of ownership between the same parties.  </w:t>
            </w:r>
          </w:p>
          <w:p w14:paraId="349947E4" w14:textId="77777777" w:rsidR="00000000" w:rsidRPr="00BE00C7" w:rsidRDefault="00000000" w:rsidP="00BE00C7">
            <w:pPr>
              <w:pStyle w:val="OutcomeDescription"/>
              <w:spacing w:before="120" w:after="120"/>
              <w:rPr>
                <w:rFonts w:cs="Arial"/>
                <w:lang w:eastAsia="en-NZ"/>
              </w:rPr>
            </w:pPr>
          </w:p>
        </w:tc>
      </w:tr>
      <w:tr w:rsidR="009601C8" w14:paraId="16254A43" w14:textId="77777777">
        <w:tc>
          <w:tcPr>
            <w:tcW w:w="0" w:type="auto"/>
          </w:tcPr>
          <w:p w14:paraId="63EA2C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29BC07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85D584" w14:textId="77777777" w:rsidR="00000000" w:rsidRPr="00BE00C7" w:rsidRDefault="00000000" w:rsidP="00BE00C7">
            <w:pPr>
              <w:pStyle w:val="OutcomeDescription"/>
              <w:spacing w:before="120" w:after="120"/>
              <w:rPr>
                <w:rFonts w:cs="Arial"/>
                <w:lang w:eastAsia="en-NZ"/>
              </w:rPr>
            </w:pPr>
          </w:p>
        </w:tc>
        <w:tc>
          <w:tcPr>
            <w:tcW w:w="0" w:type="auto"/>
          </w:tcPr>
          <w:p w14:paraId="025CFF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D3B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at least one RN on site 24/7.  </w:t>
            </w:r>
          </w:p>
          <w:p w14:paraId="09ECE5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sample of rosters sighted showed that three registered nurses (RNs) are allocated on AM and PM shifts, and two RNs are rostered on each night. There are eight care staff allocated on the morning shifts, five in the afternoon, and two care staff are on night shifts. This is in addition to the RN clinical manager who is on site Monday to Friday, and on call after hours. </w:t>
            </w:r>
          </w:p>
          <w:p w14:paraId="602A10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are three activities staff employed, which ensures there is at least one activities person on site seven days a week. One is a registered diversional therapist, and the other two are drivers and activities coordinators.  </w:t>
            </w:r>
          </w:p>
          <w:p w14:paraId="48D5C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supports equitable service delivery. This is planned on an annual basis, and all staff are expected to attend a study </w:t>
            </w:r>
            <w:r w:rsidRPr="00BE00C7">
              <w:rPr>
                <w:rFonts w:cs="Arial"/>
                <w:lang w:eastAsia="en-NZ"/>
              </w:rPr>
              <w:lastRenderedPageBreak/>
              <w:t xml:space="preserve">day (specific to either RNs, HCAs or non-clinical staff) once a year.  The RN study days include assessment and care planning, medico-legal issues such as advance directives, advocacy and enduring power of attorney, wound and pain management. Eleven of the 12 RNs are maintaining interRAI competencies. All RNs have current first aid certificates, medicine competencies, and syringe driver competencies.  The HCAs study days include consumer rights, informed consent, privacy, cultural safety and learning about Te Tiriti o Waitangi, infection control, restraint, health, and safety including manual handling, plus a range of essential resident care topics. For example, safe swallowing, pressure injuries, pain management, palliative care support, and the STOP and WATCH tool.  </w:t>
            </w:r>
          </w:p>
          <w:p w14:paraId="4BC1ACE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attended specific education on equity and ensuring high-quality care for Māori. In addition to the study days, the clinical manager (CM) presents monthly toolbox talks on a variety of subjects and all staff are competency-assessed in areas related to their roles. Each of the nine staff records reviewed contained evidence that the required training and competency assessments had occurred in the past 12 months.</w:t>
            </w:r>
          </w:p>
          <w:p w14:paraId="6013E6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majority of care staff have completed New Zealand Qualifications Authority education. Of the 29 part-time and full-time care staff, 21 have achieved Level 4 of the New Zealand Certificate in Health and Wellbeing, five are at Level 3, and three are yet to commence.</w:t>
            </w:r>
          </w:p>
          <w:p w14:paraId="767CA8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w:t>
            </w:r>
          </w:p>
          <w:p w14:paraId="274FEE0E" w14:textId="77777777" w:rsidR="00000000" w:rsidRPr="00BE00C7" w:rsidRDefault="00000000" w:rsidP="00BE00C7">
            <w:pPr>
              <w:pStyle w:val="OutcomeDescription"/>
              <w:spacing w:before="120" w:after="120"/>
              <w:rPr>
                <w:rFonts w:cs="Arial"/>
                <w:lang w:eastAsia="en-NZ"/>
              </w:rPr>
            </w:pPr>
            <w:r w:rsidRPr="00BE00C7">
              <w:rPr>
                <w:rFonts w:cs="Arial"/>
                <w:lang w:eastAsia="en-NZ"/>
              </w:rPr>
              <w:t>New Zealand Age Care Services has no immediate plans to change the staffing configuration and ratios. The general manager/facility manager for Te Mana will not be transitioning, but all other facility staff will be offered employment with the prospective purchaser.</w:t>
            </w:r>
          </w:p>
          <w:p w14:paraId="406C4F26" w14:textId="77777777" w:rsidR="00000000" w:rsidRPr="00BE00C7" w:rsidRDefault="00000000" w:rsidP="00BE00C7">
            <w:pPr>
              <w:pStyle w:val="OutcomeDescription"/>
              <w:spacing w:before="120" w:after="120"/>
              <w:rPr>
                <w:rFonts w:cs="Arial"/>
                <w:lang w:eastAsia="en-NZ"/>
              </w:rPr>
            </w:pPr>
          </w:p>
        </w:tc>
      </w:tr>
      <w:tr w:rsidR="009601C8" w14:paraId="7489794C" w14:textId="77777777">
        <w:tc>
          <w:tcPr>
            <w:tcW w:w="0" w:type="auto"/>
          </w:tcPr>
          <w:p w14:paraId="2F9E9D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730FAA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t>
            </w:r>
            <w:r w:rsidRPr="00BE00C7">
              <w:rPr>
                <w:rFonts w:cs="Arial"/>
                <w:lang w:eastAsia="en-NZ"/>
              </w:rPr>
              <w:lastRenderedPageBreak/>
              <w:t>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B0BEC41" w14:textId="77777777" w:rsidR="00000000" w:rsidRPr="00BE00C7" w:rsidRDefault="00000000" w:rsidP="00BE00C7">
            <w:pPr>
              <w:pStyle w:val="OutcomeDescription"/>
              <w:spacing w:before="120" w:after="120"/>
              <w:rPr>
                <w:rFonts w:cs="Arial"/>
                <w:lang w:eastAsia="en-NZ"/>
              </w:rPr>
            </w:pPr>
          </w:p>
        </w:tc>
        <w:tc>
          <w:tcPr>
            <w:tcW w:w="0" w:type="auto"/>
          </w:tcPr>
          <w:p w14:paraId="53733C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EB8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12 RNs had valid annual </w:t>
            </w:r>
            <w:r w:rsidRPr="00BE00C7">
              <w:rPr>
                <w:rFonts w:cs="Arial"/>
                <w:lang w:eastAsia="en-NZ"/>
              </w:rPr>
              <w:lastRenderedPageBreak/>
              <w:t xml:space="preserve">practicing certificates with the New Zealand Nursing Council. Each of the RNs and a few health care assistants (HCAs) are maintaining current first aid certificates. </w:t>
            </w:r>
          </w:p>
          <w:p w14:paraId="13EBF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5E9D3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Each of the staff files reviewed contained a recent performance appraisal.  </w:t>
            </w:r>
          </w:p>
          <w:p w14:paraId="518F5C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03D1F3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serious incidents or challenging situations that required debriefing since the previous audit. The staff interviewed stated that they understood they would be provided with opportunities for support to whatever extent they needed. Management also have authority to refer staff to an external counselling/support provider.</w:t>
            </w:r>
          </w:p>
          <w:p w14:paraId="28843F9F" w14:textId="77777777" w:rsidR="00000000" w:rsidRPr="00BE00C7" w:rsidRDefault="00000000" w:rsidP="00BE00C7">
            <w:pPr>
              <w:pStyle w:val="OutcomeDescription"/>
              <w:spacing w:before="120" w:after="120"/>
              <w:rPr>
                <w:rFonts w:cs="Arial"/>
                <w:lang w:eastAsia="en-NZ"/>
              </w:rPr>
            </w:pPr>
          </w:p>
        </w:tc>
      </w:tr>
      <w:tr w:rsidR="009601C8" w14:paraId="7023CFCB" w14:textId="77777777">
        <w:tc>
          <w:tcPr>
            <w:tcW w:w="0" w:type="auto"/>
          </w:tcPr>
          <w:p w14:paraId="58FF3D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2F423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B10CF6A" w14:textId="77777777" w:rsidR="00000000" w:rsidRPr="00BE00C7" w:rsidRDefault="00000000" w:rsidP="00BE00C7">
            <w:pPr>
              <w:pStyle w:val="OutcomeDescription"/>
              <w:spacing w:before="120" w:after="120"/>
              <w:rPr>
                <w:rFonts w:cs="Arial"/>
                <w:lang w:eastAsia="en-NZ"/>
              </w:rPr>
            </w:pPr>
          </w:p>
        </w:tc>
        <w:tc>
          <w:tcPr>
            <w:tcW w:w="0" w:type="auto"/>
          </w:tcPr>
          <w:p w14:paraId="4EF218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A4F3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Mana Rest Home is maintaining quality records that comply with relevant legislation, health information standards, and professional guidelines. Most information was held electronically and password protected. Any paper-based records were held securely and only available to authorised users. </w:t>
            </w:r>
          </w:p>
          <w:p w14:paraId="2B2F8E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Residents’ files were integrated electronic and hard-copy files. Files for residents and staff were held securely for the required period before being destroyed. No personal or private resident information was on public display during the audit. </w:t>
            </w:r>
          </w:p>
          <w:p w14:paraId="5A7A2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Consent was sighted for data collection. Data collected included ethnicity data. </w:t>
            </w:r>
          </w:p>
          <w:p w14:paraId="1BA08A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This aged care facility is not responsible for the National Health Index registration of people receiving services.</w:t>
            </w:r>
          </w:p>
          <w:p w14:paraId="78EE7C4F" w14:textId="77777777" w:rsidR="00000000" w:rsidRPr="00BE00C7" w:rsidRDefault="00000000" w:rsidP="00BE00C7">
            <w:pPr>
              <w:pStyle w:val="OutcomeDescription"/>
              <w:spacing w:before="120" w:after="120"/>
              <w:rPr>
                <w:rFonts w:cs="Arial"/>
                <w:lang w:eastAsia="en-NZ"/>
              </w:rPr>
            </w:pPr>
          </w:p>
        </w:tc>
      </w:tr>
      <w:tr w:rsidR="009601C8" w14:paraId="521BDDD0" w14:textId="77777777">
        <w:tc>
          <w:tcPr>
            <w:tcW w:w="0" w:type="auto"/>
          </w:tcPr>
          <w:p w14:paraId="28E78A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5BBC5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F891E48" w14:textId="77777777" w:rsidR="00000000" w:rsidRPr="00BE00C7" w:rsidRDefault="00000000" w:rsidP="00BE00C7">
            <w:pPr>
              <w:pStyle w:val="OutcomeDescription"/>
              <w:spacing w:before="120" w:after="120"/>
              <w:rPr>
                <w:rFonts w:cs="Arial"/>
                <w:lang w:eastAsia="en-NZ"/>
              </w:rPr>
            </w:pPr>
          </w:p>
        </w:tc>
        <w:tc>
          <w:tcPr>
            <w:tcW w:w="0" w:type="auto"/>
          </w:tcPr>
          <w:p w14:paraId="6A5B61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853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w:t>
            </w:r>
          </w:p>
          <w:p w14:paraId="2AA850C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 There was evidence of clear communication and explanation provided to the NASC agency when a resident was declined entry.</w:t>
            </w:r>
          </w:p>
          <w:p w14:paraId="163016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Māori residents residing at Te Mana Rest Home. Policies and procedures sighted confirmed that the service was able to provide culturally appropriate support for Māori residents and their whānau. This was also confirmed during the staff and whānau interviews. </w:t>
            </w:r>
          </w:p>
          <w:p w14:paraId="4DEA39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DA9472A" w14:textId="77777777" w:rsidR="00000000" w:rsidRPr="00BE00C7" w:rsidRDefault="00000000" w:rsidP="00BE00C7">
            <w:pPr>
              <w:pStyle w:val="OutcomeDescription"/>
              <w:spacing w:before="120" w:after="120"/>
              <w:rPr>
                <w:rFonts w:cs="Arial"/>
                <w:lang w:eastAsia="en-NZ"/>
              </w:rPr>
            </w:pPr>
          </w:p>
        </w:tc>
      </w:tr>
      <w:tr w:rsidR="009601C8" w14:paraId="4255C3A0" w14:textId="77777777">
        <w:tc>
          <w:tcPr>
            <w:tcW w:w="0" w:type="auto"/>
          </w:tcPr>
          <w:p w14:paraId="121960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2909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302B029D" w14:textId="77777777" w:rsidR="00000000" w:rsidRPr="00BE00C7" w:rsidRDefault="00000000" w:rsidP="00BE00C7">
            <w:pPr>
              <w:pStyle w:val="OutcomeDescription"/>
              <w:spacing w:before="120" w:after="120"/>
              <w:rPr>
                <w:rFonts w:cs="Arial"/>
                <w:lang w:eastAsia="en-NZ"/>
              </w:rPr>
            </w:pPr>
          </w:p>
        </w:tc>
        <w:tc>
          <w:tcPr>
            <w:tcW w:w="0" w:type="auto"/>
          </w:tcPr>
          <w:p w14:paraId="7D101C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11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(MDT) 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3CD7A5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Assessment is based on a range of clinical assessments and includes resident and whānau input (as applicable).  Timeframes for the initial assessment, medical/nurse practitioner assessment, initial care plan, long-term care plan, and review timeframes meet contractual and policy requirements.  The individual care plans for the YPD residents were person centred and developed with the person and includes wellbeing, community participation as able and meeting their physical needs and health needs where the service has a role to play.</w:t>
            </w:r>
          </w:p>
          <w:p w14:paraId="37E785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and support Māori and whānau to identify their own pae ora outcomes in their care plan. This was verified by sampling residents’ records, and from interviews of clinical staff, people receiving services and whānau.</w:t>
            </w:r>
          </w:p>
          <w:p w14:paraId="47E7892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For the YPD residents the service promotes access to family and friends and links with the community.</w:t>
            </w:r>
          </w:p>
          <w:p w14:paraId="18848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meetings held monthly.  Examples of choices and control over service delivery were discussed with staff/tāngata whaikaha/whānau.  Tāngata whaikaha/whānau can independently access information.  </w:t>
            </w:r>
          </w:p>
          <w:p w14:paraId="2157DA13" w14:textId="6003DAA0" w:rsidR="00000000" w:rsidRPr="00BE00C7" w:rsidRDefault="00000000" w:rsidP="006C3337">
            <w:pPr>
              <w:pStyle w:val="OutcomeDescription"/>
              <w:spacing w:before="120" w:after="120"/>
              <w:rPr>
                <w:rFonts w:cs="Arial"/>
                <w:lang w:eastAsia="en-NZ"/>
              </w:rPr>
            </w:pPr>
          </w:p>
        </w:tc>
      </w:tr>
      <w:tr w:rsidR="009601C8" w14:paraId="709B9D31" w14:textId="77777777">
        <w:tc>
          <w:tcPr>
            <w:tcW w:w="0" w:type="auto"/>
          </w:tcPr>
          <w:p w14:paraId="6F3E97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4F549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B66A9C3" w14:textId="77777777" w:rsidR="00000000" w:rsidRPr="00BE00C7" w:rsidRDefault="00000000" w:rsidP="00BE00C7">
            <w:pPr>
              <w:pStyle w:val="OutcomeDescription"/>
              <w:spacing w:before="120" w:after="120"/>
              <w:rPr>
                <w:rFonts w:cs="Arial"/>
                <w:lang w:eastAsia="en-NZ"/>
              </w:rPr>
            </w:pPr>
          </w:p>
        </w:tc>
        <w:tc>
          <w:tcPr>
            <w:tcW w:w="0" w:type="auto"/>
          </w:tcPr>
          <w:p w14:paraId="2C8B86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726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is suitable for their age and stage of life. One trained diversional therapist (DT) and an activities coordinator are employed. The DT works Thursday to Monday, covering the weekend, while the activities coordinator works Monday to Friday and has been employed at the facility for seven years. The DT has completed the Level 4 New Zealand Qualifications Authority (NZQA) requirements and has worked at the facility for two years.</w:t>
            </w:r>
          </w:p>
          <w:p w14:paraId="30450A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developed monthly and implemented weekly. It offers a wide range of activities and is displayed throughout </w:t>
            </w:r>
            <w:r w:rsidRPr="00BE00C7">
              <w:rPr>
                <w:rFonts w:cs="Arial"/>
                <w:lang w:eastAsia="en-NZ"/>
              </w:rPr>
              <w:lastRenderedPageBreak/>
              <w:t>the facility. The programme follows the Oceania ‘Five Ways to Wellbeing Framework’, which was displayed on the programme reviewed. There is a specific separate activities programme, for the five YPD residents. Group and individual activities are planned inclusive of leisure, cultural, and community events included in the programme.</w:t>
            </w:r>
          </w:p>
          <w:p w14:paraId="63AFAE47"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 residents’ goals and interests, ordinary patterns of life, and include normal community activities. Opportunities for Māori and whānau to participate in te ao Māori are facilitated. One volunteer who visits regularly speaks fluent te reo Māori. Community initiatives meet the needs of Māori. A church service is held monthly at the facility.</w:t>
            </w:r>
          </w:p>
          <w:p w14:paraId="65BDD054"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the resident meetings and the annual resident/family survey.  Those interviewed confirmed they find the programme meets their needs.</w:t>
            </w:r>
          </w:p>
          <w:p w14:paraId="3DEE0DFE" w14:textId="77777777" w:rsidR="00000000" w:rsidRPr="00BE00C7" w:rsidRDefault="00000000" w:rsidP="00BE00C7">
            <w:pPr>
              <w:pStyle w:val="OutcomeDescription"/>
              <w:spacing w:before="120" w:after="120"/>
              <w:rPr>
                <w:rFonts w:cs="Arial"/>
                <w:lang w:eastAsia="en-NZ"/>
              </w:rPr>
            </w:pPr>
          </w:p>
        </w:tc>
      </w:tr>
      <w:tr w:rsidR="009601C8" w14:paraId="766C0954" w14:textId="77777777">
        <w:tc>
          <w:tcPr>
            <w:tcW w:w="0" w:type="auto"/>
          </w:tcPr>
          <w:p w14:paraId="1CEA4B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35C5A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9033304" w14:textId="77777777" w:rsidR="00000000" w:rsidRPr="00BE00C7" w:rsidRDefault="00000000" w:rsidP="00BE00C7">
            <w:pPr>
              <w:pStyle w:val="OutcomeDescription"/>
              <w:spacing w:before="120" w:after="120"/>
              <w:rPr>
                <w:rFonts w:cs="Arial"/>
                <w:lang w:eastAsia="en-NZ"/>
              </w:rPr>
            </w:pPr>
          </w:p>
        </w:tc>
        <w:tc>
          <w:tcPr>
            <w:tcW w:w="0" w:type="auto"/>
          </w:tcPr>
          <w:p w14:paraId="3AC918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EE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up to date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04D81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701A67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The contracted pharmacist completed the last stock review on 20 January 2026. Medicines stored were within the recommended temperature range, with daily monitoring of the medication room and fridge temperatures. </w:t>
            </w:r>
          </w:p>
          <w:p w14:paraId="400BA7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NP reviews were consistently recorded on the medicine charts by the two nurse practitioners (NPs) who cover this </w:t>
            </w:r>
            <w:r w:rsidRPr="00BE00C7">
              <w:rPr>
                <w:rFonts w:cs="Arial"/>
                <w:lang w:eastAsia="en-NZ"/>
              </w:rPr>
              <w:lastRenderedPageBreak/>
              <w:t>service.  Standing orders are not used. The NP interviewed stated that the NPs work collaboratively with the contracted pharmacist.</w:t>
            </w:r>
          </w:p>
          <w:p w14:paraId="1A30C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should this be required for example for a YPD resident. No residents however were self-administering medication at the time of the audit.  Residents, including Māori residents and their whānau, are supported to understand their medications. Where there are difficulties accessing medications, this is identified, and support provided.  </w:t>
            </w:r>
          </w:p>
          <w:p w14:paraId="5C0D06EA"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rata (PRN) medicines were administered as prescribed, and outcome monitoring following PRN administration was consistently documented in the records reviewed.</w:t>
            </w:r>
          </w:p>
          <w:p w14:paraId="7ACF1BD7" w14:textId="77777777" w:rsidR="00000000" w:rsidRPr="00BE00C7" w:rsidRDefault="00000000" w:rsidP="00BE00C7">
            <w:pPr>
              <w:pStyle w:val="OutcomeDescription"/>
              <w:spacing w:before="120" w:after="120"/>
              <w:rPr>
                <w:rFonts w:cs="Arial"/>
                <w:lang w:eastAsia="en-NZ"/>
              </w:rPr>
            </w:pPr>
          </w:p>
        </w:tc>
      </w:tr>
      <w:tr w:rsidR="009601C8" w14:paraId="14AF6C10" w14:textId="77777777">
        <w:tc>
          <w:tcPr>
            <w:tcW w:w="0" w:type="auto"/>
          </w:tcPr>
          <w:p w14:paraId="29AED0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26F8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BB84144" w14:textId="77777777" w:rsidR="00000000" w:rsidRPr="00BE00C7" w:rsidRDefault="00000000" w:rsidP="00BE00C7">
            <w:pPr>
              <w:pStyle w:val="OutcomeDescription"/>
              <w:spacing w:before="120" w:after="120"/>
              <w:rPr>
                <w:rFonts w:cs="Arial"/>
                <w:lang w:eastAsia="en-NZ"/>
              </w:rPr>
            </w:pPr>
          </w:p>
        </w:tc>
        <w:tc>
          <w:tcPr>
            <w:tcW w:w="0" w:type="auto"/>
          </w:tcPr>
          <w:p w14:paraId="66ACD0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C5CA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has been reviewed by a qualified dietitian on 13 October 2025.  Recommendations made at that time have been implemented. The menus sighted complied with the Ministry of Health Guidelines for Older Adults, the Ngā Paerewa Standard and the International Dysphagia Diet Standardisation Initiative.</w:t>
            </w:r>
          </w:p>
          <w:p w14:paraId="54FB70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which expires on 28 March 2026. </w:t>
            </w:r>
          </w:p>
          <w:p w14:paraId="4D0B91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w:t>
            </w:r>
          </w:p>
          <w:p w14:paraId="4FE9ABDA"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5272AEF9" w14:textId="77777777" w:rsidR="00000000" w:rsidRPr="00BE00C7" w:rsidRDefault="00000000" w:rsidP="00BE00C7">
            <w:pPr>
              <w:pStyle w:val="OutcomeDescription"/>
              <w:spacing w:before="120" w:after="120"/>
              <w:rPr>
                <w:rFonts w:cs="Arial"/>
                <w:lang w:eastAsia="en-NZ"/>
              </w:rPr>
            </w:pPr>
          </w:p>
        </w:tc>
      </w:tr>
      <w:tr w:rsidR="009601C8" w14:paraId="05AA7484" w14:textId="77777777">
        <w:tc>
          <w:tcPr>
            <w:tcW w:w="0" w:type="auto"/>
          </w:tcPr>
          <w:p w14:paraId="28D160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38235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546ACEB" w14:textId="77777777" w:rsidR="00000000" w:rsidRPr="00BE00C7" w:rsidRDefault="00000000" w:rsidP="00BE00C7">
            <w:pPr>
              <w:pStyle w:val="OutcomeDescription"/>
              <w:spacing w:before="120" w:after="120"/>
              <w:rPr>
                <w:rFonts w:cs="Arial"/>
                <w:lang w:eastAsia="en-NZ"/>
              </w:rPr>
            </w:pPr>
          </w:p>
        </w:tc>
        <w:tc>
          <w:tcPr>
            <w:tcW w:w="0" w:type="auto"/>
          </w:tcPr>
          <w:p w14:paraId="736495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EF3A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426707FE" w14:textId="77777777" w:rsidR="00000000" w:rsidRPr="00BE00C7" w:rsidRDefault="00000000" w:rsidP="00BE00C7">
            <w:pPr>
              <w:pStyle w:val="OutcomeDescription"/>
              <w:spacing w:before="120" w:after="120"/>
              <w:rPr>
                <w:rFonts w:cs="Arial"/>
                <w:lang w:eastAsia="en-NZ"/>
              </w:rPr>
            </w:pPr>
          </w:p>
        </w:tc>
      </w:tr>
      <w:tr w:rsidR="009601C8" w14:paraId="75688BCA" w14:textId="77777777">
        <w:tc>
          <w:tcPr>
            <w:tcW w:w="0" w:type="auto"/>
          </w:tcPr>
          <w:p w14:paraId="7744AC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0909A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84AB9E" w14:textId="77777777" w:rsidR="00000000" w:rsidRPr="00BE00C7" w:rsidRDefault="00000000" w:rsidP="00BE00C7">
            <w:pPr>
              <w:pStyle w:val="OutcomeDescription"/>
              <w:spacing w:before="120" w:after="120"/>
              <w:rPr>
                <w:rFonts w:cs="Arial"/>
                <w:lang w:eastAsia="en-NZ"/>
              </w:rPr>
            </w:pPr>
          </w:p>
        </w:tc>
        <w:tc>
          <w:tcPr>
            <w:tcW w:w="0" w:type="auto"/>
          </w:tcPr>
          <w:p w14:paraId="0AB8BB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F5FF7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current building warrant of fitness expires on 04 June 2026.</w:t>
            </w:r>
          </w:p>
          <w:p w14:paraId="575757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has completed building inspections and obtained a current property valuation.  Interviews with maintenance staff confirmed that the building is in good repair considering it was built in 1985. The skylights in the roof are vulnerable to leaks, but where this has occurred, resealing has successfully repaired the leak.</w:t>
            </w:r>
          </w:p>
          <w:p w14:paraId="4CB32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There were plenty of internal and external spaces for younger people to access. A younger resident said they liked to work in the vegetable garden and could easily access a local shopping mall.   Personalised equipment was available for residents with disabilities to meet their needs. Wheelchairs, hoists, electric beds, and medical equipment are visually checked by staff monthly and serviced annually by an external provider. Testing and tagging of electrical appliances occurred during the audit. </w:t>
            </w:r>
          </w:p>
          <w:p w14:paraId="10A8B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are adequate numbers of accessible bathroom and toilet facilities throughout the facility. Hot water temperatures are tested each </w:t>
            </w:r>
            <w:r w:rsidRPr="00BE00C7">
              <w:rPr>
                <w:rFonts w:cs="Arial"/>
                <w:lang w:eastAsia="en-NZ"/>
              </w:rPr>
              <w:lastRenderedPageBreak/>
              <w:t>month to ensure these do not exceed 45 degrees.  Two of the 46 bedrooms share an ensuite toilet/shower.  The facility van is registered until June 2026 with a warrant of fitness until 08 June 2026. This 2019 disability accessible vehicle has been maintained to a good standard.</w:t>
            </w:r>
          </w:p>
          <w:p w14:paraId="33A4EB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58FD6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There have been no new buildings, but management stated they would initiate a process that included consultation and co-design with Māori. The prospective provider has no plans to make any changes to the environment.</w:t>
            </w:r>
          </w:p>
          <w:p w14:paraId="0B59218B" w14:textId="77777777" w:rsidR="00000000" w:rsidRPr="00BE00C7" w:rsidRDefault="00000000" w:rsidP="00BE00C7">
            <w:pPr>
              <w:pStyle w:val="OutcomeDescription"/>
              <w:spacing w:before="120" w:after="120"/>
              <w:rPr>
                <w:rFonts w:cs="Arial"/>
                <w:lang w:eastAsia="en-NZ"/>
              </w:rPr>
            </w:pPr>
          </w:p>
        </w:tc>
      </w:tr>
      <w:tr w:rsidR="009601C8" w14:paraId="352FB979" w14:textId="77777777">
        <w:tc>
          <w:tcPr>
            <w:tcW w:w="0" w:type="auto"/>
          </w:tcPr>
          <w:p w14:paraId="46C7AA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4DF6D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A78BEC9" w14:textId="77777777" w:rsidR="00000000" w:rsidRPr="00BE00C7" w:rsidRDefault="00000000" w:rsidP="00BE00C7">
            <w:pPr>
              <w:pStyle w:val="OutcomeDescription"/>
              <w:spacing w:before="120" w:after="120"/>
              <w:rPr>
                <w:rFonts w:cs="Arial"/>
                <w:lang w:eastAsia="en-NZ"/>
              </w:rPr>
            </w:pPr>
          </w:p>
        </w:tc>
        <w:tc>
          <w:tcPr>
            <w:tcW w:w="0" w:type="auto"/>
          </w:tcPr>
          <w:p w14:paraId="453C05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AA0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The six-monthly fire evacuation drills have reliably occurred in September 2025, and the next is scheduled to occur in February 2026.  Fire suppression systems are tested monthly. </w:t>
            </w:r>
          </w:p>
          <w:p w14:paraId="57707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knew what to do in an emergency.  The fire evacuation plan was approved by Fire and Emergency New Zealand (FENZ) in 2007, and no changes have been made to the building since then.  Adequate supplies for use in the event of a civil defence emergency meet The National Emergency Management Agency recommendations for the region. Sufficient stores of food, water and civil defence equipment were sighted. Battery-operated lighting automatically switches on during a power outage. There is no generator on site, but the electricity provider has supplied portable generators when power supply was interrupted.  Staff can provide a level of first aid relevant to the risks for the type of service provided. </w:t>
            </w:r>
          </w:p>
          <w:p w14:paraId="1104A7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Oceania has a call bell escalation system in place; if a call bell isn't responded to within three minutes, the call is stepped up to another level. This very seldom happens, according to the management staff interviewed. Residents and whānau reported that staff respond promptly to call </w:t>
            </w:r>
            <w:r w:rsidRPr="00BE00C7">
              <w:rPr>
                <w:rFonts w:cs="Arial"/>
                <w:lang w:eastAsia="en-NZ"/>
              </w:rPr>
              <w:lastRenderedPageBreak/>
              <w:t xml:space="preserve">bells.  </w:t>
            </w:r>
          </w:p>
          <w:p w14:paraId="7AA3ECC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Staff wear name badges and visitors and contractors are identified when they sign in at reception. Management reported that there have been no security breaches. The main entry door is switched to closed after hours and exterior doors are locked at dusk.  Residents and whānau were familiarised with emergency and security arrangements, as and when required.</w:t>
            </w:r>
          </w:p>
          <w:p w14:paraId="7DBF7671" w14:textId="77777777" w:rsidR="00000000" w:rsidRPr="00BE00C7" w:rsidRDefault="00000000" w:rsidP="00BE00C7">
            <w:pPr>
              <w:pStyle w:val="OutcomeDescription"/>
              <w:spacing w:before="120" w:after="120"/>
              <w:rPr>
                <w:rFonts w:cs="Arial"/>
                <w:lang w:eastAsia="en-NZ"/>
              </w:rPr>
            </w:pPr>
          </w:p>
        </w:tc>
      </w:tr>
      <w:tr w:rsidR="009601C8" w14:paraId="3AD4415A" w14:textId="77777777">
        <w:tc>
          <w:tcPr>
            <w:tcW w:w="0" w:type="auto"/>
          </w:tcPr>
          <w:p w14:paraId="02EB2A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2CA5E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89DBA3B" w14:textId="77777777" w:rsidR="00000000" w:rsidRPr="00BE00C7" w:rsidRDefault="00000000" w:rsidP="00BE00C7">
            <w:pPr>
              <w:pStyle w:val="OutcomeDescription"/>
              <w:spacing w:before="120" w:after="120"/>
              <w:rPr>
                <w:rFonts w:cs="Arial"/>
                <w:lang w:eastAsia="en-NZ"/>
              </w:rPr>
            </w:pPr>
          </w:p>
        </w:tc>
        <w:tc>
          <w:tcPr>
            <w:tcW w:w="0" w:type="auto"/>
          </w:tcPr>
          <w:p w14:paraId="55FE55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2506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 The organisation has an infection prevention lead who was present for the audit. </w:t>
            </w:r>
          </w:p>
          <w:p w14:paraId="3C7BDA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systems in place that ensure governance are kept informed about IP and AMS matters that impact service delivery. </w:t>
            </w:r>
          </w:p>
          <w:p w14:paraId="76681754" w14:textId="77777777" w:rsidR="00000000" w:rsidRPr="00BE00C7" w:rsidRDefault="00000000" w:rsidP="00BE00C7">
            <w:pPr>
              <w:pStyle w:val="OutcomeDescription"/>
              <w:spacing w:before="120" w:after="120"/>
              <w:rPr>
                <w:rFonts w:cs="Arial"/>
                <w:lang w:eastAsia="en-NZ"/>
              </w:rPr>
            </w:pPr>
            <w:r w:rsidRPr="00BE00C7">
              <w:rPr>
                <w:rFonts w:cs="Arial"/>
                <w:lang w:eastAsia="en-NZ"/>
              </w:rPr>
              <w:t>No outbreaks had been reported for the last two years.</w:t>
            </w:r>
          </w:p>
          <w:p w14:paraId="1253FB16" w14:textId="77777777" w:rsidR="00000000" w:rsidRPr="00BE00C7" w:rsidRDefault="00000000" w:rsidP="00BE00C7">
            <w:pPr>
              <w:pStyle w:val="OutcomeDescription"/>
              <w:spacing w:before="120" w:after="120"/>
              <w:rPr>
                <w:rFonts w:cs="Arial"/>
                <w:lang w:eastAsia="en-NZ"/>
              </w:rPr>
            </w:pPr>
          </w:p>
        </w:tc>
      </w:tr>
      <w:tr w:rsidR="009601C8" w14:paraId="1E98E472" w14:textId="77777777">
        <w:tc>
          <w:tcPr>
            <w:tcW w:w="0" w:type="auto"/>
          </w:tcPr>
          <w:p w14:paraId="7BDBE2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93DD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CA6D71D" w14:textId="77777777" w:rsidR="00000000" w:rsidRPr="00BE00C7" w:rsidRDefault="00000000" w:rsidP="00BE00C7">
            <w:pPr>
              <w:pStyle w:val="OutcomeDescription"/>
              <w:spacing w:before="120" w:after="120"/>
              <w:rPr>
                <w:rFonts w:cs="Arial"/>
                <w:lang w:eastAsia="en-NZ"/>
              </w:rPr>
            </w:pPr>
          </w:p>
        </w:tc>
        <w:tc>
          <w:tcPr>
            <w:tcW w:w="0" w:type="auto"/>
          </w:tcPr>
          <w:p w14:paraId="579767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6B60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NC&amp;QM, who reports to the director of clinical services.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No recent changes have occurred to the facility. </w:t>
            </w:r>
          </w:p>
          <w:p w14:paraId="405E89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w:t>
            </w:r>
            <w:r w:rsidRPr="00BE00C7">
              <w:rPr>
                <w:rFonts w:cs="Arial"/>
                <w:lang w:eastAsia="en-NZ"/>
              </w:rPr>
              <w:lastRenderedPageBreak/>
              <w:t xml:space="preserve">Cultural advice is accessed where appropriate. </w:t>
            </w:r>
          </w:p>
          <w:p w14:paraId="05BE1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6841B5DA"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3BEA4D3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 Shared equipment was effectively managed by staff, with routine decontamination undertaken as advised by the IPCC following a risk assessment process and agreement from the governing body.</w:t>
            </w:r>
          </w:p>
          <w:p w14:paraId="26A18C87" w14:textId="77777777" w:rsidR="00000000" w:rsidRPr="00BE00C7" w:rsidRDefault="00000000" w:rsidP="00BE00C7">
            <w:pPr>
              <w:pStyle w:val="OutcomeDescription"/>
              <w:spacing w:before="120" w:after="120"/>
              <w:rPr>
                <w:rFonts w:cs="Arial"/>
                <w:lang w:eastAsia="en-NZ"/>
              </w:rPr>
            </w:pPr>
          </w:p>
        </w:tc>
      </w:tr>
      <w:tr w:rsidR="009601C8" w14:paraId="05A78CB7" w14:textId="77777777">
        <w:tc>
          <w:tcPr>
            <w:tcW w:w="0" w:type="auto"/>
          </w:tcPr>
          <w:p w14:paraId="6A80B5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6B5D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A247E5A" w14:textId="77777777" w:rsidR="00000000" w:rsidRPr="00BE00C7" w:rsidRDefault="00000000" w:rsidP="00BE00C7">
            <w:pPr>
              <w:pStyle w:val="OutcomeDescription"/>
              <w:spacing w:before="120" w:after="120"/>
              <w:rPr>
                <w:rFonts w:cs="Arial"/>
                <w:lang w:eastAsia="en-NZ"/>
              </w:rPr>
            </w:pPr>
          </w:p>
        </w:tc>
        <w:tc>
          <w:tcPr>
            <w:tcW w:w="0" w:type="auto"/>
          </w:tcPr>
          <w:p w14:paraId="15103D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258B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5A6F94AD" w14:textId="77777777" w:rsidR="00000000" w:rsidRPr="00BE00C7" w:rsidRDefault="00000000" w:rsidP="00BE00C7">
            <w:pPr>
              <w:pStyle w:val="OutcomeDescription"/>
              <w:spacing w:before="120" w:after="120"/>
              <w:rPr>
                <w:rFonts w:cs="Arial"/>
                <w:lang w:eastAsia="en-NZ"/>
              </w:rPr>
            </w:pPr>
          </w:p>
        </w:tc>
      </w:tr>
      <w:tr w:rsidR="009601C8" w14:paraId="66EDE7E7" w14:textId="77777777">
        <w:tc>
          <w:tcPr>
            <w:tcW w:w="0" w:type="auto"/>
          </w:tcPr>
          <w:p w14:paraId="07CDF0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818C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3EE8E683" w14:textId="77777777" w:rsidR="00000000" w:rsidRPr="00BE00C7" w:rsidRDefault="00000000" w:rsidP="00BE00C7">
            <w:pPr>
              <w:pStyle w:val="OutcomeDescription"/>
              <w:spacing w:before="120" w:after="120"/>
              <w:rPr>
                <w:rFonts w:cs="Arial"/>
                <w:lang w:eastAsia="en-NZ"/>
              </w:rPr>
            </w:pPr>
          </w:p>
        </w:tc>
        <w:tc>
          <w:tcPr>
            <w:tcW w:w="0" w:type="auto"/>
          </w:tcPr>
          <w:p w14:paraId="07E00F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B9BF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w:t>
            </w:r>
            <w:r w:rsidRPr="00BE00C7">
              <w:rPr>
                <w:rFonts w:cs="Arial"/>
                <w:lang w:eastAsia="en-NZ"/>
              </w:rPr>
              <w:lastRenderedPageBreak/>
              <w:t>the surveillance programme are shared with staff and the governance body, and where necessary, recommendations for improvement are identified.  A summary report for the last infection outbreak was reviewed, and it demonstrated a thorough process for investigation and follow-up.  Learnings from the event have now been incorporated into practice.</w:t>
            </w:r>
          </w:p>
          <w:p w14:paraId="25F14FE7"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35931734" w14:textId="77777777" w:rsidR="00000000" w:rsidRPr="00BE00C7" w:rsidRDefault="00000000" w:rsidP="00BE00C7">
            <w:pPr>
              <w:pStyle w:val="OutcomeDescription"/>
              <w:spacing w:before="120" w:after="120"/>
              <w:rPr>
                <w:rFonts w:cs="Arial"/>
                <w:lang w:eastAsia="en-NZ"/>
              </w:rPr>
            </w:pPr>
          </w:p>
        </w:tc>
      </w:tr>
      <w:tr w:rsidR="009601C8" w14:paraId="20AB777D" w14:textId="77777777">
        <w:tc>
          <w:tcPr>
            <w:tcW w:w="0" w:type="auto"/>
          </w:tcPr>
          <w:p w14:paraId="4FE663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48CDC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F2B1C6" w14:textId="77777777" w:rsidR="00000000" w:rsidRPr="00BE00C7" w:rsidRDefault="00000000" w:rsidP="00BE00C7">
            <w:pPr>
              <w:pStyle w:val="OutcomeDescription"/>
              <w:spacing w:before="120" w:after="120"/>
              <w:rPr>
                <w:rFonts w:cs="Arial"/>
                <w:lang w:eastAsia="en-NZ"/>
              </w:rPr>
            </w:pPr>
          </w:p>
        </w:tc>
        <w:tc>
          <w:tcPr>
            <w:tcW w:w="0" w:type="auto"/>
          </w:tcPr>
          <w:p w14:paraId="0B9ACC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1E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at Te Mana Rest Home supports prevention of infection and mitigation of transmission of antimicrobial-resistant organisms. The IPCC maintained oversight of the environmental testing and monitoring programme. </w:t>
            </w:r>
          </w:p>
          <w:p w14:paraId="1539406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Staff interviewed demonstrated knowledge of procedures to follow in the event of any health and safety concerns.</w:t>
            </w:r>
          </w:p>
          <w:p w14:paraId="50680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are two cleaning staff on duty each shift. Laundry staff ensure the soiled and dirty linen bags are in the collection bay to be transported to the Oceania laundry service. Personal clothing is managed on site by the designated laundry staff. The clean linen is delivered to the facility on alternate days.  </w:t>
            </w:r>
          </w:p>
          <w:p w14:paraId="431BED52" w14:textId="77777777" w:rsidR="00000000" w:rsidRPr="00BE00C7" w:rsidRDefault="00000000" w:rsidP="00BE00C7">
            <w:pPr>
              <w:pStyle w:val="OutcomeDescription"/>
              <w:spacing w:before="120" w:after="120"/>
              <w:rPr>
                <w:rFonts w:cs="Arial"/>
                <w:lang w:eastAsia="en-NZ"/>
              </w:rPr>
            </w:pPr>
            <w:r w:rsidRPr="00BE00C7">
              <w:rPr>
                <w:rFonts w:cs="Arial"/>
                <w:lang w:eastAsia="en-NZ"/>
              </w:rPr>
              <w:t>Chemicals were stored safely. Safety data sheets were readily accessible to staff, and a spills kit was available. Personal protective equipment (PPE) resources were readily accessible. Signage and PPE resources were available to all visitors and staff as needed to ensure safety and reduce the risk of transmission.</w:t>
            </w:r>
          </w:p>
          <w:p w14:paraId="216C3BC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and interview feedback.</w:t>
            </w:r>
          </w:p>
          <w:p w14:paraId="503F1F95" w14:textId="77777777" w:rsidR="00000000" w:rsidRPr="00BE00C7" w:rsidRDefault="00000000" w:rsidP="00BE00C7">
            <w:pPr>
              <w:pStyle w:val="OutcomeDescription"/>
              <w:spacing w:before="120" w:after="120"/>
              <w:rPr>
                <w:rFonts w:cs="Arial"/>
                <w:lang w:eastAsia="en-NZ"/>
              </w:rPr>
            </w:pPr>
          </w:p>
        </w:tc>
      </w:tr>
      <w:tr w:rsidR="009601C8" w14:paraId="69423B21" w14:textId="77777777">
        <w:tc>
          <w:tcPr>
            <w:tcW w:w="0" w:type="auto"/>
          </w:tcPr>
          <w:p w14:paraId="6D13C0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9CD54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1F7216" w14:textId="77777777" w:rsidR="00000000" w:rsidRPr="00BE00C7" w:rsidRDefault="00000000" w:rsidP="00BE00C7">
            <w:pPr>
              <w:pStyle w:val="OutcomeDescription"/>
              <w:spacing w:before="120" w:after="120"/>
              <w:rPr>
                <w:rFonts w:cs="Arial"/>
                <w:lang w:eastAsia="en-NZ"/>
              </w:rPr>
            </w:pPr>
          </w:p>
        </w:tc>
        <w:tc>
          <w:tcPr>
            <w:tcW w:w="0" w:type="auto"/>
          </w:tcPr>
          <w:p w14:paraId="626882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5A6775"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Oceania executive leadership have demonstrated a commitment to this for several years.  At the time of audit, there was no restraint in use, and this has been the case since 2022. The clinical manager ensures staff understand the restraint-free philosophy by attending education events, completing questionnaires, and maintaining restraint minimisation competencies. Any use of restraint is reported to the governing body.</w:t>
            </w:r>
          </w:p>
          <w:p w14:paraId="4D3FD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restraint is required, policies and procedures meet the requirements of the standards.  Staff have been trained in the least restrictive practice, safe restraint practice, alternative cultural-specific interventions, and de-escalation techniques. </w:t>
            </w:r>
          </w:p>
          <w:p w14:paraId="2630BE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understood the requirements of this standard and has policies, systems and processes that aim to keep residents free from restrictions.</w:t>
            </w:r>
          </w:p>
          <w:p w14:paraId="36F828CE" w14:textId="77777777" w:rsidR="00000000" w:rsidRPr="00BE00C7" w:rsidRDefault="00000000" w:rsidP="00BE00C7">
            <w:pPr>
              <w:pStyle w:val="OutcomeDescription"/>
              <w:spacing w:before="120" w:after="120"/>
              <w:rPr>
                <w:rFonts w:cs="Arial"/>
                <w:lang w:eastAsia="en-NZ"/>
              </w:rPr>
            </w:pPr>
          </w:p>
        </w:tc>
      </w:tr>
    </w:tbl>
    <w:p w14:paraId="2CE34817" w14:textId="77777777" w:rsidR="00000000" w:rsidRPr="00BE00C7" w:rsidRDefault="00000000" w:rsidP="00BE00C7">
      <w:pPr>
        <w:pStyle w:val="OutcomeDescription"/>
        <w:spacing w:before="120" w:after="120"/>
        <w:rPr>
          <w:rFonts w:cs="Arial"/>
          <w:lang w:eastAsia="en-NZ"/>
        </w:rPr>
      </w:pPr>
      <w:bookmarkStart w:id="43" w:name="AuditSummaryAttainment"/>
      <w:bookmarkEnd w:id="43"/>
    </w:p>
    <w:p w14:paraId="265171CC" w14:textId="77777777" w:rsidR="00000000" w:rsidRDefault="00000000">
      <w:pPr>
        <w:pStyle w:val="Heading1"/>
        <w:rPr>
          <w:rFonts w:cs="Arial"/>
        </w:rPr>
      </w:pPr>
      <w:r>
        <w:rPr>
          <w:rFonts w:cs="Arial"/>
        </w:rPr>
        <w:lastRenderedPageBreak/>
        <w:t>Specific results for criterion where corrective actions are required</w:t>
      </w:r>
    </w:p>
    <w:p w14:paraId="1D8777F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11275A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C378A1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601C8" w14:paraId="474CE25D" w14:textId="77777777">
        <w:tc>
          <w:tcPr>
            <w:tcW w:w="0" w:type="auto"/>
          </w:tcPr>
          <w:p w14:paraId="29B95DB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B94DC0E" w14:textId="77777777" w:rsidR="00000000" w:rsidRPr="00BE00C7" w:rsidRDefault="00000000" w:rsidP="00BE00C7">
      <w:pPr>
        <w:pStyle w:val="OutcomeDescription"/>
        <w:spacing w:before="120" w:after="120"/>
        <w:rPr>
          <w:rFonts w:cs="Arial"/>
          <w:lang w:eastAsia="en-NZ"/>
        </w:rPr>
      </w:pPr>
      <w:bookmarkStart w:id="44" w:name="AuditSummaryCAMCriterion"/>
      <w:bookmarkEnd w:id="44"/>
    </w:p>
    <w:p w14:paraId="48CAEFDC" w14:textId="77777777" w:rsidR="00000000" w:rsidRDefault="00000000">
      <w:pPr>
        <w:pStyle w:val="Heading1"/>
        <w:rPr>
          <w:rFonts w:cs="Arial"/>
        </w:rPr>
      </w:pPr>
      <w:r>
        <w:rPr>
          <w:rFonts w:cs="Arial"/>
        </w:rPr>
        <w:lastRenderedPageBreak/>
        <w:t>Specific results for criterion where a continuous improvement has been recorded</w:t>
      </w:r>
    </w:p>
    <w:p w14:paraId="2C609E9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1B1E91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148F5F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601C8" w14:paraId="5FE04ACA" w14:textId="77777777">
        <w:tc>
          <w:tcPr>
            <w:tcW w:w="0" w:type="auto"/>
          </w:tcPr>
          <w:p w14:paraId="17101AC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AA202F2" w14:textId="77777777" w:rsidR="00000000" w:rsidRPr="00BE00C7" w:rsidRDefault="00000000" w:rsidP="00BE00C7">
      <w:pPr>
        <w:pStyle w:val="OutcomeDescription"/>
        <w:spacing w:before="120" w:after="120"/>
        <w:rPr>
          <w:rFonts w:cs="Arial"/>
          <w:lang w:eastAsia="en-NZ"/>
        </w:rPr>
      </w:pPr>
      <w:bookmarkStart w:id="45" w:name="AuditSummaryCAMImprovment"/>
      <w:bookmarkEnd w:id="45"/>
    </w:p>
    <w:p w14:paraId="7457D66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935D" w14:textId="77777777" w:rsidR="00B14102" w:rsidRDefault="00B14102">
      <w:r>
        <w:separator/>
      </w:r>
    </w:p>
  </w:endnote>
  <w:endnote w:type="continuationSeparator" w:id="0">
    <w:p w14:paraId="75A633B9" w14:textId="77777777" w:rsidR="00B14102" w:rsidRDefault="00B1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2B94" w14:textId="77777777" w:rsidR="00000000" w:rsidRDefault="00000000">
    <w:pPr>
      <w:pStyle w:val="Footer"/>
    </w:pPr>
  </w:p>
  <w:p w14:paraId="1827B24C" w14:textId="77777777" w:rsidR="00000000" w:rsidRDefault="00000000"/>
  <w:p w14:paraId="45EFC5C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744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Te Mana Lifecare Limited - Te Mana Lifecare</w:t>
    </w:r>
    <w:bookmarkEnd w:id="46"/>
    <w:r>
      <w:rPr>
        <w:rFonts w:cs="Arial"/>
        <w:sz w:val="16"/>
        <w:szCs w:val="20"/>
      </w:rPr>
      <w:tab/>
      <w:t xml:space="preserve">Date of Audit: </w:t>
    </w:r>
    <w:bookmarkStart w:id="47" w:name="AuditStartDate1"/>
    <w:r>
      <w:rPr>
        <w:rFonts w:cs="Arial"/>
        <w:sz w:val="16"/>
        <w:szCs w:val="20"/>
      </w:rPr>
      <w:t>27 January 2026</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9EEDC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302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044F" w14:textId="77777777" w:rsidR="00B14102" w:rsidRDefault="00B14102">
      <w:r>
        <w:separator/>
      </w:r>
    </w:p>
  </w:footnote>
  <w:footnote w:type="continuationSeparator" w:id="0">
    <w:p w14:paraId="7381DD5F" w14:textId="77777777" w:rsidR="00B14102" w:rsidRDefault="00B1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D0E4" w14:textId="77777777" w:rsidR="00000000" w:rsidRDefault="00000000">
    <w:pPr>
      <w:pStyle w:val="Header"/>
    </w:pPr>
  </w:p>
  <w:p w14:paraId="3DC485D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FC8" w14:textId="77777777" w:rsidR="00000000" w:rsidRDefault="00000000">
    <w:pPr>
      <w:pStyle w:val="Header"/>
    </w:pPr>
  </w:p>
  <w:p w14:paraId="1F14B2C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55A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C8E8AEC">
      <w:start w:val="1"/>
      <w:numFmt w:val="decimal"/>
      <w:lvlText w:val="%1."/>
      <w:lvlJc w:val="left"/>
      <w:pPr>
        <w:ind w:left="360" w:hanging="360"/>
      </w:pPr>
    </w:lvl>
    <w:lvl w:ilvl="1" w:tplc="1AE2AACC" w:tentative="1">
      <w:start w:val="1"/>
      <w:numFmt w:val="lowerLetter"/>
      <w:lvlText w:val="%2."/>
      <w:lvlJc w:val="left"/>
      <w:pPr>
        <w:ind w:left="1080" w:hanging="360"/>
      </w:pPr>
    </w:lvl>
    <w:lvl w:ilvl="2" w:tplc="C4FC957C" w:tentative="1">
      <w:start w:val="1"/>
      <w:numFmt w:val="lowerRoman"/>
      <w:lvlText w:val="%3."/>
      <w:lvlJc w:val="right"/>
      <w:pPr>
        <w:ind w:left="1800" w:hanging="180"/>
      </w:pPr>
    </w:lvl>
    <w:lvl w:ilvl="3" w:tplc="54CEB9E8" w:tentative="1">
      <w:start w:val="1"/>
      <w:numFmt w:val="decimal"/>
      <w:lvlText w:val="%4."/>
      <w:lvlJc w:val="left"/>
      <w:pPr>
        <w:ind w:left="2520" w:hanging="360"/>
      </w:pPr>
    </w:lvl>
    <w:lvl w:ilvl="4" w:tplc="7754747C" w:tentative="1">
      <w:start w:val="1"/>
      <w:numFmt w:val="lowerLetter"/>
      <w:lvlText w:val="%5."/>
      <w:lvlJc w:val="left"/>
      <w:pPr>
        <w:ind w:left="3240" w:hanging="360"/>
      </w:pPr>
    </w:lvl>
    <w:lvl w:ilvl="5" w:tplc="269C8AC8" w:tentative="1">
      <w:start w:val="1"/>
      <w:numFmt w:val="lowerRoman"/>
      <w:lvlText w:val="%6."/>
      <w:lvlJc w:val="right"/>
      <w:pPr>
        <w:ind w:left="3960" w:hanging="180"/>
      </w:pPr>
    </w:lvl>
    <w:lvl w:ilvl="6" w:tplc="971C780E" w:tentative="1">
      <w:start w:val="1"/>
      <w:numFmt w:val="decimal"/>
      <w:lvlText w:val="%7."/>
      <w:lvlJc w:val="left"/>
      <w:pPr>
        <w:ind w:left="4680" w:hanging="360"/>
      </w:pPr>
    </w:lvl>
    <w:lvl w:ilvl="7" w:tplc="144602FC" w:tentative="1">
      <w:start w:val="1"/>
      <w:numFmt w:val="lowerLetter"/>
      <w:lvlText w:val="%8."/>
      <w:lvlJc w:val="left"/>
      <w:pPr>
        <w:ind w:left="5400" w:hanging="360"/>
      </w:pPr>
    </w:lvl>
    <w:lvl w:ilvl="8" w:tplc="BE1830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3006526">
      <w:start w:val="1"/>
      <w:numFmt w:val="bullet"/>
      <w:lvlText w:val=""/>
      <w:lvlJc w:val="left"/>
      <w:pPr>
        <w:ind w:left="720" w:hanging="360"/>
      </w:pPr>
      <w:rPr>
        <w:rFonts w:ascii="Symbol" w:hAnsi="Symbol" w:hint="default"/>
      </w:rPr>
    </w:lvl>
    <w:lvl w:ilvl="1" w:tplc="D54A09F4" w:tentative="1">
      <w:start w:val="1"/>
      <w:numFmt w:val="bullet"/>
      <w:lvlText w:val="o"/>
      <w:lvlJc w:val="left"/>
      <w:pPr>
        <w:ind w:left="1440" w:hanging="360"/>
      </w:pPr>
      <w:rPr>
        <w:rFonts w:ascii="Courier New" w:hAnsi="Courier New" w:cs="Courier New" w:hint="default"/>
      </w:rPr>
    </w:lvl>
    <w:lvl w:ilvl="2" w:tplc="418859CA" w:tentative="1">
      <w:start w:val="1"/>
      <w:numFmt w:val="bullet"/>
      <w:lvlText w:val=""/>
      <w:lvlJc w:val="left"/>
      <w:pPr>
        <w:ind w:left="2160" w:hanging="360"/>
      </w:pPr>
      <w:rPr>
        <w:rFonts w:ascii="Wingdings" w:hAnsi="Wingdings" w:hint="default"/>
      </w:rPr>
    </w:lvl>
    <w:lvl w:ilvl="3" w:tplc="F0CEC648" w:tentative="1">
      <w:start w:val="1"/>
      <w:numFmt w:val="bullet"/>
      <w:lvlText w:val=""/>
      <w:lvlJc w:val="left"/>
      <w:pPr>
        <w:ind w:left="2880" w:hanging="360"/>
      </w:pPr>
      <w:rPr>
        <w:rFonts w:ascii="Symbol" w:hAnsi="Symbol" w:hint="default"/>
      </w:rPr>
    </w:lvl>
    <w:lvl w:ilvl="4" w:tplc="455EAFB8" w:tentative="1">
      <w:start w:val="1"/>
      <w:numFmt w:val="bullet"/>
      <w:lvlText w:val="o"/>
      <w:lvlJc w:val="left"/>
      <w:pPr>
        <w:ind w:left="3600" w:hanging="360"/>
      </w:pPr>
      <w:rPr>
        <w:rFonts w:ascii="Courier New" w:hAnsi="Courier New" w:cs="Courier New" w:hint="default"/>
      </w:rPr>
    </w:lvl>
    <w:lvl w:ilvl="5" w:tplc="C818F91C" w:tentative="1">
      <w:start w:val="1"/>
      <w:numFmt w:val="bullet"/>
      <w:lvlText w:val=""/>
      <w:lvlJc w:val="left"/>
      <w:pPr>
        <w:ind w:left="4320" w:hanging="360"/>
      </w:pPr>
      <w:rPr>
        <w:rFonts w:ascii="Wingdings" w:hAnsi="Wingdings" w:hint="default"/>
      </w:rPr>
    </w:lvl>
    <w:lvl w:ilvl="6" w:tplc="285CA446" w:tentative="1">
      <w:start w:val="1"/>
      <w:numFmt w:val="bullet"/>
      <w:lvlText w:val=""/>
      <w:lvlJc w:val="left"/>
      <w:pPr>
        <w:ind w:left="5040" w:hanging="360"/>
      </w:pPr>
      <w:rPr>
        <w:rFonts w:ascii="Symbol" w:hAnsi="Symbol" w:hint="default"/>
      </w:rPr>
    </w:lvl>
    <w:lvl w:ilvl="7" w:tplc="B4E07772" w:tentative="1">
      <w:start w:val="1"/>
      <w:numFmt w:val="bullet"/>
      <w:lvlText w:val="o"/>
      <w:lvlJc w:val="left"/>
      <w:pPr>
        <w:ind w:left="5760" w:hanging="360"/>
      </w:pPr>
      <w:rPr>
        <w:rFonts w:ascii="Courier New" w:hAnsi="Courier New" w:cs="Courier New" w:hint="default"/>
      </w:rPr>
    </w:lvl>
    <w:lvl w:ilvl="8" w:tplc="D31A3A56" w:tentative="1">
      <w:start w:val="1"/>
      <w:numFmt w:val="bullet"/>
      <w:lvlText w:val=""/>
      <w:lvlJc w:val="left"/>
      <w:pPr>
        <w:ind w:left="6480" w:hanging="360"/>
      </w:pPr>
      <w:rPr>
        <w:rFonts w:ascii="Wingdings" w:hAnsi="Wingdings" w:hint="default"/>
      </w:rPr>
    </w:lvl>
  </w:abstractNum>
  <w:num w:numId="1" w16cid:durableId="298001579">
    <w:abstractNumId w:val="1"/>
  </w:num>
  <w:num w:numId="2" w16cid:durableId="4584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1C8"/>
    <w:rsid w:val="00120376"/>
    <w:rsid w:val="006C3337"/>
    <w:rsid w:val="009601C8"/>
    <w:rsid w:val="00B141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FAEC"/>
  <w15:docId w15:val="{CA1CDBA0-65EB-420C-9BCA-F3A17EE4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9486</Words>
  <Characters>54075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2026-03-17T02:20:00Z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