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99FB" w14:textId="77777777" w:rsidR="00000000" w:rsidRDefault="00000000">
      <w:pPr>
        <w:pStyle w:val="Heading1"/>
        <w:rPr>
          <w:rFonts w:cs="Arial"/>
        </w:rPr>
      </w:pPr>
      <w:bookmarkStart w:id="0" w:name="PRMS_RIName"/>
      <w:r>
        <w:rPr>
          <w:rFonts w:cs="Arial"/>
        </w:rPr>
        <w:t>Heritage Lifecare (BPA) Limited - Maxwell Care Home</w:t>
      </w:r>
      <w:bookmarkEnd w:id="0"/>
    </w:p>
    <w:p w14:paraId="57C6219A" w14:textId="77777777" w:rsidR="00000000" w:rsidRDefault="00000000">
      <w:pPr>
        <w:pStyle w:val="Heading2"/>
        <w:spacing w:after="0"/>
        <w:rPr>
          <w:rFonts w:cs="Arial"/>
        </w:rPr>
      </w:pPr>
      <w:r>
        <w:rPr>
          <w:rFonts w:cs="Arial"/>
        </w:rPr>
        <w:t>Introduction</w:t>
      </w:r>
    </w:p>
    <w:p w14:paraId="6703EE9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CE58C19"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D3C621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8CD3D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5A8C39D" w14:textId="77777777" w:rsidR="00000000" w:rsidRDefault="00000000">
      <w:pPr>
        <w:spacing w:before="240" w:after="240"/>
        <w:rPr>
          <w:rFonts w:cs="Arial"/>
          <w:lang w:eastAsia="en-NZ"/>
        </w:rPr>
      </w:pPr>
      <w:r>
        <w:rPr>
          <w:rFonts w:cs="Arial"/>
          <w:lang w:eastAsia="en-NZ"/>
        </w:rPr>
        <w:t>The specifics of this audit included:</w:t>
      </w:r>
    </w:p>
    <w:p w14:paraId="2665415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587993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0E0DB6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Maxwell Care Home</w:t>
      </w:r>
      <w:bookmarkEnd w:id="5"/>
    </w:p>
    <w:p w14:paraId="3F1315C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A37FC1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January 2026</w:t>
      </w:r>
      <w:bookmarkEnd w:id="7"/>
      <w:r w:rsidRPr="009418D4">
        <w:rPr>
          <w:rFonts w:cs="Arial"/>
        </w:rPr>
        <w:tab/>
        <w:t xml:space="preserve">End date: </w:t>
      </w:r>
      <w:bookmarkStart w:id="8" w:name="AuditEndDate"/>
      <w:r>
        <w:rPr>
          <w:rFonts w:cs="Arial"/>
        </w:rPr>
        <w:t>20 January 2026</w:t>
      </w:r>
      <w:bookmarkEnd w:id="8"/>
    </w:p>
    <w:p w14:paraId="30CED50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9D00D45" w14:textId="77777777" w:rsidR="00A101F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0D99D6B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1CF5C0F" w14:textId="77777777" w:rsidR="00000000" w:rsidRDefault="00000000">
      <w:pPr>
        <w:pStyle w:val="Heading1"/>
        <w:rPr>
          <w:rFonts w:cs="Arial"/>
        </w:rPr>
      </w:pPr>
      <w:r>
        <w:rPr>
          <w:rFonts w:cs="Arial"/>
        </w:rPr>
        <w:lastRenderedPageBreak/>
        <w:t>Executive summary of the audit</w:t>
      </w:r>
    </w:p>
    <w:p w14:paraId="6B0B9805" w14:textId="77777777" w:rsidR="00000000" w:rsidRDefault="00000000">
      <w:pPr>
        <w:pStyle w:val="Heading2"/>
        <w:rPr>
          <w:rFonts w:cs="Arial"/>
        </w:rPr>
      </w:pPr>
      <w:r>
        <w:rPr>
          <w:rFonts w:cs="Arial"/>
        </w:rPr>
        <w:t>Introduction</w:t>
      </w:r>
    </w:p>
    <w:p w14:paraId="36D3D93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8413EA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A0CF8B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AF388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317C8F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28486B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31DB8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0C0875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515DE3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101F2" w14:paraId="541F0B8E" w14:textId="77777777">
        <w:trPr>
          <w:cantSplit/>
          <w:tblHeader/>
        </w:trPr>
        <w:tc>
          <w:tcPr>
            <w:tcW w:w="1260" w:type="dxa"/>
            <w:tcBorders>
              <w:bottom w:val="single" w:sz="4" w:space="0" w:color="000000"/>
            </w:tcBorders>
            <w:vAlign w:val="center"/>
          </w:tcPr>
          <w:p w14:paraId="02FABF3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887908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33BF7CAF" w14:textId="77777777" w:rsidR="00000000" w:rsidRDefault="00000000">
            <w:pPr>
              <w:spacing w:before="60" w:after="60"/>
              <w:rPr>
                <w:rFonts w:eastAsia="Calibri"/>
                <w:b/>
                <w:szCs w:val="24"/>
              </w:rPr>
            </w:pPr>
            <w:r>
              <w:rPr>
                <w:rFonts w:eastAsia="Calibri"/>
                <w:b/>
                <w:szCs w:val="24"/>
              </w:rPr>
              <w:t>Definition</w:t>
            </w:r>
          </w:p>
        </w:tc>
      </w:tr>
      <w:tr w:rsidR="00A101F2" w14:paraId="0921A975" w14:textId="77777777">
        <w:trPr>
          <w:cantSplit/>
          <w:trHeight w:val="964"/>
        </w:trPr>
        <w:tc>
          <w:tcPr>
            <w:tcW w:w="1260" w:type="dxa"/>
            <w:tcBorders>
              <w:bottom w:val="single" w:sz="4" w:space="0" w:color="000000"/>
            </w:tcBorders>
            <w:shd w:val="clear" w:color="0066FF" w:fill="0000FF"/>
            <w:vAlign w:val="center"/>
          </w:tcPr>
          <w:p w14:paraId="460B3973"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7A7DC1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DB2A2F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101F2" w14:paraId="21CF15AA" w14:textId="77777777">
        <w:trPr>
          <w:cantSplit/>
          <w:trHeight w:val="964"/>
        </w:trPr>
        <w:tc>
          <w:tcPr>
            <w:tcW w:w="1260" w:type="dxa"/>
            <w:shd w:val="clear" w:color="33CC33" w:fill="00FF00"/>
            <w:vAlign w:val="center"/>
          </w:tcPr>
          <w:p w14:paraId="6B6E9FEE" w14:textId="77777777" w:rsidR="00000000" w:rsidRDefault="00000000">
            <w:pPr>
              <w:spacing w:before="60" w:after="60"/>
              <w:rPr>
                <w:rFonts w:eastAsia="Calibri"/>
                <w:szCs w:val="24"/>
              </w:rPr>
            </w:pPr>
          </w:p>
        </w:tc>
        <w:tc>
          <w:tcPr>
            <w:tcW w:w="7095" w:type="dxa"/>
            <w:vAlign w:val="center"/>
          </w:tcPr>
          <w:p w14:paraId="0DFA50AB"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6F5767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101F2" w14:paraId="63556212" w14:textId="77777777">
        <w:trPr>
          <w:cantSplit/>
          <w:trHeight w:val="964"/>
        </w:trPr>
        <w:tc>
          <w:tcPr>
            <w:tcW w:w="1260" w:type="dxa"/>
            <w:tcBorders>
              <w:bottom w:val="single" w:sz="4" w:space="0" w:color="000000"/>
            </w:tcBorders>
            <w:shd w:val="clear" w:color="auto" w:fill="FFFF00"/>
            <w:vAlign w:val="center"/>
          </w:tcPr>
          <w:p w14:paraId="207EF174" w14:textId="77777777" w:rsidR="00000000" w:rsidRDefault="00000000">
            <w:pPr>
              <w:spacing w:before="60" w:after="60"/>
              <w:rPr>
                <w:rFonts w:eastAsia="Calibri"/>
                <w:szCs w:val="24"/>
              </w:rPr>
            </w:pPr>
          </w:p>
        </w:tc>
        <w:tc>
          <w:tcPr>
            <w:tcW w:w="7095" w:type="dxa"/>
            <w:vAlign w:val="center"/>
          </w:tcPr>
          <w:p w14:paraId="4101A8B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7B12E9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101F2" w14:paraId="355BB698" w14:textId="77777777">
        <w:trPr>
          <w:cantSplit/>
          <w:trHeight w:val="964"/>
        </w:trPr>
        <w:tc>
          <w:tcPr>
            <w:tcW w:w="1260" w:type="dxa"/>
            <w:tcBorders>
              <w:bottom w:val="single" w:sz="4" w:space="0" w:color="000000"/>
            </w:tcBorders>
            <w:shd w:val="clear" w:color="auto" w:fill="FFC800"/>
            <w:vAlign w:val="center"/>
          </w:tcPr>
          <w:p w14:paraId="5DA0394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6C1885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997887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101F2" w14:paraId="10D97AFD" w14:textId="77777777">
        <w:trPr>
          <w:cantSplit/>
          <w:trHeight w:val="964"/>
        </w:trPr>
        <w:tc>
          <w:tcPr>
            <w:tcW w:w="1260" w:type="dxa"/>
            <w:shd w:val="clear" w:color="auto" w:fill="FF0000"/>
            <w:vAlign w:val="center"/>
          </w:tcPr>
          <w:p w14:paraId="1A78ABE1" w14:textId="77777777" w:rsidR="00000000" w:rsidRDefault="00000000">
            <w:pPr>
              <w:spacing w:before="60" w:after="60"/>
              <w:rPr>
                <w:rFonts w:eastAsia="Calibri"/>
                <w:szCs w:val="24"/>
              </w:rPr>
            </w:pPr>
          </w:p>
        </w:tc>
        <w:tc>
          <w:tcPr>
            <w:tcW w:w="7095" w:type="dxa"/>
            <w:vAlign w:val="center"/>
          </w:tcPr>
          <w:p w14:paraId="2266953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477BEA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24FF47C" w14:textId="77777777" w:rsidR="00000000" w:rsidRDefault="00000000">
      <w:pPr>
        <w:pStyle w:val="Heading2"/>
        <w:spacing w:after="0"/>
        <w:rPr>
          <w:rFonts w:cs="Arial"/>
        </w:rPr>
      </w:pPr>
      <w:r>
        <w:rPr>
          <w:rFonts w:cs="Arial"/>
        </w:rPr>
        <w:t>General overview of the audit</w:t>
      </w:r>
    </w:p>
    <w:p w14:paraId="5062F1D8" w14:textId="77777777" w:rsidR="00000000" w:rsidRDefault="00000000">
      <w:pPr>
        <w:spacing w:before="240" w:line="276" w:lineRule="auto"/>
        <w:rPr>
          <w:rFonts w:eastAsia="Calibri"/>
        </w:rPr>
      </w:pPr>
      <w:bookmarkStart w:id="13" w:name="GeneralOverview"/>
      <w:r w:rsidRPr="00A4268A">
        <w:rPr>
          <w:rFonts w:eastAsia="Calibri"/>
        </w:rPr>
        <w:t xml:space="preserve">Heritage Lifecare (BPA) Limited (Heritage Lifecare) owns and operates Maxwell Care Home, known as Maxwell Lifecare, which is one of two Heritage Lifecare providers in Blenheim.  Maxwell Lifecare provides rest home and hospital services for up to 26 residents, having increased from 25 to 26 beds in April 2025 with the approval of HealthCERT. A new clinical services manager was appointed in May 2025.  </w:t>
      </w:r>
    </w:p>
    <w:p w14:paraId="7EE4B92B" w14:textId="77777777" w:rsidR="00A101F2" w:rsidRPr="00A4268A" w:rsidRDefault="00000000">
      <w:pPr>
        <w:spacing w:before="240" w:line="276" w:lineRule="auto"/>
        <w:rPr>
          <w:rFonts w:eastAsia="Calibri"/>
        </w:rPr>
      </w:pPr>
      <w:r w:rsidRPr="00A4268A">
        <w:rPr>
          <w:rFonts w:eastAsia="Calibri"/>
        </w:rPr>
        <w:t>This audit was conducted against the Ngā Paerewa Health and Disability Services Standard NZS 8134:2021 (Ngā Paerewa) and the contracts the provider holds with  Health New Zealand – Te Whatu Ora (Te Whatu Ora). The process included a pre-audit assessment of policies and procedures, a review of residents’ and staff files, observations, and interviews with residents and whānau, a regional manager, a governance representative, management, staff, and a nurse practitioner.</w:t>
      </w:r>
    </w:p>
    <w:p w14:paraId="27A0A554" w14:textId="77777777" w:rsidR="00A101F2" w:rsidRPr="00A4268A" w:rsidRDefault="00000000">
      <w:pPr>
        <w:spacing w:before="240" w:line="276" w:lineRule="auto"/>
        <w:rPr>
          <w:rFonts w:eastAsia="Calibri"/>
        </w:rPr>
      </w:pPr>
      <w:r w:rsidRPr="00A4268A">
        <w:rPr>
          <w:rFonts w:eastAsia="Calibri"/>
        </w:rPr>
        <w:t>Two areas requiring improvement was identified: these related to engagement with Māori, and the condition of the sluice room.</w:t>
      </w:r>
    </w:p>
    <w:bookmarkEnd w:id="13"/>
    <w:p w14:paraId="58F340FC" w14:textId="77777777" w:rsidR="00A101F2" w:rsidRPr="00A4268A" w:rsidRDefault="00A101F2">
      <w:pPr>
        <w:spacing w:before="240" w:line="276" w:lineRule="auto"/>
        <w:rPr>
          <w:rFonts w:eastAsia="Calibri"/>
        </w:rPr>
      </w:pPr>
    </w:p>
    <w:p w14:paraId="0710E99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7FF43767" w14:textId="77777777" w:rsidTr="00A4268A">
        <w:trPr>
          <w:cantSplit/>
        </w:trPr>
        <w:tc>
          <w:tcPr>
            <w:tcW w:w="10206" w:type="dxa"/>
            <w:vAlign w:val="center"/>
          </w:tcPr>
          <w:p w14:paraId="2EDE7B8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36E2C9"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5CA6F79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7502AC"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56FE7017" w14:textId="77777777" w:rsidR="00000000" w:rsidRDefault="00000000">
      <w:pPr>
        <w:spacing w:before="240" w:line="276" w:lineRule="auto"/>
        <w:rPr>
          <w:rFonts w:eastAsia="Calibri"/>
        </w:rPr>
      </w:pPr>
      <w:bookmarkStart w:id="16" w:name="ConsumerRights"/>
      <w:r w:rsidRPr="00A4268A">
        <w:rPr>
          <w:rFonts w:eastAsia="Calibri"/>
        </w:rPr>
        <w:t xml:space="preserve">Heritage Lifecare works collaboratively to support and encourage a Māori and Pacific peoples’ worldview of health in service delivery within its facilities. </w:t>
      </w:r>
    </w:p>
    <w:p w14:paraId="7A1EFDFD" w14:textId="77777777" w:rsidR="00A101F2" w:rsidRPr="00A4268A" w:rsidRDefault="00000000">
      <w:pPr>
        <w:spacing w:before="240" w:line="276" w:lineRule="auto"/>
        <w:rPr>
          <w:rFonts w:eastAsia="Calibri"/>
        </w:rPr>
      </w:pPr>
      <w:r w:rsidRPr="00A4268A">
        <w:rPr>
          <w:rFonts w:eastAsia="Calibri"/>
        </w:rPr>
        <w:t xml:space="preserve">Maxwell Lifecare provided an environment that supported residents’ rights and culturally safe care. Staff demonstrated an understanding of residents' rights and obligations. There were health plans that encapsulated care specifically directed at Māori, Pacific peoples, and other ethnicities. </w:t>
      </w:r>
    </w:p>
    <w:p w14:paraId="1202D8BC" w14:textId="77777777" w:rsidR="00A101F2" w:rsidRPr="00A4268A" w:rsidRDefault="00000000">
      <w:pPr>
        <w:spacing w:before="240" w:line="276" w:lineRule="auto"/>
        <w:rPr>
          <w:rFonts w:eastAsia="Calibri"/>
        </w:rPr>
      </w:pPr>
      <w:r w:rsidRPr="00A4268A">
        <w:rPr>
          <w:rFonts w:eastAsia="Calibri"/>
        </w:rPr>
        <w:t>Māori were provided with equitable and effective services based on Te Tiriti o Waitangi and the principles of mana motuhake (self-determination), and this was confirmed by Māori residents and staff interviewed.</w:t>
      </w:r>
    </w:p>
    <w:p w14:paraId="124167A9" w14:textId="77777777" w:rsidR="00A101F2" w:rsidRPr="00A4268A" w:rsidRDefault="00000000">
      <w:pPr>
        <w:spacing w:before="240" w:line="276" w:lineRule="auto"/>
        <w:rPr>
          <w:rFonts w:eastAsia="Calibri"/>
        </w:rPr>
      </w:pPr>
      <w:r w:rsidRPr="00A4268A">
        <w:rPr>
          <w:rFonts w:eastAsia="Calibri"/>
        </w:rPr>
        <w:t>Systems and processes were in place to enable Pacific peoples to be provided with services that recognised their worldviews and were culturally safe.</w:t>
      </w:r>
    </w:p>
    <w:p w14:paraId="72327D2F" w14:textId="77777777" w:rsidR="00A101F2" w:rsidRPr="00A4268A" w:rsidRDefault="00000000">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were upheld. Personal identity, independence, privacy, and dignity were respected and supported. Staff reported they had participated in Te Tiriti o Waitangi training, and this was reflected in day-to-day service delivery.  Residents were safe from abuse.</w:t>
      </w:r>
    </w:p>
    <w:p w14:paraId="15F95629" w14:textId="77777777" w:rsidR="00A101F2" w:rsidRPr="00A4268A" w:rsidRDefault="00000000">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and interpreter services were provided as needed.  Whānau and legal representatives were involved in decision-making that complied with the law. Advance directives are followed wherever possible.</w:t>
      </w:r>
    </w:p>
    <w:p w14:paraId="196B0D88" w14:textId="77777777" w:rsidR="00A101F2" w:rsidRPr="00A4268A" w:rsidRDefault="00000000">
      <w:pPr>
        <w:spacing w:before="240" w:line="276" w:lineRule="auto"/>
        <w:rPr>
          <w:rFonts w:eastAsia="Calibri"/>
        </w:rPr>
      </w:pPr>
      <w:r w:rsidRPr="00A4268A">
        <w:rPr>
          <w:rFonts w:eastAsia="Calibri"/>
        </w:rPr>
        <w:lastRenderedPageBreak/>
        <w:t>Few complaints and negative feedback had been received since the last audit.  These were resolved promptly and effectively in collaboration with all parties involved. There are processes in place to ensure that the complaints process works equitably for Māori.</w:t>
      </w:r>
    </w:p>
    <w:bookmarkEnd w:id="16"/>
    <w:p w14:paraId="3AF2DB72" w14:textId="77777777" w:rsidR="00A101F2" w:rsidRPr="00A4268A" w:rsidRDefault="00A101F2">
      <w:pPr>
        <w:spacing w:before="240" w:line="276" w:lineRule="auto"/>
        <w:rPr>
          <w:rFonts w:eastAsia="Calibri"/>
        </w:rPr>
      </w:pPr>
    </w:p>
    <w:p w14:paraId="11D9715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413FD54C" w14:textId="77777777" w:rsidTr="00A4268A">
        <w:trPr>
          <w:cantSplit/>
        </w:trPr>
        <w:tc>
          <w:tcPr>
            <w:tcW w:w="10206" w:type="dxa"/>
            <w:vAlign w:val="center"/>
          </w:tcPr>
          <w:p w14:paraId="5DDEEB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FE85B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E5C97F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E69F59" w14:textId="77777777" w:rsidR="00000000" w:rsidRDefault="00000000">
      <w:pPr>
        <w:spacing w:before="240" w:line="276" w:lineRule="auto"/>
        <w:rPr>
          <w:rFonts w:eastAsia="Calibri"/>
        </w:rPr>
      </w:pPr>
      <w:bookmarkStart w:id="19" w:name="OrganisationalManagement"/>
      <w:r w:rsidRPr="00A4268A">
        <w:rPr>
          <w:rFonts w:eastAsia="Calibri"/>
        </w:rPr>
        <w:t xml:space="preserve">Heritage Lifecare provides the governance for Maxwell Lifecare. There is a support structure that provides monitoring evidence to the board of directors, ensuring compliance with contract and legislation. Good communication up and down to the manager at Maxwell Lifecare was occurring.  </w:t>
      </w:r>
    </w:p>
    <w:p w14:paraId="527BF1E5" w14:textId="77777777" w:rsidR="00A101F2" w:rsidRPr="00A4268A" w:rsidRDefault="00000000">
      <w:pPr>
        <w:spacing w:before="240" w:line="276" w:lineRule="auto"/>
        <w:rPr>
          <w:rFonts w:eastAsia="Calibri"/>
        </w:rPr>
      </w:pPr>
      <w:r w:rsidRPr="00A4268A">
        <w:rPr>
          <w:rFonts w:eastAsia="Calibri"/>
        </w:rPr>
        <w:t>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77FBD2DA" w14:textId="77777777" w:rsidR="00A101F2" w:rsidRPr="00A4268A" w:rsidRDefault="00000000">
      <w:pPr>
        <w:spacing w:before="240" w:line="276" w:lineRule="auto"/>
        <w:rPr>
          <w:rFonts w:eastAsia="Calibri"/>
        </w:rPr>
      </w:pPr>
      <w:r w:rsidRPr="00A4268A">
        <w:rPr>
          <w:rFonts w:eastAsia="Calibri"/>
        </w:rPr>
        <w:t>Strategic planning ensures the purpose, values, direction, scope, and goals for the organisation are defined. Service performance is monitored and reviewed at planned intervals.</w:t>
      </w:r>
    </w:p>
    <w:p w14:paraId="12D4EE48" w14:textId="77777777" w:rsidR="00A101F2" w:rsidRPr="00A4268A" w:rsidRDefault="00000000">
      <w:pPr>
        <w:spacing w:before="240" w:line="276" w:lineRule="auto"/>
        <w:rPr>
          <w:rFonts w:eastAsia="Calibri"/>
        </w:rPr>
      </w:pPr>
      <w:r w:rsidRPr="00A4268A">
        <w:rPr>
          <w:rFonts w:eastAsia="Calibri"/>
        </w:rPr>
        <w:t>The electronic quality and risk management systems are focused on improving service delivery and care. Residents and whānau provide regular feedback and staff are involved in quality activities. An integrated approach includes the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obligations.</w:t>
      </w:r>
    </w:p>
    <w:p w14:paraId="0DC60804" w14:textId="77777777" w:rsidR="00A101F2" w:rsidRPr="00A4268A" w:rsidRDefault="00000000">
      <w:pPr>
        <w:spacing w:before="240" w:line="276" w:lineRule="auto"/>
        <w:rPr>
          <w:rFonts w:eastAsia="Calibri"/>
        </w:rPr>
      </w:pPr>
      <w:r w:rsidRPr="00A4268A">
        <w:rPr>
          <w:rFonts w:eastAsia="Calibri"/>
        </w:rPr>
        <w:lastRenderedPageBreak/>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is monitored.</w:t>
      </w:r>
    </w:p>
    <w:p w14:paraId="012E3C5A" w14:textId="77777777" w:rsidR="00A101F2" w:rsidRPr="00A4268A" w:rsidRDefault="00000000">
      <w:pPr>
        <w:spacing w:before="240" w:line="276" w:lineRule="auto"/>
        <w:rPr>
          <w:rFonts w:eastAsia="Calibri"/>
        </w:rPr>
      </w:pPr>
      <w:r w:rsidRPr="00A4268A">
        <w:rPr>
          <w:rFonts w:eastAsia="Calibri"/>
        </w:rPr>
        <w:t>Residents’ information is accurately recorded, securely stored, not on public display, and not accessible to unauthorised people.</w:t>
      </w:r>
    </w:p>
    <w:bookmarkEnd w:id="19"/>
    <w:p w14:paraId="65CDF354" w14:textId="77777777" w:rsidR="00A101F2" w:rsidRPr="00A4268A" w:rsidRDefault="00A101F2">
      <w:pPr>
        <w:spacing w:before="240" w:line="276" w:lineRule="auto"/>
        <w:rPr>
          <w:rFonts w:eastAsia="Calibri"/>
        </w:rPr>
      </w:pPr>
    </w:p>
    <w:p w14:paraId="28FCC4E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0D9FD1CE" w14:textId="77777777" w:rsidTr="00A4268A">
        <w:trPr>
          <w:cantSplit/>
        </w:trPr>
        <w:tc>
          <w:tcPr>
            <w:tcW w:w="10206" w:type="dxa"/>
            <w:vAlign w:val="center"/>
          </w:tcPr>
          <w:p w14:paraId="041B43C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5045CC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366E65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7408DC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Maxwell Lifecare, a person-centred and whānau-centred approach is consistently adopted. Relevant, accurate and appropriate information is provided to prospective residents and their whānau at the point of admission to support informed decision-making and facilitate a smooth transition into the service.</w:t>
      </w:r>
    </w:p>
    <w:p w14:paraId="128BB8C7" w14:textId="77777777" w:rsidR="00A101F2" w:rsidRPr="00A4268A" w:rsidRDefault="00000000" w:rsidP="00621629">
      <w:pPr>
        <w:spacing w:before="240" w:line="276" w:lineRule="auto"/>
        <w:rPr>
          <w:rFonts w:eastAsia="Calibri"/>
        </w:rPr>
      </w:pPr>
      <w:r w:rsidRPr="00A4268A">
        <w:rPr>
          <w:rFonts w:eastAsia="Calibri"/>
        </w:rPr>
        <w:t xml:space="preserve">Maxwell Lifecare works in partnership with the residents and their whānau to assess, plan and evaluate care.  Care plans were individualised, based on comprehensive information, and accommodated any new problems that arise.  Files reviewed demonstrated that care met the needs of residents and whānau and was evaluated on a regular and timely basis. </w:t>
      </w:r>
    </w:p>
    <w:p w14:paraId="153C6796" w14:textId="77777777" w:rsidR="00A101F2"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495EAF4C" w14:textId="77777777" w:rsidR="00A101F2"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5077CD3A" w14:textId="77777777" w:rsidR="00A101F2"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F090303" w14:textId="77777777" w:rsidR="00A101F2"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7C554DE" w14:textId="77777777" w:rsidR="00A101F2" w:rsidRPr="00A4268A" w:rsidRDefault="00A101F2" w:rsidP="00621629">
      <w:pPr>
        <w:spacing w:before="240" w:line="276" w:lineRule="auto"/>
        <w:rPr>
          <w:rFonts w:eastAsia="Calibri"/>
        </w:rPr>
      </w:pPr>
    </w:p>
    <w:p w14:paraId="2855AD2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75F89804" w14:textId="77777777" w:rsidTr="00A4268A">
        <w:trPr>
          <w:cantSplit/>
        </w:trPr>
        <w:tc>
          <w:tcPr>
            <w:tcW w:w="10206" w:type="dxa"/>
            <w:vAlign w:val="center"/>
          </w:tcPr>
          <w:p w14:paraId="79DF94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159267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268CE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CECB555"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had been checked and tested as required. External areas are accessible, safe, provide shade and seating, and meet the needs of tāngata whaikaha (people with disabilities).</w:t>
      </w:r>
    </w:p>
    <w:p w14:paraId="7FF55CA9" w14:textId="77777777" w:rsidR="00A101F2" w:rsidRPr="00A4268A" w:rsidRDefault="00000000">
      <w:pPr>
        <w:spacing w:before="240" w:line="276" w:lineRule="auto"/>
        <w:rPr>
          <w:rFonts w:eastAsia="Calibri"/>
        </w:rPr>
      </w:pPr>
      <w:r w:rsidRPr="00A4268A">
        <w:rPr>
          <w:rFonts w:eastAsia="Calibri"/>
        </w:rPr>
        <w:t>There is a Fire and Emergency New Zealand–approved evacuation plan.  Staff are trained in emergency procedures, the use of emergency equipment and supplies, and attend regular fire drills. Staff, residents and whānau interviewed understood emergency and security arrangements. Security is maintained.</w:t>
      </w:r>
    </w:p>
    <w:bookmarkEnd w:id="25"/>
    <w:p w14:paraId="02F0B6FC" w14:textId="77777777" w:rsidR="00A101F2" w:rsidRPr="00A4268A" w:rsidRDefault="00A101F2">
      <w:pPr>
        <w:spacing w:before="240" w:line="276" w:lineRule="auto"/>
        <w:rPr>
          <w:rFonts w:eastAsia="Calibri"/>
        </w:rPr>
      </w:pPr>
    </w:p>
    <w:p w14:paraId="67A8912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2E709FD8" w14:textId="77777777" w:rsidTr="00A4268A">
        <w:trPr>
          <w:cantSplit/>
        </w:trPr>
        <w:tc>
          <w:tcPr>
            <w:tcW w:w="10206" w:type="dxa"/>
            <w:vAlign w:val="center"/>
          </w:tcPr>
          <w:p w14:paraId="48D45F9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663914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4C9027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1B0EAAD"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Heritage Lifecare governing body oversees the implementation of the infection prevention and control programme, which is linked to the quality management system. Annual reviews of the programme were reported to the board, as were any significant infection events.</w:t>
      </w:r>
    </w:p>
    <w:p w14:paraId="6B27B414" w14:textId="77777777" w:rsidR="00A101F2" w:rsidRPr="00A4268A" w:rsidRDefault="00000000">
      <w:pPr>
        <w:spacing w:before="240" w:line="276" w:lineRule="auto"/>
        <w:rPr>
          <w:rFonts w:eastAsia="Calibri"/>
        </w:rPr>
      </w:pPr>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D345D2C" w14:textId="77777777" w:rsidR="00A101F2" w:rsidRPr="00A4268A" w:rsidRDefault="00000000">
      <w:pPr>
        <w:spacing w:before="240" w:line="276" w:lineRule="auto"/>
        <w:rPr>
          <w:rFonts w:eastAsia="Calibri"/>
        </w:rPr>
      </w:pPr>
      <w:r w:rsidRPr="00A4268A">
        <w:rPr>
          <w:rFonts w:eastAsia="Calibri"/>
        </w:rPr>
        <w:t>The environment supports both prevention of infections and mitigation of their transmission.  Waste and hazardous substances were well managed.  There were safe and effective laundry services.</w:t>
      </w:r>
    </w:p>
    <w:bookmarkEnd w:id="28"/>
    <w:p w14:paraId="0CE74F35" w14:textId="77777777" w:rsidR="00A101F2" w:rsidRPr="00A4268A" w:rsidRDefault="00A101F2">
      <w:pPr>
        <w:spacing w:before="240" w:line="276" w:lineRule="auto"/>
        <w:rPr>
          <w:rFonts w:eastAsia="Calibri"/>
        </w:rPr>
      </w:pPr>
    </w:p>
    <w:p w14:paraId="20D65F3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101F2" w14:paraId="20524C45" w14:textId="77777777" w:rsidTr="00A4268A">
        <w:trPr>
          <w:cantSplit/>
        </w:trPr>
        <w:tc>
          <w:tcPr>
            <w:tcW w:w="10206" w:type="dxa"/>
            <w:vAlign w:val="center"/>
          </w:tcPr>
          <w:p w14:paraId="5B0FE5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EADAC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D75E8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044A3C6" w14:textId="77777777" w:rsidR="00000000" w:rsidRDefault="00000000">
      <w:pPr>
        <w:spacing w:before="240" w:line="276" w:lineRule="auto"/>
        <w:rPr>
          <w:rFonts w:eastAsia="Calibri"/>
        </w:rPr>
      </w:pPr>
      <w:bookmarkStart w:id="31" w:name="InfectionPreventionAndControl"/>
      <w:r w:rsidRPr="00A4268A">
        <w:rPr>
          <w:rFonts w:eastAsia="Calibri"/>
        </w:rPr>
        <w:t>Maxwell Lifecare is a restraint-free environment. This is supported by the Heritage Lifecare governing body and policies and procedures. There were no residents using restraint at the time of audit. A comprehensive assessment, approval, and monitoring process, with regular reviews, is in place should restraint use be required in the future.</w:t>
      </w:r>
    </w:p>
    <w:p w14:paraId="344B98F4" w14:textId="77777777" w:rsidR="00A101F2" w:rsidRPr="00A4268A" w:rsidRDefault="00000000">
      <w:pPr>
        <w:spacing w:before="240" w:line="276" w:lineRule="auto"/>
        <w:rPr>
          <w:rFonts w:eastAsia="Calibri"/>
        </w:rPr>
      </w:pPr>
      <w:r w:rsidRPr="00A4268A">
        <w:rPr>
          <w:rFonts w:eastAsia="Calibri"/>
        </w:rPr>
        <w:t>The senior registered nurse is the restraint coordinator and is suitably qualified for the role.  Staff interviewed demonstrated a sound knowledge and understanding of providing the least restrictive practice, de-escalation techniques, alternative interventions to restraint, and restraint monitoring.</w:t>
      </w:r>
    </w:p>
    <w:bookmarkEnd w:id="31"/>
    <w:p w14:paraId="5337A10E" w14:textId="77777777" w:rsidR="00A101F2" w:rsidRPr="00A4268A" w:rsidRDefault="00A101F2">
      <w:pPr>
        <w:spacing w:before="240" w:line="276" w:lineRule="auto"/>
        <w:rPr>
          <w:rFonts w:eastAsia="Calibri"/>
        </w:rPr>
      </w:pPr>
    </w:p>
    <w:p w14:paraId="182A7CD1" w14:textId="77777777" w:rsidR="00000000" w:rsidRDefault="00000000" w:rsidP="000E6E02">
      <w:pPr>
        <w:pStyle w:val="Heading2"/>
        <w:spacing w:before="0"/>
        <w:rPr>
          <w:rFonts w:cs="Arial"/>
        </w:rPr>
      </w:pPr>
      <w:r>
        <w:rPr>
          <w:rFonts w:cs="Arial"/>
        </w:rPr>
        <w:lastRenderedPageBreak/>
        <w:t>Summary of attainment</w:t>
      </w:r>
    </w:p>
    <w:p w14:paraId="3103128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101F2" w14:paraId="052DE82C" w14:textId="77777777">
        <w:tc>
          <w:tcPr>
            <w:tcW w:w="1384" w:type="dxa"/>
            <w:vAlign w:val="center"/>
          </w:tcPr>
          <w:p w14:paraId="5DEA8C2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A0F761C" w14:textId="77777777" w:rsidR="00000000" w:rsidRDefault="00000000">
            <w:pPr>
              <w:keepNext/>
              <w:spacing w:before="60" w:after="60"/>
              <w:jc w:val="center"/>
              <w:rPr>
                <w:rFonts w:cs="Arial"/>
                <w:b/>
                <w:sz w:val="20"/>
                <w:szCs w:val="20"/>
              </w:rPr>
            </w:pPr>
            <w:r>
              <w:rPr>
                <w:rFonts w:cs="Arial"/>
                <w:b/>
                <w:sz w:val="20"/>
                <w:szCs w:val="20"/>
              </w:rPr>
              <w:t>Continuous Improvement</w:t>
            </w:r>
          </w:p>
          <w:p w14:paraId="0E32BDA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BA29352" w14:textId="77777777" w:rsidR="00000000" w:rsidRDefault="00000000">
            <w:pPr>
              <w:keepNext/>
              <w:spacing w:before="60" w:after="60"/>
              <w:jc w:val="center"/>
              <w:rPr>
                <w:rFonts w:cs="Arial"/>
                <w:b/>
                <w:sz w:val="20"/>
                <w:szCs w:val="20"/>
              </w:rPr>
            </w:pPr>
            <w:r>
              <w:rPr>
                <w:rFonts w:cs="Arial"/>
                <w:b/>
                <w:sz w:val="20"/>
                <w:szCs w:val="20"/>
              </w:rPr>
              <w:t>Fully Attained</w:t>
            </w:r>
          </w:p>
          <w:p w14:paraId="36FAA0F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7FDAD9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FA85B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AE8152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480F71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2946A2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2BA0FF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70486B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3B04B6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D4AA2F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35A95B4" w14:textId="77777777" w:rsidR="00000000" w:rsidRDefault="00000000">
            <w:pPr>
              <w:keepNext/>
              <w:spacing w:before="60" w:after="60"/>
              <w:jc w:val="center"/>
              <w:rPr>
                <w:rFonts w:cs="Arial"/>
                <w:b/>
                <w:sz w:val="20"/>
                <w:szCs w:val="20"/>
              </w:rPr>
            </w:pPr>
            <w:r>
              <w:rPr>
                <w:rFonts w:cs="Arial"/>
                <w:b/>
                <w:sz w:val="20"/>
                <w:szCs w:val="20"/>
              </w:rPr>
              <w:t>(PA Critical)</w:t>
            </w:r>
          </w:p>
        </w:tc>
      </w:tr>
      <w:tr w:rsidR="00A101F2" w14:paraId="3F1F1BF2" w14:textId="77777777">
        <w:tc>
          <w:tcPr>
            <w:tcW w:w="1384" w:type="dxa"/>
            <w:vAlign w:val="center"/>
          </w:tcPr>
          <w:p w14:paraId="4D3081E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F545C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483A81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9D4FD7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B0C4FB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259F92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0B7AAA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119A01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101F2" w14:paraId="5A396A92" w14:textId="77777777">
        <w:tc>
          <w:tcPr>
            <w:tcW w:w="1384" w:type="dxa"/>
            <w:vAlign w:val="center"/>
          </w:tcPr>
          <w:p w14:paraId="277FF65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31A693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743DF6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1DEBD6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14CE5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E3DBD9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9F5B1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7575E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BA57B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101F2" w14:paraId="34AD5237" w14:textId="77777777">
        <w:tc>
          <w:tcPr>
            <w:tcW w:w="1384" w:type="dxa"/>
            <w:vAlign w:val="center"/>
          </w:tcPr>
          <w:p w14:paraId="72C3671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578B6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28B5CA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76E975D" w14:textId="77777777" w:rsidR="00000000" w:rsidRDefault="00000000">
            <w:pPr>
              <w:keepNext/>
              <w:spacing w:before="60" w:after="60"/>
              <w:jc w:val="center"/>
              <w:rPr>
                <w:rFonts w:cs="Arial"/>
                <w:b/>
                <w:sz w:val="20"/>
                <w:szCs w:val="20"/>
              </w:rPr>
            </w:pPr>
            <w:r>
              <w:rPr>
                <w:rFonts w:cs="Arial"/>
                <w:b/>
                <w:sz w:val="20"/>
                <w:szCs w:val="20"/>
              </w:rPr>
              <w:t>Unattained Low Risk</w:t>
            </w:r>
          </w:p>
          <w:p w14:paraId="58B187B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DAFD1B8" w14:textId="77777777" w:rsidR="00000000" w:rsidRDefault="00000000">
            <w:pPr>
              <w:keepNext/>
              <w:spacing w:before="60" w:after="60"/>
              <w:jc w:val="center"/>
              <w:rPr>
                <w:rFonts w:cs="Arial"/>
                <w:b/>
                <w:sz w:val="20"/>
                <w:szCs w:val="20"/>
              </w:rPr>
            </w:pPr>
            <w:r>
              <w:rPr>
                <w:rFonts w:cs="Arial"/>
                <w:b/>
                <w:sz w:val="20"/>
                <w:szCs w:val="20"/>
              </w:rPr>
              <w:t>Unattained Moderate Risk</w:t>
            </w:r>
          </w:p>
          <w:p w14:paraId="4D0D44B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118476" w14:textId="77777777" w:rsidR="00000000" w:rsidRDefault="00000000">
            <w:pPr>
              <w:keepNext/>
              <w:spacing w:before="60" w:after="60"/>
              <w:jc w:val="center"/>
              <w:rPr>
                <w:rFonts w:cs="Arial"/>
                <w:b/>
                <w:sz w:val="20"/>
                <w:szCs w:val="20"/>
              </w:rPr>
            </w:pPr>
            <w:r>
              <w:rPr>
                <w:rFonts w:cs="Arial"/>
                <w:b/>
                <w:sz w:val="20"/>
                <w:szCs w:val="20"/>
              </w:rPr>
              <w:t>Unattained High Risk</w:t>
            </w:r>
          </w:p>
          <w:p w14:paraId="681358E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945FB3E" w14:textId="77777777" w:rsidR="00000000" w:rsidRDefault="00000000">
            <w:pPr>
              <w:keepNext/>
              <w:spacing w:before="60" w:after="60"/>
              <w:jc w:val="center"/>
              <w:rPr>
                <w:rFonts w:cs="Arial"/>
                <w:b/>
                <w:sz w:val="20"/>
                <w:szCs w:val="20"/>
              </w:rPr>
            </w:pPr>
            <w:r>
              <w:rPr>
                <w:rFonts w:cs="Arial"/>
                <w:b/>
                <w:sz w:val="20"/>
                <w:szCs w:val="20"/>
              </w:rPr>
              <w:t>Unattained Critical Risk</w:t>
            </w:r>
          </w:p>
          <w:p w14:paraId="1CC46041" w14:textId="77777777" w:rsidR="00000000" w:rsidRDefault="00000000">
            <w:pPr>
              <w:keepNext/>
              <w:spacing w:before="60" w:after="60"/>
              <w:jc w:val="center"/>
              <w:rPr>
                <w:rFonts w:cs="Arial"/>
                <w:b/>
                <w:sz w:val="20"/>
                <w:szCs w:val="20"/>
              </w:rPr>
            </w:pPr>
            <w:r>
              <w:rPr>
                <w:rFonts w:cs="Arial"/>
                <w:b/>
                <w:sz w:val="20"/>
                <w:szCs w:val="20"/>
              </w:rPr>
              <w:t>(UA Critical)</w:t>
            </w:r>
          </w:p>
        </w:tc>
      </w:tr>
      <w:tr w:rsidR="00A101F2" w14:paraId="48990F24" w14:textId="77777777">
        <w:tc>
          <w:tcPr>
            <w:tcW w:w="1384" w:type="dxa"/>
            <w:vAlign w:val="center"/>
          </w:tcPr>
          <w:p w14:paraId="7837CF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010674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0577C1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40620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FCD6E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CCE5C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101F2" w14:paraId="24B57927" w14:textId="77777777">
        <w:tc>
          <w:tcPr>
            <w:tcW w:w="1384" w:type="dxa"/>
            <w:vAlign w:val="center"/>
          </w:tcPr>
          <w:p w14:paraId="32E6A2D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502900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E5C995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174547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6D8036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06B75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0F5852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60183D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32C30D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5B72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A101F2" w14:paraId="67F8ED11" w14:textId="77777777">
        <w:tc>
          <w:tcPr>
            <w:tcW w:w="0" w:type="auto"/>
          </w:tcPr>
          <w:p w14:paraId="7C57328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3AE8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E8B1C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101F2" w14:paraId="643685F2" w14:textId="77777777">
        <w:tc>
          <w:tcPr>
            <w:tcW w:w="0" w:type="auto"/>
          </w:tcPr>
          <w:p w14:paraId="53AB93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853AA2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CB4389F" w14:textId="77777777" w:rsidR="00000000" w:rsidRPr="00BE00C7" w:rsidRDefault="00000000" w:rsidP="00BE00C7">
            <w:pPr>
              <w:pStyle w:val="OutcomeDescription"/>
              <w:spacing w:before="120" w:after="120"/>
              <w:rPr>
                <w:rFonts w:cs="Arial"/>
                <w:lang w:eastAsia="en-NZ"/>
              </w:rPr>
            </w:pPr>
          </w:p>
        </w:tc>
        <w:tc>
          <w:tcPr>
            <w:tcW w:w="0" w:type="auto"/>
          </w:tcPr>
          <w:p w14:paraId="68ECEF1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9E5D6A"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Māori Health Plan which guides care delivery for Māori using Te Whare Tapa Whā model, and by ensuring mana motuhake (self-determination) is respected. The plan has been developed with input from cultural advisers and can be used for residents who identify as Māori.</w:t>
            </w:r>
          </w:p>
          <w:p w14:paraId="2A728D97"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and other care workers. All staff are welcome to attend the meetings.  The group provides information through the clinical governance structure (the clinical advisory group) to the board. The service can access support through one of the local marae; however, there has been no contact for some time. This is an area for improvement; refer criterion 1.1.5.</w:t>
            </w:r>
          </w:p>
          <w:p w14:paraId="07AEA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Māori capacity by employing more Māori </w:t>
            </w:r>
            <w:r w:rsidRPr="00BE00C7">
              <w:rPr>
                <w:rFonts w:cs="Arial"/>
                <w:lang w:eastAsia="en-NZ"/>
              </w:rPr>
              <w:lastRenderedPageBreak/>
              <w:t xml:space="preserve">staff members across differing levels of the organisation and this is outlined in its strategic plan, and in policy documentation. Ethnicity data is gathered when staff are employed. One staff member identified as Māori.  Data is analysed at a management level. </w:t>
            </w:r>
          </w:p>
          <w:p w14:paraId="52DA74BA"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training includes Te Whare Tapa Whā and Te Tiriti o Waitangi as part of the Heritage Lifecare training programme, and this is implemented in the service. The training is geared to assist staff to understand the key elements of service provision for Māori, and tāngata whaikaha, including mana motuhake, and providing equity in care services.</w:t>
            </w:r>
          </w:p>
          <w:p w14:paraId="21BCD4A5" w14:textId="77777777" w:rsidR="00000000" w:rsidRPr="00BE00C7" w:rsidRDefault="00000000" w:rsidP="00BE00C7">
            <w:pPr>
              <w:pStyle w:val="OutcomeDescription"/>
              <w:spacing w:before="120" w:after="120"/>
              <w:rPr>
                <w:rFonts w:cs="Arial"/>
                <w:lang w:eastAsia="en-NZ"/>
              </w:rPr>
            </w:pPr>
          </w:p>
        </w:tc>
      </w:tr>
      <w:tr w:rsidR="00A101F2" w14:paraId="644724B7" w14:textId="77777777">
        <w:tc>
          <w:tcPr>
            <w:tcW w:w="0" w:type="auto"/>
          </w:tcPr>
          <w:p w14:paraId="1ABD84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81EE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AB7E23F" w14:textId="77777777" w:rsidR="00000000" w:rsidRPr="00BE00C7" w:rsidRDefault="00000000" w:rsidP="00BE00C7">
            <w:pPr>
              <w:pStyle w:val="OutcomeDescription"/>
              <w:spacing w:before="120" w:after="120"/>
              <w:rPr>
                <w:rFonts w:cs="Arial"/>
                <w:lang w:eastAsia="en-NZ"/>
              </w:rPr>
            </w:pPr>
          </w:p>
        </w:tc>
        <w:tc>
          <w:tcPr>
            <w:tcW w:w="0" w:type="auto"/>
          </w:tcPr>
          <w:p w14:paraId="5B6F77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40E52B"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is able to access guidance from people within the organisation around appropriate care and service for Pacific peoples. Members of the executive team identify as Pacific people and assist the board to meet its Ngā Paerewa obligations to Pacific peoples.</w:t>
            </w:r>
          </w:p>
          <w:p w14:paraId="7AA48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in place that describes the use of the Fonofale model of care when documenting care requirements for Pacific peoples to ensure culturally appropriate services. The plan has been developed with input from cultural advisers. Maxwell Lifecare has access to local Pacific peoples’ communities through Marlborough Pacific Trust and through the activities coordinator who identifies as a Pacific person and a family member who is part of the Trust.   </w:t>
            </w:r>
          </w:p>
          <w:p w14:paraId="15473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is clear that recruitment will be non-discriminatory, and that cultural fit is one aspect of appointing staff. The service supports increasing Pacific peoples capacity by employing more Pacific people as staff members across differing levels of the organisation and in policy documentation. Ethnicity data is gathered when staff are employed, and this data is analysed at a management level. There were seven staff who identified as Pacific people in the service. </w:t>
            </w:r>
          </w:p>
          <w:p w14:paraId="67DD04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on culturally specific care, including care for Pacific people, is part of the Heritage Lifecare training programme, and this is implemented in the service. The training is geared to assist staff to understand the key elements of service provision for Pacific people and </w:t>
            </w:r>
            <w:r w:rsidRPr="00BE00C7">
              <w:rPr>
                <w:rFonts w:cs="Arial"/>
                <w:lang w:eastAsia="en-NZ"/>
              </w:rPr>
              <w:lastRenderedPageBreak/>
              <w:t>providing equity in care services.  A resident who identifies as a Pacific person had their cultural needs met and family were involved in care planning.</w:t>
            </w:r>
          </w:p>
          <w:p w14:paraId="24F19E00" w14:textId="77777777" w:rsidR="00000000" w:rsidRPr="00BE00C7" w:rsidRDefault="00000000" w:rsidP="00BE00C7">
            <w:pPr>
              <w:pStyle w:val="OutcomeDescription"/>
              <w:spacing w:before="120" w:after="120"/>
              <w:rPr>
                <w:rFonts w:cs="Arial"/>
                <w:lang w:eastAsia="en-NZ"/>
              </w:rPr>
            </w:pPr>
          </w:p>
        </w:tc>
      </w:tr>
      <w:tr w:rsidR="00A101F2" w14:paraId="431EDBED" w14:textId="77777777">
        <w:tc>
          <w:tcPr>
            <w:tcW w:w="0" w:type="auto"/>
          </w:tcPr>
          <w:p w14:paraId="18585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0BEAB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BD0965" w14:textId="77777777" w:rsidR="00000000" w:rsidRPr="00BE00C7" w:rsidRDefault="00000000" w:rsidP="00BE00C7">
            <w:pPr>
              <w:pStyle w:val="OutcomeDescription"/>
              <w:spacing w:before="120" w:after="120"/>
              <w:rPr>
                <w:rFonts w:cs="Arial"/>
                <w:lang w:eastAsia="en-NZ"/>
              </w:rPr>
            </w:pPr>
          </w:p>
        </w:tc>
        <w:tc>
          <w:tcPr>
            <w:tcW w:w="0" w:type="auto"/>
          </w:tcPr>
          <w:p w14:paraId="581E62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BB56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Maxwell Lifecare demonstrated a clear understanding of the requirements and principles of the Code and were observed supporting residents in a manner consistent with their expressed wishes, preferences, and rights. Staff were able to describe how the Code is applied in everyday practice, including respect, informed choice, dignity, effective communication, and the recognition of Māori mana motuhake in care and decision-making. Education on the Code and its principles is provided to all staff during orientation, with opportunities for discussion and clarification to support consistent application in practice. </w:t>
            </w:r>
          </w:p>
          <w:p w14:paraId="4E051C3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confirmed that they had been made aware of the Code and the Nationwide Health and Disability Advocacy Service (Advocacy Service) and reported being provided with appropriate opportunities to discuss and clarify their rights. Ongoing opportunities to discuss the Code and related matters are provided through residents’ meetings, where time is allocated for questions, feedback, and discussion.</w:t>
            </w:r>
          </w:p>
          <w:p w14:paraId="3517A6C5" w14:textId="77777777" w:rsidR="00000000" w:rsidRPr="00BE00C7" w:rsidRDefault="00000000" w:rsidP="00BE00C7">
            <w:pPr>
              <w:pStyle w:val="OutcomeDescription"/>
              <w:spacing w:before="120" w:after="120"/>
              <w:rPr>
                <w:rFonts w:cs="Arial"/>
                <w:lang w:eastAsia="en-NZ"/>
              </w:rPr>
            </w:pPr>
            <w:r w:rsidRPr="00BE00C7">
              <w:rPr>
                <w:rFonts w:cs="Arial"/>
                <w:lang w:eastAsia="en-NZ"/>
              </w:rPr>
              <w:t>Advocacy brochures were readily available in the reception area, alongside clear information about the Code in both te reo Māori and English, ensuring accessibility, cultural responsiveness, and respect for Māori rights and values.</w:t>
            </w:r>
          </w:p>
          <w:p w14:paraId="6765B007" w14:textId="77777777" w:rsidR="00000000" w:rsidRPr="00BE00C7" w:rsidRDefault="00000000" w:rsidP="00BE00C7">
            <w:pPr>
              <w:pStyle w:val="OutcomeDescription"/>
              <w:spacing w:before="120" w:after="120"/>
              <w:rPr>
                <w:rFonts w:cs="Arial"/>
                <w:lang w:eastAsia="en-NZ"/>
              </w:rPr>
            </w:pPr>
          </w:p>
        </w:tc>
      </w:tr>
      <w:tr w:rsidR="00A101F2" w14:paraId="25D713C4" w14:textId="77777777">
        <w:tc>
          <w:tcPr>
            <w:tcW w:w="0" w:type="auto"/>
          </w:tcPr>
          <w:p w14:paraId="11E7F5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AC9D5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C192A84" w14:textId="77777777" w:rsidR="00000000" w:rsidRPr="00BE00C7" w:rsidRDefault="00000000" w:rsidP="00BE00C7">
            <w:pPr>
              <w:pStyle w:val="OutcomeDescription"/>
              <w:spacing w:before="120" w:after="120"/>
              <w:rPr>
                <w:rFonts w:cs="Arial"/>
                <w:lang w:eastAsia="en-NZ"/>
              </w:rPr>
            </w:pPr>
          </w:p>
        </w:tc>
        <w:tc>
          <w:tcPr>
            <w:tcW w:w="0" w:type="auto"/>
          </w:tcPr>
          <w:p w14:paraId="6C8104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83BC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Maxwell Lifecare supports residents in a manner that is inclusive, culturally safe, and respectful of their identity, lived experiences, and personal preferences. Residents and whānau, including tāngata whaikaha (people with disabilities), confirmed that services were delivered in a way that had regard for their dignity, gender, privacy, confidentiality, sexual orientation, spirituality, values, beliefs, culture, religion, relationship status, and preferred level of interdependence. Residents reported that they were consulted about what is important to </w:t>
            </w:r>
            <w:r w:rsidRPr="00BE00C7">
              <w:rPr>
                <w:rFonts w:cs="Arial"/>
                <w:lang w:eastAsia="en-NZ"/>
              </w:rPr>
              <w:lastRenderedPageBreak/>
              <w:t>them and were provided with opportunities to share this information, which was then reflected in their care and support.</w:t>
            </w:r>
          </w:p>
          <w:p w14:paraId="54F20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Throughout the audit, staff were consistently observed to uphold residents’ privacy and dignity in everyday practice. All residents had a private room, and staff were observed routinely knocking on doors, seeking permission before entry, and communicating respectfully to maintain personal dignity and autonomy.</w:t>
            </w:r>
          </w:p>
          <w:p w14:paraId="637147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through bilingual signage, use of te reo Māori language in the activities programme, and education of staff. Staff described undertaking training in Te Tiriti o Waitangi and tikanga Māori during orientation and were able to discuss how this was reflected in their day-to-day interactions and service delivery. </w:t>
            </w:r>
          </w:p>
          <w:p w14:paraId="0BD16F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appropriately identified and responded to, including enabling and supporting their participation in te ao Māori. Staff were observed speaking to residents in a respectful, supportive, and mana-enhancing manner, and residents and whānau interviewed reported feeling respected, listened to, and valued in their daily lives. This included younger persons with a physical disability.</w:t>
            </w:r>
          </w:p>
          <w:p w14:paraId="7CA37547" w14:textId="77777777" w:rsidR="00000000" w:rsidRPr="00BE00C7" w:rsidRDefault="00000000" w:rsidP="00BE00C7">
            <w:pPr>
              <w:pStyle w:val="OutcomeDescription"/>
              <w:spacing w:before="120" w:after="120"/>
              <w:rPr>
                <w:rFonts w:cs="Arial"/>
                <w:lang w:eastAsia="en-NZ"/>
              </w:rPr>
            </w:pPr>
          </w:p>
        </w:tc>
      </w:tr>
      <w:tr w:rsidR="00A101F2" w14:paraId="4621597D" w14:textId="77777777">
        <w:tc>
          <w:tcPr>
            <w:tcW w:w="0" w:type="auto"/>
          </w:tcPr>
          <w:p w14:paraId="471DFA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41199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22B87D7" w14:textId="77777777" w:rsidR="00000000" w:rsidRPr="00BE00C7" w:rsidRDefault="00000000" w:rsidP="00BE00C7">
            <w:pPr>
              <w:pStyle w:val="OutcomeDescription"/>
              <w:spacing w:before="120" w:after="120"/>
              <w:rPr>
                <w:rFonts w:cs="Arial"/>
                <w:lang w:eastAsia="en-NZ"/>
              </w:rPr>
            </w:pPr>
          </w:p>
        </w:tc>
        <w:tc>
          <w:tcPr>
            <w:tcW w:w="0" w:type="auto"/>
          </w:tcPr>
          <w:p w14:paraId="2B06ED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C73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at Maxwell Lifecare demonstrated a clear understanding of the service’s policies and procedures relating to abuse and neglect, including the identification of potential signs, required actions, and reporting pathways. Staff confirmed they had received education on abuse and neglect and reported feeling confident and supported to raise and report any concerns. There were no examples of discrimination, coercion, harassment, abuse, or neglect identified during the audit through staff interviews, resident and whānau interviews, or documentation reviewed. </w:t>
            </w:r>
          </w:p>
          <w:p w14:paraId="4C2174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and whānau interviewed reported that they felt well cared for, supported, and safe within their environment at Maxwell Lifecare. Residents’ personal property was clearly labelled on admission, and residents and whānau confirmed that belongings were treated with </w:t>
            </w:r>
            <w:r w:rsidRPr="00BE00C7">
              <w:rPr>
                <w:rFonts w:cs="Arial"/>
                <w:lang w:eastAsia="en-NZ"/>
              </w:rPr>
              <w:lastRenderedPageBreak/>
              <w:t>respect and safeguarded. Residents’ finances are protected, with appropriate safeguarding systems in place.</w:t>
            </w:r>
          </w:p>
          <w:p w14:paraId="3A804B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consistently maintained by staff, who demonstrated an understanding of behaviours and practices that protect resident wellbeing and avoid any actions that could negatively impact residents. Staff interviewed felt safe and supported to raise concerns relating to institutional and systemic racism and were confident that any issues raised would be taken seriously and acted upon by management. </w:t>
            </w:r>
          </w:p>
          <w:p w14:paraId="66D06837" w14:textId="77777777" w:rsidR="00000000" w:rsidRPr="00BE00C7" w:rsidRDefault="00000000" w:rsidP="00BE00C7">
            <w:pPr>
              <w:pStyle w:val="OutcomeDescription"/>
              <w:spacing w:before="120" w:after="120"/>
              <w:rPr>
                <w:rFonts w:cs="Arial"/>
                <w:lang w:eastAsia="en-NZ"/>
              </w:rPr>
            </w:pPr>
            <w:r w:rsidRPr="00BE00C7">
              <w:rPr>
                <w:rFonts w:cs="Arial"/>
                <w:lang w:eastAsia="en-NZ"/>
              </w:rPr>
              <w:t>A strengths-based and holistic model of care was evident throughout the service, with the integration of Te Whare Tapa Whā to support wellbeing outcomes for Māori, recognising the physical, mental, spiritual, and whānau dimensions of health in everyday care and support.</w:t>
            </w:r>
          </w:p>
          <w:p w14:paraId="643AFDA4" w14:textId="77777777" w:rsidR="00000000" w:rsidRPr="00BE00C7" w:rsidRDefault="00000000" w:rsidP="00BE00C7">
            <w:pPr>
              <w:pStyle w:val="OutcomeDescription"/>
              <w:spacing w:before="120" w:after="120"/>
              <w:rPr>
                <w:rFonts w:cs="Arial"/>
                <w:lang w:eastAsia="en-NZ"/>
              </w:rPr>
            </w:pPr>
          </w:p>
        </w:tc>
      </w:tr>
      <w:tr w:rsidR="00A101F2" w14:paraId="217E2807" w14:textId="77777777">
        <w:tc>
          <w:tcPr>
            <w:tcW w:w="0" w:type="auto"/>
          </w:tcPr>
          <w:p w14:paraId="0872F3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EA5B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5C15C02" w14:textId="77777777" w:rsidR="00000000" w:rsidRPr="00BE00C7" w:rsidRDefault="00000000" w:rsidP="00BE00C7">
            <w:pPr>
              <w:pStyle w:val="OutcomeDescription"/>
              <w:spacing w:before="120" w:after="120"/>
              <w:rPr>
                <w:rFonts w:cs="Arial"/>
                <w:lang w:eastAsia="en-NZ"/>
              </w:rPr>
            </w:pPr>
          </w:p>
        </w:tc>
        <w:tc>
          <w:tcPr>
            <w:tcW w:w="0" w:type="auto"/>
          </w:tcPr>
          <w:p w14:paraId="65F367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CA413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at Maxwell Lifecare was open, respectful, and effective, and that they felt listened to. All residents interviewed stated that information was provided to them in an easy-to-understand format, that staff communicated clearly, and that they felt heard when raising questions or concerns. Residents confirmed they have regular opportunities to express their views and provide feedback through resident meetings, and reported that staff were approachable, kind, and responsive to their concerns.</w:t>
            </w:r>
          </w:p>
          <w:p w14:paraId="7B352F0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with a disability, including a younger person with a physical disability, confirmed that communication met their needs.</w:t>
            </w:r>
          </w:p>
          <w:p w14:paraId="4259FB08"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whānau in a timely manner, and whānau confirmed they were kept appropriately informed. Whānau also have opportunities to attend case conferences to discuss care and receive updates regarding care and service delivery. Where other agencies were involved in care, effective communication was evident, including with nurse or general practitioners, and relevant allied health professionals.</w:t>
            </w:r>
          </w:p>
          <w:p w14:paraId="11003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and transparent communication were evident following adverse events and during the management of any </w:t>
            </w:r>
            <w:r w:rsidRPr="00BE00C7">
              <w:rPr>
                <w:rFonts w:cs="Arial"/>
                <w:lang w:eastAsia="en-NZ"/>
              </w:rPr>
              <w:lastRenderedPageBreak/>
              <w:t>complaints, demonstrating a commitment to partnership and accountability.</w:t>
            </w:r>
          </w:p>
          <w:p w14:paraId="4FC4AE4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knowledge of how to access interpreter services when required to support effective communication and informed participation.</w:t>
            </w:r>
          </w:p>
          <w:p w14:paraId="475EF8DE" w14:textId="77777777" w:rsidR="00000000" w:rsidRPr="00BE00C7" w:rsidRDefault="00000000" w:rsidP="00BE00C7">
            <w:pPr>
              <w:pStyle w:val="OutcomeDescription"/>
              <w:spacing w:before="120" w:after="120"/>
              <w:rPr>
                <w:rFonts w:cs="Arial"/>
                <w:lang w:eastAsia="en-NZ"/>
              </w:rPr>
            </w:pPr>
          </w:p>
        </w:tc>
      </w:tr>
      <w:tr w:rsidR="00A101F2" w14:paraId="0EA230ED" w14:textId="77777777">
        <w:tc>
          <w:tcPr>
            <w:tcW w:w="0" w:type="auto"/>
          </w:tcPr>
          <w:p w14:paraId="7FD264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554C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B47CE8" w14:textId="77777777" w:rsidR="00000000" w:rsidRPr="00BE00C7" w:rsidRDefault="00000000" w:rsidP="00BE00C7">
            <w:pPr>
              <w:pStyle w:val="OutcomeDescription"/>
              <w:spacing w:before="120" w:after="120"/>
              <w:rPr>
                <w:rFonts w:cs="Arial"/>
                <w:lang w:eastAsia="en-NZ"/>
              </w:rPr>
            </w:pPr>
          </w:p>
        </w:tc>
        <w:tc>
          <w:tcPr>
            <w:tcW w:w="0" w:type="auto"/>
          </w:tcPr>
          <w:p w14:paraId="0728B7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5C1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representatives were provided with the information necessary to make informed decisions about care and support, in a manner that was clear, accessible, and culturally appropriate. Residents interviewed reported feeling empowered to actively participate in decision-making about care, and that their views and preferences were respected. With the consent of the resident, whānau were included in decision-making and were enabled to do so through access to quality information, advice, and relevant resources. </w:t>
            </w:r>
          </w:p>
          <w:p w14:paraId="1DB80CA5"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resident was unable to make informed choices, an enduring power of attorney (EPOA), or welfare guardian was appropriately appointed in accordance with the law, and all relevant legal documentation was available, current, and accessible within the resident’s record. Residents were still supported to be involved in decisions wherever possible, even when a legal representative was acting on their behalf.</w:t>
            </w:r>
          </w:p>
          <w:p w14:paraId="38C9DA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demonstrated a clear understanding of the principles and practice of informed consent, supported by organisational policies aligned with the Code and appropriate tikanga guidelines. Verbal consent was observed to be obtained for day-to-day cares. </w:t>
            </w:r>
          </w:p>
          <w:p w14:paraId="32D0420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supported in their right to supported decision-making and to make informed choices in accordance with the Code. Advance care planning was appropriately recorded in residents’ files where relevant. Shared goals of care discussions were undertaken with residents and whānau and documented in the resident record where applicable.</w:t>
            </w:r>
          </w:p>
          <w:p w14:paraId="7A82FFF4" w14:textId="77777777" w:rsidR="00000000" w:rsidRPr="00BE00C7" w:rsidRDefault="00000000" w:rsidP="00BE00C7">
            <w:pPr>
              <w:pStyle w:val="OutcomeDescription"/>
              <w:spacing w:before="120" w:after="120"/>
              <w:rPr>
                <w:rFonts w:cs="Arial"/>
                <w:lang w:eastAsia="en-NZ"/>
              </w:rPr>
            </w:pPr>
          </w:p>
        </w:tc>
      </w:tr>
      <w:tr w:rsidR="00A101F2" w14:paraId="47A1F901" w14:textId="77777777">
        <w:tc>
          <w:tcPr>
            <w:tcW w:w="0" w:type="auto"/>
          </w:tcPr>
          <w:p w14:paraId="7F3B9C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CE397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40C710" w14:textId="77777777" w:rsidR="00000000" w:rsidRPr="00BE00C7" w:rsidRDefault="00000000" w:rsidP="00BE00C7">
            <w:pPr>
              <w:pStyle w:val="OutcomeDescription"/>
              <w:spacing w:before="120" w:after="120"/>
              <w:rPr>
                <w:rFonts w:cs="Arial"/>
                <w:lang w:eastAsia="en-NZ"/>
              </w:rPr>
            </w:pPr>
          </w:p>
        </w:tc>
        <w:tc>
          <w:tcPr>
            <w:tcW w:w="0" w:type="auto"/>
          </w:tcPr>
          <w:p w14:paraId="7A217A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13667"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fair, transparent, and equitable process in place to receive and resolve complaints that leads to improvements. This meets the requirements of the Code. The care home manager advised there was a process in place to manage complaints from Māori using hui, appropriate tikanga, and/or te reo Māori as applicable. Complaints forms are available at reception in English and te reo Māori. Residents and whānau interviewed reported that they understood their right to make a complaint and knew how to do so.</w:t>
            </w:r>
          </w:p>
          <w:p w14:paraId="3970F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Maxwell Lifecare received eight complaints in the last 12 months and also logs minor concerns, which are resolved promptly. The majority of complaints and concerns related to communication.  It has received 50 compliments in the form of cards and presents from relatives.   All complaints were managed appropriately and in line with Heritage Lifecare policy and had documentation to evidence that the complainant had been informed of the outcome of their complaint and of their options if they were not satisfied with the outcome of the complaint and wished to further their complaint to the Office of the Health and Disability Commissioner. There was evidence of appropriate analysis and corrective action follow up when needed. </w:t>
            </w:r>
          </w:p>
          <w:p w14:paraId="3D1F4C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had been no complaints received from external sources since the previous audit. A resident’s unexpected death had been sent to the coroner’s office.  The care home manager was able to describe good practice related to this event and there were no findings of concern from the coroner's investigation.  </w:t>
            </w:r>
          </w:p>
          <w:p w14:paraId="74D26CB9" w14:textId="77777777" w:rsidR="00000000" w:rsidRPr="00BE00C7" w:rsidRDefault="00000000" w:rsidP="00BE00C7">
            <w:pPr>
              <w:pStyle w:val="OutcomeDescription"/>
              <w:spacing w:before="120" w:after="120"/>
              <w:rPr>
                <w:rFonts w:cs="Arial"/>
                <w:lang w:eastAsia="en-NZ"/>
              </w:rPr>
            </w:pPr>
          </w:p>
        </w:tc>
      </w:tr>
      <w:tr w:rsidR="00A101F2" w14:paraId="044C0CC4" w14:textId="77777777">
        <w:tc>
          <w:tcPr>
            <w:tcW w:w="0" w:type="auto"/>
          </w:tcPr>
          <w:p w14:paraId="2BDA88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9BA7B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02318247" w14:textId="77777777" w:rsidR="00000000" w:rsidRPr="00BE00C7" w:rsidRDefault="00000000" w:rsidP="00BE00C7">
            <w:pPr>
              <w:pStyle w:val="OutcomeDescription"/>
              <w:spacing w:before="120" w:after="120"/>
              <w:rPr>
                <w:rFonts w:cs="Arial"/>
                <w:lang w:eastAsia="en-NZ"/>
              </w:rPr>
            </w:pPr>
          </w:p>
        </w:tc>
        <w:tc>
          <w:tcPr>
            <w:tcW w:w="0" w:type="auto"/>
          </w:tcPr>
          <w:p w14:paraId="405F9A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B385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Heritage Lifecare governing body assumes accountability for delivering a high-quality service through supporting meaningful inclusion of Māori and Pacific people in governance groups, honouring Te Tiriti o Waitangi, and being focused on improving outcomes for Māori, Pacific people, and tāngata whaikaha. Directors of Heritage Lifecare have undertaken the e-learning education on Te Tiriti, health equity, and cultural safety provided by Manatū Hauora. The chief executive officer (CEO) and some senior posts have changed since the last audit and there is a new executive team structure in place.  </w:t>
            </w:r>
          </w:p>
          <w:p w14:paraId="38271A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Heritage Lifecare has a legal team who monitor changes to legislative and clinical requirements and have access to domestic and international legal advice. Information garnered from these sources translates into policy and procedure. Equity for Māori, Pacific people, and tāngata whaikaha is addressed through the policy documentation and the removal of barriers that prevent access to information (e.g., information in other languages for the Code of Rights, infection prevention and control). The Komiti Māori has provided electronic links to current good practice for Māori.  Heritage Lifecare also utilises the skills of staff and senior managers and supports them in making sure barriers to equitable service delivery are surmounted.</w:t>
            </w:r>
          </w:p>
          <w:p w14:paraId="4F38AAFB"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five-year strategic plan in place that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4C044A7B"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facility has its own business plan which follows a set template covering finance, staffing, quality and risk including health and safety and safe service delivery.  Governance and the senior leadership team commit to quality and risk via policy, processes, and feedback mechanisms. This includes receiving regular information from each facility. The Heritage Lifecare electronic reporting and monitoring system details facility-based business, internal data collection (e.g., adverse events, resident/whānau satisfaction surveys, infections, a range of audits, and complaints) are aggregated and corrective action (at facility and organisation level as applicable) actioned. Feedback is to the clinical governance group and to the board. The clinical governance group provides clinical oversight and supports the clinical service manager in each facility.  Changes are made to business and/or the strategic plans as required.</w:t>
            </w:r>
          </w:p>
          <w:p w14:paraId="5BAA2E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Position descriptions are in place for all positions, including those for specific roles such as infection prevention and restraint. These specify the requirements for the position and key performance indicators (KPIs) to assess performance. Heritage Lifecare uses an interview panel for senior managers. Recruiting and retaining people is a focus for Heritage Lifecare, the organisation looks for the ‘right people in the </w:t>
            </w:r>
            <w:r w:rsidRPr="00BE00C7">
              <w:rPr>
                <w:rFonts w:cs="Arial"/>
                <w:lang w:eastAsia="en-NZ"/>
              </w:rPr>
              <w:lastRenderedPageBreak/>
              <w:t xml:space="preserve">right place’ and aims to keep them in place for a longer period to promote stability. It also uses feedback from cultural advisers, including the Komiti Māori Network, to inform workforce planning, sensitive and appropriate collection and use of ethnicity data, and how it can support its ethnically diverse staff.  The care home manager has held their role for many years and keeps current by attending appropriate internal and external meetings and communications from the Heritage Lifecare support team and regional business manager.  </w:t>
            </w:r>
          </w:p>
          <w:p w14:paraId="2ACF211C" w14:textId="77777777" w:rsidR="00000000" w:rsidRPr="00BE00C7" w:rsidRDefault="00000000" w:rsidP="00BE00C7">
            <w:pPr>
              <w:pStyle w:val="OutcomeDescription"/>
              <w:spacing w:before="120" w:after="120"/>
              <w:rPr>
                <w:rFonts w:cs="Arial"/>
                <w:lang w:eastAsia="en-NZ"/>
              </w:rPr>
            </w:pPr>
            <w:r w:rsidRPr="00BE00C7">
              <w:rPr>
                <w:rFonts w:cs="Arial"/>
                <w:lang w:eastAsia="en-NZ"/>
              </w:rPr>
              <w:t>Maxwell Lifecare holds contracts to provide rest home and hospital-level care with Te Whatu Ora for age-related residential care (ARRC), respite care, support care at the end of life, and long-term support – chronic health care. The facility also holds a contract with Disability Support Services, Ministry of Social Development to provide care for younger persons with a physical disability (YPD).  The facility provides care for up to 26 residents.  On the day of audit, there were 24 residents, all assessed at hospital level of care, three of whom were younger persons with a physical disability and one palliative care resident. No residents were receiving respite care.</w:t>
            </w:r>
          </w:p>
          <w:p w14:paraId="673607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April 2025, HealthCERT was notified of, and approved, the increase in the bed numbers from 25 to 26.  The room was visited during the audit and was found to be fit for purpose for the use of a hospital-level resident.  </w:t>
            </w:r>
          </w:p>
          <w:p w14:paraId="1EDC4B93" w14:textId="77777777" w:rsidR="00000000" w:rsidRPr="00BE00C7" w:rsidRDefault="00000000" w:rsidP="00BE00C7">
            <w:pPr>
              <w:pStyle w:val="OutcomeDescription"/>
              <w:spacing w:before="120" w:after="120"/>
              <w:rPr>
                <w:rFonts w:cs="Arial"/>
                <w:lang w:eastAsia="en-NZ"/>
              </w:rPr>
            </w:pPr>
          </w:p>
        </w:tc>
      </w:tr>
      <w:tr w:rsidR="00A101F2" w14:paraId="5923909D" w14:textId="77777777">
        <w:tc>
          <w:tcPr>
            <w:tcW w:w="0" w:type="auto"/>
          </w:tcPr>
          <w:p w14:paraId="74925D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E2617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672D82C" w14:textId="77777777" w:rsidR="00000000" w:rsidRPr="00BE00C7" w:rsidRDefault="00000000" w:rsidP="00BE00C7">
            <w:pPr>
              <w:pStyle w:val="OutcomeDescription"/>
              <w:spacing w:before="120" w:after="120"/>
              <w:rPr>
                <w:rFonts w:cs="Arial"/>
                <w:lang w:eastAsia="en-NZ"/>
              </w:rPr>
            </w:pPr>
          </w:p>
        </w:tc>
        <w:tc>
          <w:tcPr>
            <w:tcW w:w="0" w:type="auto"/>
          </w:tcPr>
          <w:p w14:paraId="7EDBB7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11CC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w:t>
            </w:r>
          </w:p>
          <w:p w14:paraId="1BE3B6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includes the management of incidents/accidents/hazards (including the monitoring of clinical incidents such as falls, pressure injuries, infections, wounds, and medication errors), complaints, audit activities, and policies and procedures. Relevant corrective actions are developed and implemented to address any shortfalls. Progress against quality outcomes is evaluated. Quality data is communicated and discussed, and this was confirmed by staff at interview. Trends are graphed and displayed on notice boards in staff areas. Policies reviewed covered all necessary aspects of the service and contractual requirements and were current.  Projects are undertaken to promote </w:t>
            </w:r>
            <w:r w:rsidRPr="00BE00C7">
              <w:rPr>
                <w:rFonts w:cs="Arial"/>
                <w:lang w:eastAsia="en-NZ"/>
              </w:rPr>
              <w:lastRenderedPageBreak/>
              <w:t xml:space="preserve">improvements and examples were sighted, such as improving the cultural and spiritual warmth of the whānau room (refer criterion 1.1.5). </w:t>
            </w:r>
          </w:p>
          <w:p w14:paraId="09DA0B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and clinical services manager understood the processes for the identification, documentation, monitoring, review, and reporting of risks, including health and safety risks, and development of mitigation strategies. A Māori health plan guides care for Māori. Staff have received education/training in relation to care of Māori, Pacific people, and tāngata whaikaha. Heritage Lifecare Limited have critically analysed practices to improve health equity within its services.</w:t>
            </w:r>
          </w:p>
          <w:p w14:paraId="0D00A4C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undertaking audits and the ability to give feedback at meetings and in surveys. Residents have meetings facilitated by an independent advocate, with the care home manager being present when requested.   Resident and whānau satisfaction surveys, last completed in 2025, showed a high level of satisfaction with the services provided with a high net performance score of 78.1 and a high degree of satisfaction in the comments.  Residents and whānau interviewed reported a very high level of satisfaction.</w:t>
            </w:r>
          </w:p>
          <w:p w14:paraId="6CBE4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forms reviewed showed these were fully completed, incidents were investigated, action plans developed, and any corrective actions followed up in a timely manner.  Residents’ incidents are documented in the key performance indicator system, and these are trended and analysed, with actions taken including repeat audit where required. </w:t>
            </w:r>
          </w:p>
          <w:p w14:paraId="5AD17C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services manager understood and have complied with essential notification reporting requirements. There have been four Section 31 notifications completed in the last 12 months, with two pressure injuries, a fall, and a change of clinical services manager. Required notification to the Health Quality &amp; Safety Commission had occurred for pressure injuries and was sighted in resident files.   </w:t>
            </w:r>
          </w:p>
          <w:p w14:paraId="31B3C89A" w14:textId="77777777" w:rsidR="00000000" w:rsidRPr="00BE00C7" w:rsidRDefault="00000000" w:rsidP="00BE00C7">
            <w:pPr>
              <w:pStyle w:val="OutcomeDescription"/>
              <w:spacing w:before="120" w:after="120"/>
              <w:rPr>
                <w:rFonts w:cs="Arial"/>
                <w:lang w:eastAsia="en-NZ"/>
              </w:rPr>
            </w:pPr>
          </w:p>
        </w:tc>
      </w:tr>
      <w:tr w:rsidR="00A101F2" w14:paraId="5CF77D4A" w14:textId="77777777">
        <w:tc>
          <w:tcPr>
            <w:tcW w:w="0" w:type="auto"/>
          </w:tcPr>
          <w:p w14:paraId="446FBA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5702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DFD9289" w14:textId="77777777" w:rsidR="00000000" w:rsidRPr="00BE00C7" w:rsidRDefault="00000000" w:rsidP="00BE00C7">
            <w:pPr>
              <w:pStyle w:val="OutcomeDescription"/>
              <w:spacing w:before="120" w:after="120"/>
              <w:rPr>
                <w:rFonts w:cs="Arial"/>
                <w:lang w:eastAsia="en-NZ"/>
              </w:rPr>
            </w:pPr>
          </w:p>
        </w:tc>
        <w:tc>
          <w:tcPr>
            <w:tcW w:w="0" w:type="auto"/>
          </w:tcPr>
          <w:p w14:paraId="63EB6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5B33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w:t>
            </w:r>
            <w:r w:rsidRPr="00BE00C7">
              <w:rPr>
                <w:rFonts w:cs="Arial"/>
                <w:lang w:eastAsia="en-NZ"/>
              </w:rPr>
              <w:lastRenderedPageBreak/>
              <w:t xml:space="preserve">care, 24 hours a day, seven days a week (24/7). The service is managed by the care home manager who has worked at Maxwell Lifecare for many years and keeps current by attending internal and relevant external meetings and receives email communications related to aged care services.  The clinical services manager is a registered nurse who commenced in May 2025 and has resigned to take a position at another Heritage Lifecare facility, and a new clinical services manager has been employed and is presently working as a senior registered nurse.  The clinical services manager is supported by a team of registered nurses who are on duty 24/7 and there is a first aid certified staff member on duty 24/7.   The care home manager and clinical services manager are on call when not on duty.  </w:t>
            </w:r>
          </w:p>
          <w:p w14:paraId="1AD52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oversees the rosters and it was evident that staffing is adjusted to meet the changing needs of residents. Care staff reported there were adequate staff to complete the work allocated to them. Residents and whānau interviewed supported this.</w:t>
            </w:r>
          </w:p>
          <w:p w14:paraId="7F5AE2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core training requirements. Related competencies are assessed and support equitable service delivery. Care staff have access to a New Zealand Qualifications Authority education programme to meet the requirements of the provider’s agreements with Te Whatu Ora.  There were nine care givers at Level 4 and three at Level 3, while four were new to the service and have signed up to commence the programme. </w:t>
            </w:r>
          </w:p>
          <w:p w14:paraId="5CA49FC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w:t>
            </w:r>
          </w:p>
          <w:p w14:paraId="3292B3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Komiti Māori provides quality Māori information including links to the Health Safety &amp; Quality Commission training videos.</w:t>
            </w:r>
          </w:p>
          <w:p w14:paraId="40F04799" w14:textId="77777777" w:rsidR="00000000" w:rsidRPr="00BE00C7" w:rsidRDefault="00000000" w:rsidP="00BE00C7">
            <w:pPr>
              <w:pStyle w:val="OutcomeDescription"/>
              <w:spacing w:before="120" w:after="120"/>
              <w:rPr>
                <w:rFonts w:cs="Arial"/>
                <w:lang w:eastAsia="en-NZ"/>
              </w:rPr>
            </w:pPr>
          </w:p>
        </w:tc>
      </w:tr>
      <w:tr w:rsidR="00A101F2" w14:paraId="0E8CE486" w14:textId="77777777">
        <w:tc>
          <w:tcPr>
            <w:tcW w:w="0" w:type="auto"/>
          </w:tcPr>
          <w:p w14:paraId="1D8E6F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C539A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5B1E88" w14:textId="77777777" w:rsidR="00000000" w:rsidRPr="00BE00C7" w:rsidRDefault="00000000" w:rsidP="00BE00C7">
            <w:pPr>
              <w:pStyle w:val="OutcomeDescription"/>
              <w:spacing w:before="120" w:after="120"/>
              <w:rPr>
                <w:rFonts w:cs="Arial"/>
                <w:lang w:eastAsia="en-NZ"/>
              </w:rPr>
            </w:pPr>
          </w:p>
        </w:tc>
        <w:tc>
          <w:tcPr>
            <w:tcW w:w="0" w:type="auto"/>
          </w:tcPr>
          <w:p w14:paraId="78AF0E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DDDF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w:t>
            </w:r>
            <w:r w:rsidRPr="00BE00C7">
              <w:rPr>
                <w:rFonts w:cs="Arial"/>
                <w:lang w:eastAsia="en-NZ"/>
              </w:rPr>
              <w:lastRenderedPageBreak/>
              <w:t>additional functions, such as holding a restraint or infection prevention and control portfolio.</w:t>
            </w:r>
          </w:p>
          <w:p w14:paraId="50C53D2B"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nine staff records was reviewed (three registered nurses, three caregivers, a cook, a volunteer, and an administrator). The records evidenced implementation of the recruitment process, including employment contracts, reference checking, police vetting, and completed induction and orientation. Staff performance is reviewed following commencement and annually thereafter; this was confirmed through documentation sighted and interviews with staff.</w:t>
            </w:r>
          </w:p>
          <w:p w14:paraId="39C8682C"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registered nurses, and associated health contractors including, general practitioners, nurse practitioners, pharmacists, podiatrists and physiotherapist.</w:t>
            </w:r>
          </w:p>
          <w:p w14:paraId="585139BF"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 to those authorised to use it.</w:t>
            </w:r>
          </w:p>
          <w:p w14:paraId="3F214574"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7A7250A6" w14:textId="77777777" w:rsidR="00000000" w:rsidRPr="00BE00C7" w:rsidRDefault="00000000" w:rsidP="00BE00C7">
            <w:pPr>
              <w:pStyle w:val="OutcomeDescription"/>
              <w:spacing w:before="120" w:after="120"/>
              <w:rPr>
                <w:rFonts w:cs="Arial"/>
                <w:lang w:eastAsia="en-NZ"/>
              </w:rPr>
            </w:pPr>
          </w:p>
        </w:tc>
      </w:tr>
      <w:tr w:rsidR="00A101F2" w14:paraId="7F23FA18" w14:textId="77777777">
        <w:tc>
          <w:tcPr>
            <w:tcW w:w="0" w:type="auto"/>
          </w:tcPr>
          <w:p w14:paraId="4E2791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F0C0E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C8DC796" w14:textId="77777777" w:rsidR="00000000" w:rsidRPr="00BE00C7" w:rsidRDefault="00000000" w:rsidP="00BE00C7">
            <w:pPr>
              <w:pStyle w:val="OutcomeDescription"/>
              <w:spacing w:before="120" w:after="120"/>
              <w:rPr>
                <w:rFonts w:cs="Arial"/>
                <w:lang w:eastAsia="en-NZ"/>
              </w:rPr>
            </w:pPr>
          </w:p>
        </w:tc>
        <w:tc>
          <w:tcPr>
            <w:tcW w:w="0" w:type="auto"/>
          </w:tcPr>
          <w:p w14:paraId="162EAB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891B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is password-protected. Any paper-based records are held securely and available only to authorised users.</w:t>
            </w:r>
          </w:p>
          <w:p w14:paraId="01F84F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are integrated electronic and hard-copy documents.  Files for residents and staff are held securely for the required period before being destroyed. No personal or private resident information was on public display during the audit.</w:t>
            </w:r>
          </w:p>
          <w:p w14:paraId="2E00B28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were sighted for data collection. Data collected includes ethnicity data.</w:t>
            </w:r>
          </w:p>
          <w:p w14:paraId="6BCDC3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Maxwell Lifecare is not responsible for National Health Index registration of people receiving services.</w:t>
            </w:r>
          </w:p>
          <w:p w14:paraId="4FD024E3" w14:textId="77777777" w:rsidR="00000000" w:rsidRPr="00BE00C7" w:rsidRDefault="00000000" w:rsidP="00BE00C7">
            <w:pPr>
              <w:pStyle w:val="OutcomeDescription"/>
              <w:spacing w:before="120" w:after="120"/>
              <w:rPr>
                <w:rFonts w:cs="Arial"/>
                <w:lang w:eastAsia="en-NZ"/>
              </w:rPr>
            </w:pPr>
          </w:p>
        </w:tc>
      </w:tr>
      <w:tr w:rsidR="00A101F2" w14:paraId="43CE600D" w14:textId="77777777">
        <w:tc>
          <w:tcPr>
            <w:tcW w:w="0" w:type="auto"/>
          </w:tcPr>
          <w:p w14:paraId="223E5E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DBE66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C7E3BF5" w14:textId="77777777" w:rsidR="00000000" w:rsidRPr="00BE00C7" w:rsidRDefault="00000000" w:rsidP="00BE00C7">
            <w:pPr>
              <w:pStyle w:val="OutcomeDescription"/>
              <w:spacing w:before="120" w:after="120"/>
              <w:rPr>
                <w:rFonts w:cs="Arial"/>
                <w:lang w:eastAsia="en-NZ"/>
              </w:rPr>
            </w:pPr>
          </w:p>
        </w:tc>
        <w:tc>
          <w:tcPr>
            <w:tcW w:w="0" w:type="auto"/>
          </w:tcPr>
          <w:p w14:paraId="31CED4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BC5D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welcomed into Maxwell Lifecare when their required level of care has been assessed and confirmed by the local Needs Assessment and Service Coordination (NASC) agency. Files reviewed met contractual requirements.  Patients enter the service based on documented entry criteria available to the community and understood by staff.  The entry process meets the needs of residents.  A comprehensive welcome pack is provided to all residents on admission, containing information about all facility entry processes, services, and expectations. Whānau interviewed were satisfied with the admission process and the information that had been made available to them on admission.  </w:t>
            </w:r>
          </w:p>
          <w:p w14:paraId="636AD0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clear and documented processes are in place for communicating the decision in a timely manner. Related data is documented and analysed, including decline rates for Māori. </w:t>
            </w:r>
          </w:p>
          <w:p w14:paraId="13D3E5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relationships with the Māori health advisor at the local district hospital to support Māori and their whānau when entering the service; refer also criterion 1.1.5.</w:t>
            </w:r>
          </w:p>
          <w:p w14:paraId="431CD2C3" w14:textId="77777777" w:rsidR="00000000" w:rsidRPr="00BE00C7" w:rsidRDefault="00000000" w:rsidP="00BE00C7">
            <w:pPr>
              <w:pStyle w:val="OutcomeDescription"/>
              <w:spacing w:before="120" w:after="120"/>
              <w:rPr>
                <w:rFonts w:cs="Arial"/>
                <w:lang w:eastAsia="en-NZ"/>
              </w:rPr>
            </w:pPr>
          </w:p>
        </w:tc>
      </w:tr>
      <w:tr w:rsidR="00A101F2" w14:paraId="7787F3DA" w14:textId="77777777">
        <w:tc>
          <w:tcPr>
            <w:tcW w:w="0" w:type="auto"/>
          </w:tcPr>
          <w:p w14:paraId="5F47AB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B7A64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711421" w14:textId="77777777" w:rsidR="00000000" w:rsidRPr="00BE00C7" w:rsidRDefault="00000000" w:rsidP="00BE00C7">
            <w:pPr>
              <w:pStyle w:val="OutcomeDescription"/>
              <w:spacing w:before="120" w:after="120"/>
              <w:rPr>
                <w:rFonts w:cs="Arial"/>
                <w:lang w:eastAsia="en-NZ"/>
              </w:rPr>
            </w:pPr>
          </w:p>
        </w:tc>
        <w:tc>
          <w:tcPr>
            <w:tcW w:w="0" w:type="auto"/>
          </w:tcPr>
          <w:p w14:paraId="6A1DD6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B54C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and optimise quality of life.  Five resident files were reviewed, all receiving hospital-level care. Files included residents receiving care under the ARRC contract and a younger person with a physical disability funded by Disability Support Services. No residents were receiving rest home-level care at the time of audit. The files included residents who identified as Māori and Pacific, residents with a pressure injury, residents with diabetes, residents with compromised mobility, residents recently transferred to an acute facility, and residents with several co-morbidities.</w:t>
            </w:r>
          </w:p>
          <w:p w14:paraId="675347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files verified that a care plan, based on the provider’s model of care, was developed by a registered nurse following a comprehensive </w:t>
            </w:r>
            <w:r w:rsidRPr="00BE00C7">
              <w:rPr>
                <w:rFonts w:cs="Arial"/>
                <w:lang w:eastAsia="en-NZ"/>
              </w:rPr>
              <w:lastRenderedPageBreak/>
              <w:t xml:space="preserve">assessment, including consideration of the person’s lived experience, cultural needs, values, beliefs and preferences, and which considered wider service integration, where required.  Care planning for a Māori resident and a Pacific resident demonstrated culturally sensitive interventions, goals, aspirations, activities, and evaluation. Early warning signs and risks, with a focus on prevention or escalation for appropriate interventions, are recorded. </w:t>
            </w:r>
          </w:p>
          <w:p w14:paraId="00F0AB70"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comprehensive range of clinical assessments and included resident and whānau input as applicable.  Timeframes for the initial assessment, medical or nurse practitioner assessment, initial care plan, long-term care plan, and scheduled review timeframes met contractual and policy requirements.  All care plans reviewed were well written and personalised, and contained clear goals, interventions, and evaluations. Staff demonstrated understanding of how to support Māori and whānau to identify their own pae ora outcomes within the care planning process. This was verified through sampling of resident records and interviews with clinical staff, residents, and whānau.</w:t>
            </w:r>
          </w:p>
          <w:p w14:paraId="2BED8C0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5321C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 tāngata whaikaha, and whānau.  Tāngata whaikaha and whānau can independently access information.  A younger person with a physical disability interviewed was very complimentary about the care received at Maxwell Lifecare. </w:t>
            </w:r>
          </w:p>
          <w:p w14:paraId="51B7E070"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practitioner was interviewed and stated that nurses had the required skills and knowledge and the standard of care was improving as new registered nurses had settled into their role.</w:t>
            </w:r>
          </w:p>
          <w:p w14:paraId="654DDF9A" w14:textId="77777777" w:rsidR="00000000" w:rsidRPr="00BE00C7" w:rsidRDefault="00000000" w:rsidP="00387D8E">
            <w:pPr>
              <w:pStyle w:val="OutcomeDescription"/>
              <w:spacing w:before="120" w:after="120"/>
              <w:rPr>
                <w:rFonts w:cs="Arial"/>
                <w:lang w:eastAsia="en-NZ"/>
              </w:rPr>
            </w:pPr>
          </w:p>
        </w:tc>
      </w:tr>
      <w:tr w:rsidR="00A101F2" w14:paraId="7C1CAB4F" w14:textId="77777777">
        <w:tc>
          <w:tcPr>
            <w:tcW w:w="0" w:type="auto"/>
          </w:tcPr>
          <w:p w14:paraId="35A2FB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892F5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8D8AFB6" w14:textId="77777777" w:rsidR="00000000" w:rsidRPr="00BE00C7" w:rsidRDefault="00000000" w:rsidP="00BE00C7">
            <w:pPr>
              <w:pStyle w:val="OutcomeDescription"/>
              <w:spacing w:before="120" w:after="120"/>
              <w:rPr>
                <w:rFonts w:cs="Arial"/>
                <w:lang w:eastAsia="en-NZ"/>
              </w:rPr>
            </w:pPr>
          </w:p>
        </w:tc>
        <w:tc>
          <w:tcPr>
            <w:tcW w:w="0" w:type="auto"/>
          </w:tcPr>
          <w:p w14:paraId="3BD9A9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5482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at Maxwell Lifecare supported residents to maintain and develop their interests and was appropriate to their age, abilities, and stage of life. The programme was led by an activities coordinator and is supported by the care home manager, who is a qualified diversional therapist.  They demonstrated strong engagement with residents and effective programme planning. The activities programme was comprehensive and varied, including group and one-to-one activities, spiritual activities such as church services, and a range of indoor and outdoor recreation including walking groups and gardening. The service also facilitated te ao Māori and other cultural activities, including participation in Māori Language Week, and celebrating Matariki and Waitangi Day. </w:t>
            </w:r>
          </w:p>
          <w:p w14:paraId="4D1D79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individual plans clearly identified residents’ personal interests and considered their identity, preferences, and ordinary patterns of life. One-to-one sessions were available for residents who were less socially inclined or who preferred individual engagement. Both individual and group activities reflected residents’ goals and interests and supported participation in normal community life. Staff discussed opportunities for Māori and whānau to participate in te ao Māori, and community initiatives are responsive to the needs of Māori. </w:t>
            </w:r>
          </w:p>
          <w:p w14:paraId="7ECDE9A5"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activities programme is regularly sought through resident feedback mechanisms and residents’ meetings. Residents were observed to have a positive rapport with the activities coordinator and reported feeling comfortable sharing their views openly. Those interviewed confirmed that the activities programme met their needs.</w:t>
            </w:r>
          </w:p>
          <w:p w14:paraId="3C8958B3" w14:textId="77777777" w:rsidR="00000000" w:rsidRPr="00BE00C7" w:rsidRDefault="00000000" w:rsidP="00BE00C7">
            <w:pPr>
              <w:pStyle w:val="OutcomeDescription"/>
              <w:spacing w:before="120" w:after="120"/>
              <w:rPr>
                <w:rFonts w:cs="Arial"/>
                <w:lang w:eastAsia="en-NZ"/>
              </w:rPr>
            </w:pPr>
          </w:p>
        </w:tc>
      </w:tr>
      <w:tr w:rsidR="00A101F2" w14:paraId="0E529766" w14:textId="77777777">
        <w:tc>
          <w:tcPr>
            <w:tcW w:w="0" w:type="auto"/>
          </w:tcPr>
          <w:p w14:paraId="72E4DF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1537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0A26D574" w14:textId="77777777" w:rsidR="00000000" w:rsidRPr="00BE00C7" w:rsidRDefault="00000000" w:rsidP="00BE00C7">
            <w:pPr>
              <w:pStyle w:val="OutcomeDescription"/>
              <w:spacing w:before="120" w:after="120"/>
              <w:rPr>
                <w:rFonts w:cs="Arial"/>
                <w:lang w:eastAsia="en-NZ"/>
              </w:rPr>
            </w:pPr>
          </w:p>
        </w:tc>
        <w:tc>
          <w:tcPr>
            <w:tcW w:w="0" w:type="auto"/>
          </w:tcPr>
          <w:p w14:paraId="0ED773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7882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up to date and aligned with the Medicines Care Guide for Residential Aged Care and current best practice. A safe system for medicine management, utilising an electronic medication management system, was observed on the day of audit. All staff who administer medicines were appropriately trained, assessed as competent, and authorised to perform this function.</w:t>
            </w:r>
          </w:p>
          <w:p w14:paraId="7C2E5F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reconciliation processes were evident and consistently applied. All medicines sighted during the audit were within current use-by dates.</w:t>
            </w:r>
          </w:p>
          <w:p w14:paraId="1A0F246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including controlled drugs, were stored securely in accordance with regulatory and policy requirements. Required stock checks had been completed as scheduled, and medicines were stored within the recommended temperature range, with monitoring records available.</w:t>
            </w:r>
          </w:p>
          <w:p w14:paraId="51F339A3"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clearly documented, and any adverse events were responded to appropriately and in a timely manner. Over-the-counter medications and supplements were considered and documented by the prescriber as part of each resident’s overall medication regimen. The required three-monthly medical or nurse practitioner medication review was consistently recorded on the medicine chart. Standing orders are not used at Maxwell Lifecare.</w:t>
            </w:r>
          </w:p>
          <w:p w14:paraId="7AF6F5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medications at the time of audit. This was discussed with the clinical services manager, who described appropriate processes for this to be safely facilitated when required.  </w:t>
            </w:r>
          </w:p>
          <w:p w14:paraId="6F47A13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 with education provided by clinical staff as required.</w:t>
            </w:r>
          </w:p>
          <w:p w14:paraId="2A0148CD" w14:textId="77777777" w:rsidR="00000000" w:rsidRPr="00BE00C7" w:rsidRDefault="00000000" w:rsidP="00BE00C7">
            <w:pPr>
              <w:pStyle w:val="OutcomeDescription"/>
              <w:spacing w:before="120" w:after="120"/>
              <w:rPr>
                <w:rFonts w:cs="Arial"/>
                <w:lang w:eastAsia="en-NZ"/>
              </w:rPr>
            </w:pPr>
          </w:p>
        </w:tc>
      </w:tr>
      <w:tr w:rsidR="00A101F2" w14:paraId="10D80ABA" w14:textId="77777777">
        <w:tc>
          <w:tcPr>
            <w:tcW w:w="0" w:type="auto"/>
          </w:tcPr>
          <w:p w14:paraId="1186DD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DD924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5F60AD" w14:textId="77777777" w:rsidR="00000000" w:rsidRPr="00BE00C7" w:rsidRDefault="00000000" w:rsidP="00BE00C7">
            <w:pPr>
              <w:pStyle w:val="OutcomeDescription"/>
              <w:spacing w:before="120" w:after="120"/>
              <w:rPr>
                <w:rFonts w:cs="Arial"/>
                <w:lang w:eastAsia="en-NZ"/>
              </w:rPr>
            </w:pPr>
          </w:p>
        </w:tc>
        <w:tc>
          <w:tcPr>
            <w:tcW w:w="0" w:type="auto"/>
          </w:tcPr>
          <w:p w14:paraId="7C0C90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0526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was aligned with recognised nutritional guidelines for people receiving aged residential care. The menu had been reviewed by a qualified dietitian within the last two years, and documentation confirmed that recommendations from this review had been implemented.</w:t>
            </w:r>
          </w:p>
          <w:p w14:paraId="259F460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complied with current legislation and best-practice guidelines. The service operates under an approved food safety plan and registration with an expiry date of 11 June 2026, with evidence of ongoing monitoring and compliance.</w:t>
            </w:r>
          </w:p>
          <w:p w14:paraId="6A4DBF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Each resident received a comprehensive nutritional assessment on admission. Personal food preferences, special dietary requirements, intolerances or allergies and modified texture needs were identified and accommodated within the daily meal plan. Māori residents and their whānau have access to menu options that reflect te ao Māori, and individual cultural food preferences can be catered for as required.</w:t>
            </w:r>
          </w:p>
          <w:p w14:paraId="43C9A5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 had opportunities to be involved in the preparation of food where appropriate to the service as part of the activities programme and with the help of the chef. </w:t>
            </w:r>
          </w:p>
          <w:p w14:paraId="29DDBE6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whānau interviews, satisfaction survey results, and residents’ meeting minutes. Residents interviewed stated that the food was good and that they were generally happy with meals. Whānau members also confirmed satisfaction. Residents were observed to be given sufficient time to eat their meals in an unhurried manner, and those requiring assistance received this support respectfully and with dignity.</w:t>
            </w:r>
          </w:p>
          <w:p w14:paraId="3ADECFD6" w14:textId="77777777" w:rsidR="00000000" w:rsidRPr="00BE00C7" w:rsidRDefault="00000000" w:rsidP="00BE00C7">
            <w:pPr>
              <w:pStyle w:val="OutcomeDescription"/>
              <w:spacing w:before="120" w:after="120"/>
              <w:rPr>
                <w:rFonts w:cs="Arial"/>
                <w:lang w:eastAsia="en-NZ"/>
              </w:rPr>
            </w:pPr>
          </w:p>
        </w:tc>
      </w:tr>
      <w:tr w:rsidR="00A101F2" w14:paraId="5466D7B5" w14:textId="77777777">
        <w:tc>
          <w:tcPr>
            <w:tcW w:w="0" w:type="auto"/>
          </w:tcPr>
          <w:p w14:paraId="4B204E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15FF3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1A36C7" w14:textId="77777777" w:rsidR="00000000" w:rsidRPr="00BE00C7" w:rsidRDefault="00000000" w:rsidP="00BE00C7">
            <w:pPr>
              <w:pStyle w:val="OutcomeDescription"/>
              <w:spacing w:before="120" w:after="120"/>
              <w:rPr>
                <w:rFonts w:cs="Arial"/>
                <w:lang w:eastAsia="en-NZ"/>
              </w:rPr>
            </w:pPr>
          </w:p>
        </w:tc>
        <w:tc>
          <w:tcPr>
            <w:tcW w:w="0" w:type="auto"/>
          </w:tcPr>
          <w:p w14:paraId="0DB448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06EBD"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Maxwell Lifecare was planned and managed safely, with clear coordination between services and in collaboration with the resident and their whānau. Risks and current support needs were identified, documented, and actively managed throughout the process. Where appropriate, options to access other health and disability services, as well as relevant social and cultural supports, were discussed with residents and whānau to support informed decision-making and continuity of care.</w:t>
            </w:r>
          </w:p>
          <w:p w14:paraId="20B52BDE"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interviewed reported that they were kept well informed during the transfer of their relative. Documentation reviewed demonstrated comprehensive assessment and planning for district hospital transfers, and a clearly defined process was in place to support effective communication, clinical handover, and safe transitions between services.</w:t>
            </w:r>
          </w:p>
          <w:p w14:paraId="6160AA01" w14:textId="77777777" w:rsidR="00000000" w:rsidRPr="00BE00C7" w:rsidRDefault="00000000" w:rsidP="00BE00C7">
            <w:pPr>
              <w:pStyle w:val="OutcomeDescription"/>
              <w:spacing w:before="120" w:after="120"/>
              <w:rPr>
                <w:rFonts w:cs="Arial"/>
                <w:lang w:eastAsia="en-NZ"/>
              </w:rPr>
            </w:pPr>
          </w:p>
        </w:tc>
      </w:tr>
      <w:tr w:rsidR="00A101F2" w14:paraId="4DA502B5" w14:textId="77777777">
        <w:tc>
          <w:tcPr>
            <w:tcW w:w="0" w:type="auto"/>
          </w:tcPr>
          <w:p w14:paraId="086E11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01A022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75190CF" w14:textId="77777777" w:rsidR="00000000" w:rsidRPr="00BE00C7" w:rsidRDefault="00000000" w:rsidP="00BE00C7">
            <w:pPr>
              <w:pStyle w:val="OutcomeDescription"/>
              <w:spacing w:before="120" w:after="120"/>
              <w:rPr>
                <w:rFonts w:cs="Arial"/>
                <w:lang w:eastAsia="en-NZ"/>
              </w:rPr>
            </w:pPr>
          </w:p>
        </w:tc>
        <w:tc>
          <w:tcPr>
            <w:tcW w:w="0" w:type="auto"/>
          </w:tcPr>
          <w:p w14:paraId="0F2D3A0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518FCD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equipment. However, the dirty sluice room was not fit for purpose.  Monthly hot water tests were completed for resident areas; these were sighted and were all within normal limits.</w:t>
            </w:r>
          </w:p>
          <w:p w14:paraId="3AA857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which expires in July 2026.  There were currently no plans for further building projects requiring consultation, but Heritage Lifecare directors were aware of the requirement to consult with Māori if this was envisaged.</w:t>
            </w:r>
          </w:p>
          <w:p w14:paraId="673AB7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throughout the facility, including for staff and visitors. All rooms, bathrooms and common areas have appropriately situated call bells. There are external areas within the facility for leisure activities with appropriate seating and shade.</w:t>
            </w:r>
          </w:p>
          <w:p w14:paraId="52A8A65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were of an adequate size, which allowed room for the use of mobility aids and moving and handling equipment if required. Rooms are personalised according to the resident’s preference. All rooms have a window allowing for natural light with safety catches for security. Electric heating is provided in the facility, which can be adjusted depending on seasonality and outside temperature.</w:t>
            </w:r>
          </w:p>
          <w:p w14:paraId="2B01D35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00155686" w14:textId="77777777" w:rsidR="00000000" w:rsidRPr="00BE00C7" w:rsidRDefault="00000000" w:rsidP="00BE00C7">
            <w:pPr>
              <w:pStyle w:val="OutcomeDescription"/>
              <w:spacing w:before="120" w:after="120"/>
              <w:rPr>
                <w:rFonts w:cs="Arial"/>
                <w:lang w:eastAsia="en-NZ"/>
              </w:rPr>
            </w:pPr>
          </w:p>
        </w:tc>
      </w:tr>
      <w:tr w:rsidR="00A101F2" w14:paraId="48B853D8" w14:textId="77777777">
        <w:tc>
          <w:tcPr>
            <w:tcW w:w="0" w:type="auto"/>
          </w:tcPr>
          <w:p w14:paraId="4E65C4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22F0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4825985" w14:textId="77777777" w:rsidR="00000000" w:rsidRPr="00BE00C7" w:rsidRDefault="00000000" w:rsidP="00BE00C7">
            <w:pPr>
              <w:pStyle w:val="OutcomeDescription"/>
              <w:spacing w:before="120" w:after="120"/>
              <w:rPr>
                <w:rFonts w:cs="Arial"/>
                <w:lang w:eastAsia="en-NZ"/>
              </w:rPr>
            </w:pPr>
          </w:p>
        </w:tc>
        <w:tc>
          <w:tcPr>
            <w:tcW w:w="0" w:type="auto"/>
          </w:tcPr>
          <w:p w14:paraId="37B102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B907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and disaster management plans and policies direct the facility in its preparation for these events and described the procedures to be followed. Staff have been trained and knew what to do in an emergency. All registered nurses and some care givers have current first aid certification. There is a first aid certified staff member on duty 24/7 and the maintenance person and activities coordinator, who takes residents on outings outside the facility, have first aid certification. Information on emergency and security arrangements is provided to residents and their whānau on entry to the service. All staff were noted to be wearing uniforms and name badges during the audit.  Emergency flip charts and evacuation plans were sighted in all areas. </w:t>
            </w:r>
          </w:p>
          <w:p w14:paraId="0157B8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fire evacuation plan was approved by the New Zealand Fire Service on 19 January 2011 and the requirements of this are reflected in the Fire and Emergency Management Scheme. A fire evacuation drill is held six-monthly; the most recent drill was in September 2025. All staff have attended an evacuation drill in the last year.  Adequate supplies for use in the event of a civil defence emergency meet the National Emergency Management Agency recommendations for the region. A petrol generator maintains essential energy, and utility resources are available should the main supplies fail.</w:t>
            </w:r>
          </w:p>
          <w:p w14:paraId="1D428533"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 Appropriate security arrangements are in place. Staff reported that they feel safe in the facility.</w:t>
            </w:r>
          </w:p>
          <w:p w14:paraId="1BFCB4FF" w14:textId="77777777" w:rsidR="00000000" w:rsidRPr="00BE00C7" w:rsidRDefault="00000000" w:rsidP="00BE00C7">
            <w:pPr>
              <w:pStyle w:val="OutcomeDescription"/>
              <w:spacing w:before="120" w:after="120"/>
              <w:rPr>
                <w:rFonts w:cs="Arial"/>
                <w:lang w:eastAsia="en-NZ"/>
              </w:rPr>
            </w:pPr>
          </w:p>
        </w:tc>
      </w:tr>
      <w:tr w:rsidR="00A101F2" w14:paraId="61332D21" w14:textId="77777777">
        <w:tc>
          <w:tcPr>
            <w:tcW w:w="0" w:type="auto"/>
          </w:tcPr>
          <w:p w14:paraId="627566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CE2EF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3903D19D" w14:textId="77777777" w:rsidR="00000000" w:rsidRPr="00BE00C7" w:rsidRDefault="00000000" w:rsidP="00BE00C7">
            <w:pPr>
              <w:pStyle w:val="OutcomeDescription"/>
              <w:spacing w:before="120" w:after="120"/>
              <w:rPr>
                <w:rFonts w:cs="Arial"/>
                <w:lang w:eastAsia="en-NZ"/>
              </w:rPr>
            </w:pPr>
          </w:p>
        </w:tc>
        <w:tc>
          <w:tcPr>
            <w:tcW w:w="0" w:type="auto"/>
          </w:tcPr>
          <w:p w14:paraId="628D50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44B8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015F10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w:t>
            </w:r>
            <w:r w:rsidRPr="00BE00C7">
              <w:rPr>
                <w:rFonts w:cs="Arial"/>
                <w:lang w:eastAsia="en-NZ"/>
              </w:rPr>
              <w:lastRenderedPageBreak/>
              <w:t xml:space="preserve">being appropriately handled at facility level and to support facilities as required. </w:t>
            </w:r>
          </w:p>
          <w:p w14:paraId="370BD6DB"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risk-based reporting of progress, issues and significant events to the governing body. Clinical specialists can access IP and AMS expertise through Te Whatu Ora. Infection prevention and AMS information is discussed at facility level, and at clinical governance meetings, and is reported to the board at board meetings. Infection prevention and control information presented to the board includes ethnicity data.</w:t>
            </w:r>
          </w:p>
          <w:p w14:paraId="5C3E6846" w14:textId="77777777" w:rsidR="00000000" w:rsidRPr="00BE00C7" w:rsidRDefault="00000000" w:rsidP="00BE00C7">
            <w:pPr>
              <w:pStyle w:val="OutcomeDescription"/>
              <w:spacing w:before="120" w:after="120"/>
              <w:rPr>
                <w:rFonts w:cs="Arial"/>
                <w:lang w:eastAsia="en-NZ"/>
              </w:rPr>
            </w:pPr>
          </w:p>
        </w:tc>
      </w:tr>
      <w:tr w:rsidR="00A101F2" w14:paraId="31CFAF56" w14:textId="77777777">
        <w:tc>
          <w:tcPr>
            <w:tcW w:w="0" w:type="auto"/>
          </w:tcPr>
          <w:p w14:paraId="035733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36B90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09FB576" w14:textId="77777777" w:rsidR="00000000" w:rsidRPr="00BE00C7" w:rsidRDefault="00000000" w:rsidP="00BE00C7">
            <w:pPr>
              <w:pStyle w:val="OutcomeDescription"/>
              <w:spacing w:before="120" w:after="120"/>
              <w:rPr>
                <w:rFonts w:cs="Arial"/>
                <w:lang w:eastAsia="en-NZ"/>
              </w:rPr>
            </w:pPr>
          </w:p>
        </w:tc>
        <w:tc>
          <w:tcPr>
            <w:tcW w:w="0" w:type="auto"/>
          </w:tcPr>
          <w:p w14:paraId="5A013C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72ED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Heritage Lifecare governing body. Annual review of the programme last occurred in December 2025 and reporting to governance had occurred.</w:t>
            </w:r>
          </w:p>
          <w:p w14:paraId="601102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a registered nurse and is responsible for overseeing and implementing the IP programme with reporting lines to the clinical services manager and care home manager and to the Heritage Lifecare regional health care advisor, who is the national IP lead. The IPCC has appropriate skills, knowledge and qualifications for the role and confirmed access to the necessary resources and support. Their advice, and/or the advice of the Heritage Lifecare national IP lead, has been sought when making decisions around procurement relevant to care delivery, design of any new building or facility changes, and policies. </w:t>
            </w:r>
          </w:p>
          <w:p w14:paraId="079BFFF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 through the Komiti Māori and staff.</w:t>
            </w:r>
          </w:p>
          <w:p w14:paraId="06B877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their whānau are educated about infection prevention in a manner that meets their needs. Educational resources are available in te reo Māori. </w:t>
            </w:r>
          </w:p>
          <w:p w14:paraId="6DC029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7FF58FA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0A95D9C2" w14:textId="77777777" w:rsidR="00000000" w:rsidRPr="00BE00C7" w:rsidRDefault="00000000" w:rsidP="00BE00C7">
            <w:pPr>
              <w:pStyle w:val="OutcomeDescription"/>
              <w:spacing w:before="120" w:after="120"/>
              <w:rPr>
                <w:rFonts w:cs="Arial"/>
                <w:lang w:eastAsia="en-NZ"/>
              </w:rPr>
            </w:pPr>
          </w:p>
        </w:tc>
      </w:tr>
      <w:tr w:rsidR="00A101F2" w14:paraId="39E140E3" w14:textId="77777777">
        <w:tc>
          <w:tcPr>
            <w:tcW w:w="0" w:type="auto"/>
          </w:tcPr>
          <w:p w14:paraId="078631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17D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87B1985" w14:textId="77777777" w:rsidR="00000000" w:rsidRPr="00BE00C7" w:rsidRDefault="00000000" w:rsidP="00BE00C7">
            <w:pPr>
              <w:pStyle w:val="OutcomeDescription"/>
              <w:spacing w:before="120" w:after="120"/>
              <w:rPr>
                <w:rFonts w:cs="Arial"/>
                <w:lang w:eastAsia="en-NZ"/>
              </w:rPr>
            </w:pPr>
          </w:p>
        </w:tc>
        <w:tc>
          <w:tcPr>
            <w:tcW w:w="0" w:type="auto"/>
          </w:tcPr>
          <w:p w14:paraId="158ED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D8AF73"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was actively promoted at Maxwell Lifecare. The antimicrobial stewardship (AMS) programme was appropriate for the size and complexity of the service and was supported by current policies and procedures. The effectiveness of the AMS programme was evaluated through regular monitoring of antimicrobial use, with identification of trends and opportunities for improvement.</w:t>
            </w:r>
          </w:p>
          <w:p w14:paraId="6DCF94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and the resident nurse practitioner were interviewed during the audit and both confirmed that they work collaboratively to minimise unnecessary antibiotic use in older persons. They described a shared approach whereby antibiotics were generally prescribed only when a culture had been sent to the laboratory and/or the resident was clearly symptomatic, in line with best-practice AMS principles.</w:t>
            </w:r>
          </w:p>
          <w:p w14:paraId="4F70EA81" w14:textId="77777777" w:rsidR="00000000" w:rsidRPr="00BE00C7" w:rsidRDefault="00000000" w:rsidP="00BE00C7">
            <w:pPr>
              <w:pStyle w:val="OutcomeDescription"/>
              <w:spacing w:before="120" w:after="120"/>
              <w:rPr>
                <w:rFonts w:cs="Arial"/>
                <w:lang w:eastAsia="en-NZ"/>
              </w:rPr>
            </w:pPr>
          </w:p>
        </w:tc>
      </w:tr>
      <w:tr w:rsidR="00A101F2" w14:paraId="1A2E8342" w14:textId="77777777">
        <w:tc>
          <w:tcPr>
            <w:tcW w:w="0" w:type="auto"/>
          </w:tcPr>
          <w:p w14:paraId="11831F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E4E0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425F7AEA" w14:textId="77777777" w:rsidR="00000000" w:rsidRPr="00BE00C7" w:rsidRDefault="00000000" w:rsidP="00BE00C7">
            <w:pPr>
              <w:pStyle w:val="OutcomeDescription"/>
              <w:spacing w:before="120" w:after="120"/>
              <w:rPr>
                <w:rFonts w:cs="Arial"/>
                <w:lang w:eastAsia="en-NZ"/>
              </w:rPr>
            </w:pPr>
          </w:p>
        </w:tc>
        <w:tc>
          <w:tcPr>
            <w:tcW w:w="0" w:type="auto"/>
          </w:tcPr>
          <w:p w14:paraId="63FB35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3AA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aged care services offered and is in line with risks and priorities defined in the infection prevention programme. </w:t>
            </w:r>
          </w:p>
          <w:p w14:paraId="61692B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methods, tools, documentation, analysis, and assignment of responsibilities were described within the IPC framework and aligned with standardised surveillance definitions. Surveillance processes include the routine capture of resident ethnicity data. Monthly </w:t>
            </w:r>
            <w:r w:rsidRPr="00BE00C7">
              <w:rPr>
                <w:rFonts w:cs="Arial"/>
                <w:lang w:eastAsia="en-NZ"/>
              </w:rPr>
              <w:lastRenderedPageBreak/>
              <w:t xml:space="preserve">surveillance data was collated and analysed to identify any trends, possible causative factors, and required actions. Results of the surveillance programme are shared with staff and reported to the national IP lead and Heritage Lifecare governing body.  </w:t>
            </w:r>
          </w:p>
          <w:p w14:paraId="1AAA9F90"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1EB829F6" w14:textId="77777777" w:rsidR="00000000" w:rsidRPr="00BE00C7" w:rsidRDefault="00000000" w:rsidP="00BE00C7">
            <w:pPr>
              <w:pStyle w:val="OutcomeDescription"/>
              <w:spacing w:before="120" w:after="120"/>
              <w:rPr>
                <w:rFonts w:cs="Arial"/>
                <w:lang w:eastAsia="en-NZ"/>
              </w:rPr>
            </w:pPr>
          </w:p>
        </w:tc>
      </w:tr>
      <w:tr w:rsidR="00A101F2" w14:paraId="0D4416B9" w14:textId="77777777">
        <w:tc>
          <w:tcPr>
            <w:tcW w:w="0" w:type="auto"/>
          </w:tcPr>
          <w:p w14:paraId="056E39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0B395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48A5D1D" w14:textId="77777777" w:rsidR="00000000" w:rsidRPr="00BE00C7" w:rsidRDefault="00000000" w:rsidP="00BE00C7">
            <w:pPr>
              <w:pStyle w:val="OutcomeDescription"/>
              <w:spacing w:before="120" w:after="120"/>
              <w:rPr>
                <w:rFonts w:cs="Arial"/>
                <w:lang w:eastAsia="en-NZ"/>
              </w:rPr>
            </w:pPr>
          </w:p>
        </w:tc>
        <w:tc>
          <w:tcPr>
            <w:tcW w:w="0" w:type="auto"/>
          </w:tcPr>
          <w:p w14:paraId="3B2303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3D5619"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hygienic, and well-maintained environment supported the prevention of infection and mitigation of transmission of antimicrobial-resistant organisms. The facility presented was clean, tidy, and homely throughout the audit, and created a comfortable and welcoming living environment for residents. It was noted the sluice room required attention; surfaces were damaged and could not be cleaned to a satisfactory infection prevention standard; refer criterion 4.1.1.</w:t>
            </w:r>
          </w:p>
          <w:p w14:paraId="511CC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consistently followed documented policies and processes for cleaning, laundry and the management of waste and infectious and hazardous substances. </w:t>
            </w:r>
          </w:p>
          <w:p w14:paraId="595FB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facility, while small, is functional with clearly defined clean and dirty zones. Staff demonstrated an understanding of correct laundry techniques, including the safe handling, segregation, and processing of soiled and infectious linen, as well as cultural requirements relating to laundry practices. </w:t>
            </w:r>
          </w:p>
          <w:p w14:paraId="485EA6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Chemicals were stored safely and in line with policy. Hazardous substances were securely stored and locked away in accordance with safety requirements. </w:t>
            </w:r>
          </w:p>
          <w:p w14:paraId="72245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Laundry and cleaning processes were regularly monitored for effectiveness, with recent audits completed on cleaning, laundry, and kitchen practices. The IPCC had oversight of the environmental testing and monitoring programme. Staff involved in cleaning and laundry duties had completed relevant training and were observed to carry out their roles safely and appropriately. </w:t>
            </w:r>
          </w:p>
          <w:p w14:paraId="77C9A4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whānau reported that the laundry was managed well and that the facility was kept clean and tidy. These observations were confirmed by the audit team during site inspection.</w:t>
            </w:r>
          </w:p>
          <w:p w14:paraId="0DBFAC5D" w14:textId="77777777" w:rsidR="00000000" w:rsidRPr="00BE00C7" w:rsidRDefault="00000000" w:rsidP="00BE00C7">
            <w:pPr>
              <w:pStyle w:val="OutcomeDescription"/>
              <w:spacing w:before="120" w:after="120"/>
              <w:rPr>
                <w:rFonts w:cs="Arial"/>
                <w:lang w:eastAsia="en-NZ"/>
              </w:rPr>
            </w:pPr>
          </w:p>
        </w:tc>
      </w:tr>
      <w:tr w:rsidR="00A101F2" w14:paraId="772B139D" w14:textId="77777777">
        <w:tc>
          <w:tcPr>
            <w:tcW w:w="0" w:type="auto"/>
          </w:tcPr>
          <w:p w14:paraId="08286D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20767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12B78CB" w14:textId="77777777" w:rsidR="00000000" w:rsidRPr="00BE00C7" w:rsidRDefault="00000000" w:rsidP="00BE00C7">
            <w:pPr>
              <w:pStyle w:val="OutcomeDescription"/>
              <w:spacing w:before="120" w:after="120"/>
              <w:rPr>
                <w:rFonts w:cs="Arial"/>
                <w:lang w:eastAsia="en-NZ"/>
              </w:rPr>
            </w:pPr>
          </w:p>
        </w:tc>
        <w:tc>
          <w:tcPr>
            <w:tcW w:w="0" w:type="auto"/>
          </w:tcPr>
          <w:p w14:paraId="3BC5E1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624EB3"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has a philosophy of maintaining a restraint-free environment in its facilities.  The governance group demonstrated commitment to this through documented policy and regular reporting requirements. The clinical advisory group (CAG) monitors the use of restraint across the organisation and is chaired by one of the organisation’s regional managers, who has responsibility for ensuring that restraint minimisation is achieved.</w:t>
            </w:r>
          </w:p>
          <w:p w14:paraId="2371F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reports to the clinical governance group monthly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regional manager confirmed that this monthly reporting assists the executive management team to closely monitor the move towards a restraint-free environment for the whole Heritage Lifecare group.</w:t>
            </w:r>
          </w:p>
          <w:p w14:paraId="65B169AB"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622FA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Maxwell Lifecare is a restraint-free environment and has been for many years, which was confirmed by the care home manager, clinical services and other staff interviewed.  No residents were using restraint during the audit.  </w:t>
            </w:r>
          </w:p>
          <w:p w14:paraId="58315231" w14:textId="77777777" w:rsidR="00000000" w:rsidRPr="00BE00C7" w:rsidRDefault="00000000" w:rsidP="00BE00C7">
            <w:pPr>
              <w:pStyle w:val="OutcomeDescription"/>
              <w:spacing w:before="120" w:after="120"/>
              <w:rPr>
                <w:rFonts w:cs="Arial"/>
                <w:lang w:eastAsia="en-NZ"/>
              </w:rPr>
            </w:pPr>
          </w:p>
        </w:tc>
      </w:tr>
    </w:tbl>
    <w:p w14:paraId="4A9C6AD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DBC91CD" w14:textId="77777777" w:rsidR="00000000" w:rsidRDefault="00000000">
      <w:pPr>
        <w:pStyle w:val="Heading1"/>
        <w:rPr>
          <w:rFonts w:cs="Arial"/>
        </w:rPr>
      </w:pPr>
      <w:r>
        <w:rPr>
          <w:rFonts w:cs="Arial"/>
        </w:rPr>
        <w:lastRenderedPageBreak/>
        <w:t>Specific results for criterion where corrective actions are required</w:t>
      </w:r>
    </w:p>
    <w:p w14:paraId="7632466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1C4C59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4DD5E1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316"/>
        <w:gridCol w:w="3942"/>
        <w:gridCol w:w="3175"/>
        <w:gridCol w:w="2594"/>
      </w:tblGrid>
      <w:tr w:rsidR="00A101F2" w14:paraId="745CE462" w14:textId="77777777">
        <w:tc>
          <w:tcPr>
            <w:tcW w:w="0" w:type="auto"/>
          </w:tcPr>
          <w:p w14:paraId="6B706F14"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3623C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B57D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F9729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510E63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101F2" w14:paraId="69610919" w14:textId="77777777">
        <w:tc>
          <w:tcPr>
            <w:tcW w:w="0" w:type="auto"/>
          </w:tcPr>
          <w:p w14:paraId="2AB26EF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1.1.5</w:t>
            </w:r>
          </w:p>
          <w:p w14:paraId="1A582B8A"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work in partnership with iwi and Māori organisations within and beyond the health sector to allow for better service integration, planning, and support for Māori.</w:t>
            </w:r>
          </w:p>
        </w:tc>
        <w:tc>
          <w:tcPr>
            <w:tcW w:w="0" w:type="auto"/>
          </w:tcPr>
          <w:p w14:paraId="438B01E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6D410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commitment and input from Māori at governance level for planning and aspects of care.  The Komiti Māori meeting minutes show that staff are attending meetings and good information related to Māori was available for staff.  At Maxwell Lifecare, there was one resident who identified as Māori and their cultural needs were being met, and whānau were involved in care planning.  The care home manager spoke of having had contact with a local marae, although not for some time, and no other Māori community groups had been contacted.  An opportunity for Māori input was not taken when the whānau room was renovated.  The room was welcoming but did not have specific Māori input, although a Māori bible had been purchased.  </w:t>
            </w:r>
          </w:p>
          <w:p w14:paraId="507C3B80" w14:textId="77777777" w:rsidR="00000000" w:rsidRPr="00BE00C7" w:rsidRDefault="00000000" w:rsidP="00BE00C7">
            <w:pPr>
              <w:pStyle w:val="OutcomeDescription"/>
              <w:spacing w:before="120" w:after="120"/>
              <w:rPr>
                <w:rFonts w:cs="Arial"/>
                <w:lang w:eastAsia="en-NZ"/>
              </w:rPr>
            </w:pPr>
          </w:p>
        </w:tc>
        <w:tc>
          <w:tcPr>
            <w:tcW w:w="0" w:type="auto"/>
          </w:tcPr>
          <w:p w14:paraId="49037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Heritage Lifecare as an organisation has undertaken extensive work to ensure appropriate services are provided to Māori in its facilities.  At Maxwell Lifecare, there was no evidence of current partnership with local iwi and Māori organisations.</w:t>
            </w:r>
          </w:p>
          <w:p w14:paraId="243CDF55" w14:textId="77777777" w:rsidR="00000000" w:rsidRPr="00BE00C7" w:rsidRDefault="00000000" w:rsidP="00BE00C7">
            <w:pPr>
              <w:pStyle w:val="OutcomeDescription"/>
              <w:spacing w:before="120" w:after="120"/>
              <w:rPr>
                <w:rFonts w:cs="Arial"/>
                <w:lang w:eastAsia="en-NZ"/>
              </w:rPr>
            </w:pPr>
          </w:p>
        </w:tc>
        <w:tc>
          <w:tcPr>
            <w:tcW w:w="0" w:type="auto"/>
          </w:tcPr>
          <w:p w14:paraId="4E5086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Maxwell Lifecare works in partnership with local Māori organisations to allow for service integration and support for Māori.  </w:t>
            </w:r>
          </w:p>
          <w:p w14:paraId="02519A1C" w14:textId="77777777" w:rsidR="00000000" w:rsidRPr="00BE00C7" w:rsidRDefault="00000000" w:rsidP="00BE00C7">
            <w:pPr>
              <w:pStyle w:val="OutcomeDescription"/>
              <w:spacing w:before="120" w:after="120"/>
              <w:rPr>
                <w:rFonts w:cs="Arial"/>
                <w:lang w:eastAsia="en-NZ"/>
              </w:rPr>
            </w:pPr>
          </w:p>
          <w:p w14:paraId="0F91D9E6"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101F2" w14:paraId="09C4306B" w14:textId="77777777">
        <w:tc>
          <w:tcPr>
            <w:tcW w:w="0" w:type="auto"/>
          </w:tcPr>
          <w:p w14:paraId="4AA6EBE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00B6003A"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13360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B1287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refurbishment of residents’ bathrooms and general areas, such as the whānau room.  The dirty sluice room is a small room with a ceiling ventilation fan; it was noted to be hot and humid.  There was a steriliser which gives off a lot of heat and moisture.  There was evidence of rust around metal where the sealing around the handbasin was not intact.  The paint on the storage shelves has bubbled, and the layers were not intact.  This had been noted in cleaning and environmental audits, but no action had been taken.  </w:t>
            </w:r>
          </w:p>
          <w:p w14:paraId="60D6CDD6" w14:textId="77777777" w:rsidR="00000000" w:rsidRPr="00BE00C7" w:rsidRDefault="00000000" w:rsidP="00BE00C7">
            <w:pPr>
              <w:pStyle w:val="OutcomeDescription"/>
              <w:spacing w:before="120" w:after="120"/>
              <w:rPr>
                <w:rFonts w:cs="Arial"/>
                <w:lang w:eastAsia="en-NZ"/>
              </w:rPr>
            </w:pPr>
          </w:p>
        </w:tc>
        <w:tc>
          <w:tcPr>
            <w:tcW w:w="0" w:type="auto"/>
          </w:tcPr>
          <w:p w14:paraId="2BA36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a lot of refurbishments to residents' areas; however, the sluice room was not fit for purpose.  Moisture had entered surfaces, with deterioration occurring that posed an infection control risk.</w:t>
            </w:r>
          </w:p>
          <w:p w14:paraId="36481A73" w14:textId="77777777" w:rsidR="00000000" w:rsidRPr="00BE00C7" w:rsidRDefault="00000000" w:rsidP="00BE00C7">
            <w:pPr>
              <w:pStyle w:val="OutcomeDescription"/>
              <w:spacing w:before="120" w:after="120"/>
              <w:rPr>
                <w:rFonts w:cs="Arial"/>
                <w:lang w:eastAsia="en-NZ"/>
              </w:rPr>
            </w:pPr>
          </w:p>
        </w:tc>
        <w:tc>
          <w:tcPr>
            <w:tcW w:w="0" w:type="auto"/>
          </w:tcPr>
          <w:p w14:paraId="072B75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dirty sluice room be reviewed to ensure it is not causing excess moisture.  Ensure shelving is repaired or replaced to enable effective cleaning and the prevention of infection.</w:t>
            </w:r>
          </w:p>
          <w:p w14:paraId="29440980" w14:textId="77777777" w:rsidR="00000000" w:rsidRPr="00BE00C7" w:rsidRDefault="00000000" w:rsidP="00BE00C7">
            <w:pPr>
              <w:pStyle w:val="OutcomeDescription"/>
              <w:spacing w:before="120" w:after="120"/>
              <w:rPr>
                <w:rFonts w:cs="Arial"/>
                <w:lang w:eastAsia="en-NZ"/>
              </w:rPr>
            </w:pPr>
          </w:p>
          <w:p w14:paraId="322D2A80"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46822A0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A930804" w14:textId="77777777" w:rsidR="00000000" w:rsidRDefault="00000000">
      <w:pPr>
        <w:pStyle w:val="Heading1"/>
        <w:rPr>
          <w:rFonts w:cs="Arial"/>
        </w:rPr>
      </w:pPr>
      <w:r>
        <w:rPr>
          <w:rFonts w:cs="Arial"/>
        </w:rPr>
        <w:lastRenderedPageBreak/>
        <w:t>Specific results for criterion where a continuous improvement has been recorded</w:t>
      </w:r>
    </w:p>
    <w:p w14:paraId="45A7412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7AEB0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2983DE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101F2" w14:paraId="614B6826" w14:textId="77777777">
        <w:tc>
          <w:tcPr>
            <w:tcW w:w="0" w:type="auto"/>
          </w:tcPr>
          <w:p w14:paraId="358C454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E7571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A04ECA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8007" w14:textId="77777777" w:rsidR="00903B28" w:rsidRDefault="00903B28">
      <w:r>
        <w:separator/>
      </w:r>
    </w:p>
  </w:endnote>
  <w:endnote w:type="continuationSeparator" w:id="0">
    <w:p w14:paraId="36F1AB52" w14:textId="77777777" w:rsidR="00903B28" w:rsidRDefault="0090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776E" w14:textId="77777777" w:rsidR="00000000" w:rsidRDefault="00000000">
    <w:pPr>
      <w:pStyle w:val="Footer"/>
    </w:pPr>
  </w:p>
  <w:p w14:paraId="3330A63B" w14:textId="77777777" w:rsidR="00000000" w:rsidRDefault="00000000"/>
  <w:p w14:paraId="6C65F53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3B7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(BPA) Limited - Maxwell Care Home</w:t>
    </w:r>
    <w:bookmarkEnd w:id="59"/>
    <w:r>
      <w:rPr>
        <w:rFonts w:cs="Arial"/>
        <w:sz w:val="16"/>
        <w:szCs w:val="20"/>
      </w:rPr>
      <w:tab/>
      <w:t xml:space="preserve">Date of Audit: </w:t>
    </w:r>
    <w:bookmarkStart w:id="60" w:name="AuditStartDate1"/>
    <w:r>
      <w:rPr>
        <w:rFonts w:cs="Arial"/>
        <w:sz w:val="16"/>
        <w:szCs w:val="20"/>
      </w:rPr>
      <w:t>19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59ECC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347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F78A" w14:textId="77777777" w:rsidR="00903B28" w:rsidRDefault="00903B28">
      <w:r>
        <w:separator/>
      </w:r>
    </w:p>
  </w:footnote>
  <w:footnote w:type="continuationSeparator" w:id="0">
    <w:p w14:paraId="5C48266B" w14:textId="77777777" w:rsidR="00903B28" w:rsidRDefault="0090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E42" w14:textId="77777777" w:rsidR="00000000" w:rsidRDefault="00000000">
    <w:pPr>
      <w:pStyle w:val="Header"/>
    </w:pPr>
  </w:p>
  <w:p w14:paraId="1EE78BD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BF6" w14:textId="77777777" w:rsidR="00000000" w:rsidRDefault="00000000">
    <w:pPr>
      <w:pStyle w:val="Header"/>
    </w:pPr>
  </w:p>
  <w:p w14:paraId="1A8D75C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AB5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B8ACBD2">
      <w:start w:val="1"/>
      <w:numFmt w:val="decimal"/>
      <w:lvlText w:val="%1."/>
      <w:lvlJc w:val="left"/>
      <w:pPr>
        <w:ind w:left="360" w:hanging="360"/>
      </w:pPr>
    </w:lvl>
    <w:lvl w:ilvl="1" w:tplc="BA968F8A" w:tentative="1">
      <w:start w:val="1"/>
      <w:numFmt w:val="lowerLetter"/>
      <w:lvlText w:val="%2."/>
      <w:lvlJc w:val="left"/>
      <w:pPr>
        <w:ind w:left="1080" w:hanging="360"/>
      </w:pPr>
    </w:lvl>
    <w:lvl w:ilvl="2" w:tplc="164E307A" w:tentative="1">
      <w:start w:val="1"/>
      <w:numFmt w:val="lowerRoman"/>
      <w:lvlText w:val="%3."/>
      <w:lvlJc w:val="right"/>
      <w:pPr>
        <w:ind w:left="1800" w:hanging="180"/>
      </w:pPr>
    </w:lvl>
    <w:lvl w:ilvl="3" w:tplc="FD286DB8" w:tentative="1">
      <w:start w:val="1"/>
      <w:numFmt w:val="decimal"/>
      <w:lvlText w:val="%4."/>
      <w:lvlJc w:val="left"/>
      <w:pPr>
        <w:ind w:left="2520" w:hanging="360"/>
      </w:pPr>
    </w:lvl>
    <w:lvl w:ilvl="4" w:tplc="8EC0E296" w:tentative="1">
      <w:start w:val="1"/>
      <w:numFmt w:val="lowerLetter"/>
      <w:lvlText w:val="%5."/>
      <w:lvlJc w:val="left"/>
      <w:pPr>
        <w:ind w:left="3240" w:hanging="360"/>
      </w:pPr>
    </w:lvl>
    <w:lvl w:ilvl="5" w:tplc="4E0C72F0" w:tentative="1">
      <w:start w:val="1"/>
      <w:numFmt w:val="lowerRoman"/>
      <w:lvlText w:val="%6."/>
      <w:lvlJc w:val="right"/>
      <w:pPr>
        <w:ind w:left="3960" w:hanging="180"/>
      </w:pPr>
    </w:lvl>
    <w:lvl w:ilvl="6" w:tplc="CAB61C32" w:tentative="1">
      <w:start w:val="1"/>
      <w:numFmt w:val="decimal"/>
      <w:lvlText w:val="%7."/>
      <w:lvlJc w:val="left"/>
      <w:pPr>
        <w:ind w:left="4680" w:hanging="360"/>
      </w:pPr>
    </w:lvl>
    <w:lvl w:ilvl="7" w:tplc="34121234" w:tentative="1">
      <w:start w:val="1"/>
      <w:numFmt w:val="lowerLetter"/>
      <w:lvlText w:val="%8."/>
      <w:lvlJc w:val="left"/>
      <w:pPr>
        <w:ind w:left="5400" w:hanging="360"/>
      </w:pPr>
    </w:lvl>
    <w:lvl w:ilvl="8" w:tplc="AB4E48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5FA67DE">
      <w:start w:val="1"/>
      <w:numFmt w:val="bullet"/>
      <w:lvlText w:val=""/>
      <w:lvlJc w:val="left"/>
      <w:pPr>
        <w:ind w:left="720" w:hanging="360"/>
      </w:pPr>
      <w:rPr>
        <w:rFonts w:ascii="Symbol" w:hAnsi="Symbol" w:hint="default"/>
      </w:rPr>
    </w:lvl>
    <w:lvl w:ilvl="1" w:tplc="0914A420" w:tentative="1">
      <w:start w:val="1"/>
      <w:numFmt w:val="bullet"/>
      <w:lvlText w:val="o"/>
      <w:lvlJc w:val="left"/>
      <w:pPr>
        <w:ind w:left="1440" w:hanging="360"/>
      </w:pPr>
      <w:rPr>
        <w:rFonts w:ascii="Courier New" w:hAnsi="Courier New" w:cs="Courier New" w:hint="default"/>
      </w:rPr>
    </w:lvl>
    <w:lvl w:ilvl="2" w:tplc="F3849FCE" w:tentative="1">
      <w:start w:val="1"/>
      <w:numFmt w:val="bullet"/>
      <w:lvlText w:val=""/>
      <w:lvlJc w:val="left"/>
      <w:pPr>
        <w:ind w:left="2160" w:hanging="360"/>
      </w:pPr>
      <w:rPr>
        <w:rFonts w:ascii="Wingdings" w:hAnsi="Wingdings" w:hint="default"/>
      </w:rPr>
    </w:lvl>
    <w:lvl w:ilvl="3" w:tplc="37A41EB2" w:tentative="1">
      <w:start w:val="1"/>
      <w:numFmt w:val="bullet"/>
      <w:lvlText w:val=""/>
      <w:lvlJc w:val="left"/>
      <w:pPr>
        <w:ind w:left="2880" w:hanging="360"/>
      </w:pPr>
      <w:rPr>
        <w:rFonts w:ascii="Symbol" w:hAnsi="Symbol" w:hint="default"/>
      </w:rPr>
    </w:lvl>
    <w:lvl w:ilvl="4" w:tplc="D3E8F366" w:tentative="1">
      <w:start w:val="1"/>
      <w:numFmt w:val="bullet"/>
      <w:lvlText w:val="o"/>
      <w:lvlJc w:val="left"/>
      <w:pPr>
        <w:ind w:left="3600" w:hanging="360"/>
      </w:pPr>
      <w:rPr>
        <w:rFonts w:ascii="Courier New" w:hAnsi="Courier New" w:cs="Courier New" w:hint="default"/>
      </w:rPr>
    </w:lvl>
    <w:lvl w:ilvl="5" w:tplc="25F0B7F0" w:tentative="1">
      <w:start w:val="1"/>
      <w:numFmt w:val="bullet"/>
      <w:lvlText w:val=""/>
      <w:lvlJc w:val="left"/>
      <w:pPr>
        <w:ind w:left="4320" w:hanging="360"/>
      </w:pPr>
      <w:rPr>
        <w:rFonts w:ascii="Wingdings" w:hAnsi="Wingdings" w:hint="default"/>
      </w:rPr>
    </w:lvl>
    <w:lvl w:ilvl="6" w:tplc="E83AB408" w:tentative="1">
      <w:start w:val="1"/>
      <w:numFmt w:val="bullet"/>
      <w:lvlText w:val=""/>
      <w:lvlJc w:val="left"/>
      <w:pPr>
        <w:ind w:left="5040" w:hanging="360"/>
      </w:pPr>
      <w:rPr>
        <w:rFonts w:ascii="Symbol" w:hAnsi="Symbol" w:hint="default"/>
      </w:rPr>
    </w:lvl>
    <w:lvl w:ilvl="7" w:tplc="02F85D28" w:tentative="1">
      <w:start w:val="1"/>
      <w:numFmt w:val="bullet"/>
      <w:lvlText w:val="o"/>
      <w:lvlJc w:val="left"/>
      <w:pPr>
        <w:ind w:left="5760" w:hanging="360"/>
      </w:pPr>
      <w:rPr>
        <w:rFonts w:ascii="Courier New" w:hAnsi="Courier New" w:cs="Courier New" w:hint="default"/>
      </w:rPr>
    </w:lvl>
    <w:lvl w:ilvl="8" w:tplc="433477FA" w:tentative="1">
      <w:start w:val="1"/>
      <w:numFmt w:val="bullet"/>
      <w:lvlText w:val=""/>
      <w:lvlJc w:val="left"/>
      <w:pPr>
        <w:ind w:left="6480" w:hanging="360"/>
      </w:pPr>
      <w:rPr>
        <w:rFonts w:ascii="Wingdings" w:hAnsi="Wingdings" w:hint="default"/>
      </w:rPr>
    </w:lvl>
  </w:abstractNum>
  <w:num w:numId="1" w16cid:durableId="346828187">
    <w:abstractNumId w:val="1"/>
  </w:num>
  <w:num w:numId="2" w16cid:durableId="181884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F2"/>
    <w:rsid w:val="00387D8E"/>
    <w:rsid w:val="00865037"/>
    <w:rsid w:val="00903B28"/>
    <w:rsid w:val="00A101F2"/>
    <w:rsid w:val="00D87149"/>
    <w:rsid w:val="00E205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C607"/>
  <w15:docId w15:val="{35BFD08F-2BDB-4295-BCF2-26344D2B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11698</Words>
  <Characters>67504</Characters>
  <Application>Microsoft Office Word</Application>
  <DocSecurity>0</DocSecurity>
  <Lines>1500</Lines>
  <Paragraphs>435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2026-03-06T04:37:00Z</dcterms:created>
  <dcterms:modified xsi:type="dcterms:W3CDTF">2026-03-06T04:40:00Z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