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CDD8C" w14:textId="77777777" w:rsidR="00000000" w:rsidRDefault="00000000">
      <w:pPr>
        <w:pStyle w:val="Heading1"/>
        <w:rPr>
          <w:rFonts w:cs="Arial"/>
        </w:rPr>
      </w:pPr>
      <w:bookmarkStart w:id="0" w:name="PRMS_RIName"/>
      <w:r>
        <w:rPr>
          <w:rFonts w:cs="Arial"/>
        </w:rPr>
        <w:t>Ohinemuri Lifecare Limited - Ohinemuri Lifecare</w:t>
      </w:r>
      <w:bookmarkEnd w:id="0"/>
    </w:p>
    <w:p w14:paraId="70EC3D17" w14:textId="77777777" w:rsidR="00000000" w:rsidRDefault="00000000">
      <w:pPr>
        <w:pStyle w:val="Heading2"/>
        <w:spacing w:after="0"/>
        <w:rPr>
          <w:rFonts w:cs="Arial"/>
        </w:rPr>
      </w:pPr>
      <w:r>
        <w:rPr>
          <w:rFonts w:cs="Arial"/>
        </w:rPr>
        <w:t>Introduction</w:t>
      </w:r>
    </w:p>
    <w:p w14:paraId="31F09783"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5F155AD"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670CCED"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0727C55"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318B9B8" w14:textId="77777777" w:rsidR="00000000" w:rsidRDefault="00000000">
      <w:pPr>
        <w:spacing w:before="240" w:after="240"/>
        <w:rPr>
          <w:rFonts w:cs="Arial"/>
          <w:lang w:eastAsia="en-NZ"/>
        </w:rPr>
      </w:pPr>
      <w:r>
        <w:rPr>
          <w:rFonts w:cs="Arial"/>
          <w:lang w:eastAsia="en-NZ"/>
        </w:rPr>
        <w:t>The specifics of this audit included:</w:t>
      </w:r>
    </w:p>
    <w:p w14:paraId="1699B6F7"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20CE39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Ohinemuri Lifecare Limited</w:t>
      </w:r>
      <w:bookmarkEnd w:id="4"/>
    </w:p>
    <w:p w14:paraId="63840B1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Ohinemuri Lifecare</w:t>
      </w:r>
      <w:bookmarkEnd w:id="5"/>
    </w:p>
    <w:p w14:paraId="5BAA7F7E" w14:textId="38DBAADF"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67319C" w:rsidRPr="004D130A">
        <w:t>Hospital services - Medical services</w:t>
      </w:r>
      <w:r w:rsidR="0067319C">
        <w:t>;</w:t>
      </w:r>
      <w:r w:rsidR="0067319C">
        <w:rPr>
          <w:rFonts w:cs="Arial"/>
        </w:rPr>
        <w:t xml:space="preserve"> </w:t>
      </w:r>
      <w:r>
        <w:rPr>
          <w:rFonts w:cs="Arial"/>
        </w:rPr>
        <w:t>Hospital services - Geriatric services (excl. psychogeriatric); Rest home care (excluding dementia care); Dementia care</w:t>
      </w:r>
      <w:bookmarkEnd w:id="6"/>
    </w:p>
    <w:p w14:paraId="36E9F49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 February 2026</w:t>
      </w:r>
      <w:bookmarkEnd w:id="7"/>
      <w:r w:rsidRPr="009418D4">
        <w:rPr>
          <w:rFonts w:cs="Arial"/>
        </w:rPr>
        <w:tab/>
        <w:t xml:space="preserve">End date: </w:t>
      </w:r>
      <w:bookmarkStart w:id="8" w:name="AuditEndDate"/>
      <w:r>
        <w:rPr>
          <w:rFonts w:cs="Arial"/>
        </w:rPr>
        <w:t>3 February 2026</w:t>
      </w:r>
      <w:bookmarkEnd w:id="8"/>
    </w:p>
    <w:p w14:paraId="485838D0"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Change of ownership.</w:t>
      </w:r>
    </w:p>
    <w:bookmarkEnd w:id="9"/>
    <w:p w14:paraId="7B88711B" w14:textId="77777777" w:rsidR="00283553"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67</w:t>
      </w:r>
      <w:bookmarkEnd w:id="10"/>
    </w:p>
    <w:p w14:paraId="3C680814"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E0AB710" w14:textId="77777777" w:rsidR="00000000" w:rsidRDefault="00000000">
      <w:pPr>
        <w:pStyle w:val="Heading1"/>
        <w:rPr>
          <w:rFonts w:cs="Arial"/>
        </w:rPr>
      </w:pPr>
      <w:r>
        <w:rPr>
          <w:rFonts w:cs="Arial"/>
        </w:rPr>
        <w:lastRenderedPageBreak/>
        <w:t>Executive summary of the audit</w:t>
      </w:r>
    </w:p>
    <w:p w14:paraId="7C1DCBCF" w14:textId="77777777" w:rsidR="00000000" w:rsidRDefault="00000000">
      <w:pPr>
        <w:pStyle w:val="Heading2"/>
        <w:rPr>
          <w:rFonts w:cs="Arial"/>
        </w:rPr>
      </w:pPr>
      <w:r>
        <w:rPr>
          <w:rFonts w:cs="Arial"/>
        </w:rPr>
        <w:t>Introduction</w:t>
      </w:r>
    </w:p>
    <w:p w14:paraId="1E20ACBA"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68F1E08"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B7FF72B"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739F36E"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53C8F64"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F55AD4C"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4E5F867"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2DA7F9D" w14:textId="77777777" w:rsidR="00000000" w:rsidRDefault="00000000">
      <w:pPr>
        <w:pStyle w:val="Heading2"/>
        <w:spacing w:after="0"/>
        <w:rPr>
          <w:rFonts w:cs="Arial"/>
        </w:rPr>
      </w:pPr>
      <w:r>
        <w:rPr>
          <w:rFonts w:cs="Arial"/>
        </w:rPr>
        <w:t>General overview of the audit</w:t>
      </w:r>
    </w:p>
    <w:p w14:paraId="635E764F" w14:textId="77777777" w:rsidR="00000000" w:rsidRDefault="00000000">
      <w:pPr>
        <w:spacing w:before="240" w:line="276" w:lineRule="auto"/>
        <w:rPr>
          <w:rFonts w:eastAsia="Calibri"/>
        </w:rPr>
      </w:pPr>
      <w:bookmarkStart w:id="13" w:name="GeneralOverview"/>
      <w:r w:rsidRPr="00A4268A">
        <w:rPr>
          <w:rFonts w:eastAsia="Calibri"/>
        </w:rPr>
        <w:t xml:space="preserve">Ohinemuri Lifecare Limited can provide services for up to 68 residents requiring rest home, hospital and dementia levels of care. On the day of audit, there were 67 residents. The facility is based in Paeroa, in the Hauraki District of the North Island. </w:t>
      </w:r>
    </w:p>
    <w:p w14:paraId="39EDB175" w14:textId="77777777" w:rsidR="00283553" w:rsidRPr="00A4268A" w:rsidRDefault="00000000">
      <w:pPr>
        <w:spacing w:before="240" w:line="276" w:lineRule="auto"/>
        <w:rPr>
          <w:rFonts w:eastAsia="Calibri"/>
        </w:rPr>
      </w:pPr>
      <w:r w:rsidRPr="00A4268A">
        <w:rPr>
          <w:rFonts w:eastAsia="Calibri"/>
        </w:rPr>
        <w:t xml:space="preserve">There is a sale and purchase agreement between New Zealand Aged Care Services Limited (the prospective provider) and Oceania Healthcare Limited for the ownership of Ohinemuri Lifecare Limited. Settlement is expected in mid-March 2026. </w:t>
      </w:r>
    </w:p>
    <w:p w14:paraId="6EBD9989" w14:textId="77777777" w:rsidR="00283553" w:rsidRPr="00A4268A" w:rsidRDefault="00000000">
      <w:pPr>
        <w:spacing w:before="240" w:line="276" w:lineRule="auto"/>
        <w:rPr>
          <w:rFonts w:eastAsia="Calibri"/>
        </w:rPr>
      </w:pPr>
      <w:r w:rsidRPr="00A4268A">
        <w:rPr>
          <w:rFonts w:eastAsia="Calibri"/>
        </w:rPr>
        <w:t>This provisional audit process included review of policies and procedures, review of residents’ and staff files, observations, and interviews with residents, family members, the prospective provider’s managing director, the current organisation’s managers, staff, and a nurse practitioner.</w:t>
      </w:r>
    </w:p>
    <w:p w14:paraId="7AB81A45" w14:textId="77777777" w:rsidR="00283553" w:rsidRPr="00A4268A" w:rsidRDefault="00000000">
      <w:pPr>
        <w:spacing w:before="240" w:line="276" w:lineRule="auto"/>
        <w:rPr>
          <w:rFonts w:eastAsia="Calibri"/>
        </w:rPr>
      </w:pPr>
      <w:r w:rsidRPr="00A4268A">
        <w:rPr>
          <w:rFonts w:eastAsia="Calibri"/>
        </w:rPr>
        <w:t>There were no non-conformances identified at this audit.</w:t>
      </w:r>
    </w:p>
    <w:bookmarkEnd w:id="13"/>
    <w:p w14:paraId="03D4D2DD" w14:textId="77777777" w:rsidR="00283553" w:rsidRPr="00A4268A" w:rsidRDefault="00283553">
      <w:pPr>
        <w:spacing w:before="240" w:line="276" w:lineRule="auto"/>
        <w:rPr>
          <w:rFonts w:eastAsia="Calibri"/>
        </w:rPr>
      </w:pPr>
    </w:p>
    <w:p w14:paraId="16AA1D43"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p w14:paraId="06EF1141" w14:textId="77777777" w:rsidR="00000000" w:rsidRDefault="00000000">
      <w:pPr>
        <w:spacing w:before="240" w:line="276" w:lineRule="auto"/>
        <w:rPr>
          <w:rFonts w:eastAsia="Calibri"/>
        </w:rPr>
      </w:pPr>
      <w:bookmarkStart w:id="14" w:name="ConsumerRights"/>
      <w:proofErr w:type="spellStart"/>
      <w:r w:rsidRPr="00A4268A">
        <w:rPr>
          <w:rFonts w:eastAsia="Calibri"/>
        </w:rPr>
        <w:t>Ohinemuri</w:t>
      </w:r>
      <w:proofErr w:type="spellEnd"/>
      <w:r w:rsidRPr="00A4268A">
        <w:rPr>
          <w:rFonts w:eastAsia="Calibri"/>
        </w:rPr>
        <w:t xml:space="preserve"> Lifecare Limited work collaboratively to support and encourage a Māori worldview of health in service delivery. Māori are provided with equitable and effective services based on Te Tiriti o Waitangi and the principles of mana motuhake. </w:t>
      </w:r>
    </w:p>
    <w:p w14:paraId="1C758DC2" w14:textId="77777777" w:rsidR="00283553" w:rsidRPr="00A4268A" w:rsidRDefault="00000000">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64CC0638" w14:textId="77777777" w:rsidR="00283553" w:rsidRPr="00A4268A" w:rsidRDefault="00000000">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are upheld. Personal identity, independence, privacy and dignity are respected and supported. Staff have participated in Te Tiriti o Waitangi training, which is reflected in day-to-day service delivery.  Residents are safe from abuse.</w:t>
      </w:r>
    </w:p>
    <w:p w14:paraId="02177BC6" w14:textId="77777777" w:rsidR="00283553" w:rsidRPr="00A4268A" w:rsidRDefault="00000000">
      <w:pPr>
        <w:spacing w:before="240" w:line="276" w:lineRule="auto"/>
        <w:rPr>
          <w:rFonts w:eastAsia="Calibri"/>
        </w:rPr>
      </w:pPr>
      <w:r w:rsidRPr="00A4268A">
        <w:rPr>
          <w:rFonts w:eastAsia="Calibri"/>
        </w:rPr>
        <w:t xml:space="preserve">Residents and whānau receive information in an easy-to-understand format and felt listened to and included when making decisions about care and treatment.  Open communication is practised. Interpreter services are provided as needed.  Whānau and legal representatives are involved in decision-making that complies with the law. Advance directives are followed wherever possible. </w:t>
      </w:r>
    </w:p>
    <w:p w14:paraId="59F3FDD8" w14:textId="77777777" w:rsidR="00283553" w:rsidRPr="00A4268A" w:rsidRDefault="00000000">
      <w:pPr>
        <w:spacing w:before="240" w:line="276" w:lineRule="auto"/>
        <w:rPr>
          <w:rFonts w:eastAsia="Calibri"/>
        </w:rPr>
      </w:pPr>
      <w:r w:rsidRPr="00A4268A">
        <w:rPr>
          <w:rFonts w:eastAsia="Calibri"/>
        </w:rPr>
        <w:t>Complaints are resolved promptly and effectively in collaboration with all parties involved.</w:t>
      </w:r>
    </w:p>
    <w:bookmarkEnd w:id="14"/>
    <w:p w14:paraId="005E3A0A" w14:textId="77777777" w:rsidR="00283553" w:rsidRPr="00A4268A" w:rsidRDefault="00283553">
      <w:pPr>
        <w:spacing w:before="240" w:line="276" w:lineRule="auto"/>
        <w:rPr>
          <w:rFonts w:eastAsia="Calibri"/>
        </w:rPr>
      </w:pPr>
    </w:p>
    <w:p w14:paraId="39E551B2" w14:textId="77777777" w:rsidR="00000000" w:rsidRDefault="00000000" w:rsidP="000E6E02">
      <w:pPr>
        <w:pStyle w:val="Heading2"/>
        <w:spacing w:before="0"/>
        <w:rPr>
          <w:rFonts w:cs="Arial"/>
        </w:rPr>
      </w:pPr>
      <w:r w:rsidRPr="00FB778F">
        <w:rPr>
          <w:rFonts w:cs="Arial"/>
        </w:rPr>
        <w:t xml:space="preserve">Hunga mahi me te hanganga │ Workforce and structure </w:t>
      </w:r>
    </w:p>
    <w:p w14:paraId="66BD8F23" w14:textId="77777777" w:rsidR="00000000" w:rsidRDefault="00000000">
      <w:pPr>
        <w:spacing w:before="240" w:line="276" w:lineRule="auto"/>
        <w:rPr>
          <w:rFonts w:eastAsia="Calibri"/>
        </w:rPr>
      </w:pPr>
      <w:bookmarkStart w:id="15" w:name="OrganisationalManagement"/>
      <w:r w:rsidRPr="00A4268A">
        <w:rPr>
          <w:rFonts w:eastAsia="Calibri"/>
        </w:rPr>
        <w:t>The governing body assumes accountability for delivering a high-quality service. This includes supporting meaningful inclusion of Māori in governance groups, honouring Te Tiriti, and reducing barriers to improve outcomes for Māori and people with disabilities.</w:t>
      </w:r>
    </w:p>
    <w:p w14:paraId="112928C8" w14:textId="77777777" w:rsidR="00283553"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730E3CD2" w14:textId="77777777" w:rsidR="00283553"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Residents and whānau provide regular feedback and staff are involved in quality activities.  An integrated approach includes the </w:t>
      </w:r>
      <w:r w:rsidRPr="00A4268A">
        <w:rPr>
          <w:rFonts w:eastAsia="Calibri"/>
        </w:rPr>
        <w:lastRenderedPageBreak/>
        <w:t xml:space="preserve">collection and analysis of quality improvement data, identifies trends, and leads to improvements. Actual and potential risks are identified and mitigated.  </w:t>
      </w:r>
    </w:p>
    <w:p w14:paraId="04403F07" w14:textId="77777777" w:rsidR="00283553" w:rsidRPr="00A4268A" w:rsidRDefault="00000000">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2FBE910A" w14:textId="77777777" w:rsidR="00283553" w:rsidRPr="00A4268A" w:rsidRDefault="00000000">
      <w:pPr>
        <w:spacing w:before="240" w:line="276" w:lineRule="auto"/>
        <w:rPr>
          <w:rFonts w:eastAsia="Calibri"/>
        </w:rPr>
      </w:pPr>
      <w:r w:rsidRPr="00A4268A">
        <w:rPr>
          <w:rFonts w:eastAsia="Calibri"/>
        </w:rPr>
        <w:t xml:space="preserve">Staffing levels and skill mix meet the cultural and clinical needs of residents.  Staff are appointed, orientated, and managed using current good practice. A systematic approach to identify and deliver ongoing learning supports safe, equitable service delivery. </w:t>
      </w:r>
    </w:p>
    <w:p w14:paraId="3CCEE787" w14:textId="77777777" w:rsidR="00283553" w:rsidRPr="00A4268A" w:rsidRDefault="00000000">
      <w:pPr>
        <w:spacing w:before="240" w:line="276" w:lineRule="auto"/>
        <w:rPr>
          <w:rFonts w:eastAsia="Calibri"/>
        </w:rPr>
      </w:pPr>
      <w:r w:rsidRPr="00A4268A">
        <w:rPr>
          <w:rFonts w:eastAsia="Calibri"/>
        </w:rPr>
        <w:t xml:space="preserve">Residents' information is accurately recorded, securely stored, and not accessible to unauthorised people.  </w:t>
      </w:r>
    </w:p>
    <w:bookmarkEnd w:id="15"/>
    <w:p w14:paraId="6894F70A" w14:textId="77777777" w:rsidR="00283553" w:rsidRPr="00A4268A" w:rsidRDefault="00283553">
      <w:pPr>
        <w:spacing w:before="240" w:line="276" w:lineRule="auto"/>
        <w:rPr>
          <w:rFonts w:eastAsia="Calibri"/>
        </w:rPr>
      </w:pPr>
    </w:p>
    <w:p w14:paraId="35D62209"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1BADE6E0" w14:textId="77777777" w:rsidR="00000000" w:rsidRPr="005E14A4" w:rsidRDefault="00000000" w:rsidP="00621629">
      <w:pPr>
        <w:spacing w:before="240" w:line="276" w:lineRule="auto"/>
        <w:rPr>
          <w:rFonts w:eastAsia="Calibri"/>
        </w:rPr>
      </w:pPr>
      <w:bookmarkStart w:id="16" w:name="ContinuumOfServiceDelivery"/>
      <w:r w:rsidRPr="00A4268A">
        <w:rPr>
          <w:rFonts w:eastAsia="Calibri"/>
        </w:rPr>
        <w:t xml:space="preserve">When people enter </w:t>
      </w:r>
      <w:proofErr w:type="spellStart"/>
      <w:r w:rsidRPr="00A4268A">
        <w:rPr>
          <w:rFonts w:eastAsia="Calibri"/>
        </w:rPr>
        <w:t>Ohinemuri</w:t>
      </w:r>
      <w:proofErr w:type="spellEnd"/>
      <w:r w:rsidRPr="00A4268A">
        <w:rPr>
          <w:rFonts w:eastAsia="Calibri"/>
        </w:rPr>
        <w:t xml:space="preserve"> Lifecare Limited, a person-centred and whānau-centred approach is adopted. Relevant information is provided to the potential resident and whānau.  </w:t>
      </w:r>
    </w:p>
    <w:p w14:paraId="797ED46C" w14:textId="77777777" w:rsidR="00283553" w:rsidRPr="00A4268A" w:rsidRDefault="00000000"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11A82428" w14:textId="77777777" w:rsidR="00283553" w:rsidRPr="00A4268A" w:rsidRDefault="00000000"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w:t>
      </w:r>
    </w:p>
    <w:p w14:paraId="7A7FBBD0" w14:textId="77777777" w:rsidR="00283553" w:rsidRPr="00A4268A" w:rsidRDefault="00000000"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11551DFD" w14:textId="77777777" w:rsidR="00283553" w:rsidRPr="00A4268A" w:rsidRDefault="00000000" w:rsidP="00621629">
      <w:pPr>
        <w:spacing w:before="240" w:line="276" w:lineRule="auto"/>
        <w:rPr>
          <w:rFonts w:eastAsia="Calibri"/>
        </w:rPr>
      </w:pPr>
      <w:r w:rsidRPr="00A4268A">
        <w:rPr>
          <w:rFonts w:eastAsia="Calibri"/>
        </w:rPr>
        <w:t xml:space="preserve">The food service meets the nutritional needs of the residents, with special cultural needs catered for. Food is safely managed.  </w:t>
      </w:r>
    </w:p>
    <w:p w14:paraId="096C3D78" w14:textId="77777777" w:rsidR="00283553"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16"/>
    <w:p w14:paraId="187ECDCF" w14:textId="77777777" w:rsidR="00283553" w:rsidRPr="00A4268A" w:rsidRDefault="00283553" w:rsidP="00621629">
      <w:pPr>
        <w:spacing w:before="240" w:line="276" w:lineRule="auto"/>
        <w:rPr>
          <w:rFonts w:eastAsia="Calibri"/>
        </w:rPr>
      </w:pPr>
    </w:p>
    <w:p w14:paraId="53AA2DED"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p w14:paraId="5B03ECD7" w14:textId="77777777" w:rsidR="00000000" w:rsidRDefault="00000000">
      <w:pPr>
        <w:spacing w:before="240" w:line="276" w:lineRule="auto"/>
        <w:rPr>
          <w:rFonts w:eastAsia="Calibri"/>
        </w:rPr>
      </w:pPr>
      <w:bookmarkStart w:id="17" w:name="SafeAndAppropriateEnvironment"/>
      <w:r w:rsidRPr="00A4268A">
        <w:rPr>
          <w:rFonts w:eastAsia="Calibri"/>
        </w:rPr>
        <w:t xml:space="preserve">The facility meets the needs of residents and was clean and well maintained. There was a current building warrant of fitness.  Electrical equipment is tested as required. External areas are accessible, safe, provide shade and seating, and meet the needs of people with disabilities. </w:t>
      </w:r>
    </w:p>
    <w:p w14:paraId="40A1EA6B" w14:textId="77777777" w:rsidR="00283553" w:rsidRPr="00A4268A" w:rsidRDefault="00000000">
      <w:pPr>
        <w:spacing w:before="240" w:line="276" w:lineRule="auto"/>
        <w:rPr>
          <w:rFonts w:eastAsia="Calibri"/>
        </w:rPr>
      </w:pPr>
      <w:r w:rsidRPr="00A4268A">
        <w:rPr>
          <w:rFonts w:eastAsia="Calibri"/>
        </w:rPr>
        <w:t>Staff are trained in emergency procedures, the use of emergency equipment and supplies, and attend regular fire drills.  Staff, residents and whānau understood emergency and security arrangements. Residents reported a timely staff response to call bells.  Security is maintained.</w:t>
      </w:r>
    </w:p>
    <w:bookmarkEnd w:id="17"/>
    <w:p w14:paraId="1EAADD72" w14:textId="77777777" w:rsidR="00283553" w:rsidRPr="00A4268A" w:rsidRDefault="00283553">
      <w:pPr>
        <w:spacing w:before="240" w:line="276" w:lineRule="auto"/>
        <w:rPr>
          <w:rFonts w:eastAsia="Calibri"/>
        </w:rPr>
      </w:pPr>
    </w:p>
    <w:p w14:paraId="1BFE1856"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2A4ED8EE" w14:textId="77777777" w:rsidR="00000000" w:rsidRDefault="00000000">
      <w:pPr>
        <w:spacing w:before="240" w:line="276" w:lineRule="auto"/>
        <w:rPr>
          <w:rFonts w:eastAsia="Calibri"/>
        </w:rPr>
      </w:pPr>
      <w:bookmarkStart w:id="18" w:name="RestraintMinimisationAndSafePractice"/>
      <w:r w:rsidRPr="00A4268A">
        <w:rPr>
          <w:rFonts w:eastAsia="Calibri"/>
        </w:rPr>
        <w:t xml:space="preserve">The governing body ensures the safety of residents and staff through planned infection prevention (IP) and antimicrobial stewardship (AMS) programmes that are appropriate to the size and complexity of the service.  An experienced and trained infection control coordinator leads the programme. </w:t>
      </w:r>
    </w:p>
    <w:p w14:paraId="2DE4E513" w14:textId="77777777" w:rsidR="00283553" w:rsidRPr="00A4268A" w:rsidRDefault="00000000">
      <w:pPr>
        <w:spacing w:before="240" w:line="276" w:lineRule="auto"/>
        <w:rPr>
          <w:rFonts w:eastAsia="Calibri"/>
        </w:rPr>
      </w:pPr>
      <w:r w:rsidRPr="00A4268A">
        <w:rPr>
          <w:rFonts w:eastAsia="Calibri"/>
        </w:rPr>
        <w:t>The infection control coordinator is involved in procurement processes, any facility changes, and processes related to the decontamination of any reusable devices.</w:t>
      </w:r>
    </w:p>
    <w:p w14:paraId="4134CFBC" w14:textId="77777777" w:rsidR="00283553"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2212443A" w14:textId="77777777" w:rsidR="00283553" w:rsidRPr="00A4268A" w:rsidRDefault="00000000">
      <w:pPr>
        <w:spacing w:before="240" w:line="276" w:lineRule="auto"/>
        <w:rPr>
          <w:rFonts w:eastAsia="Calibri"/>
        </w:rPr>
      </w:pPr>
      <w:r w:rsidRPr="00A4268A">
        <w:rPr>
          <w:rFonts w:eastAsia="Calibri"/>
        </w:rPr>
        <w:t>The service promotes responsible prescribing of antimicrobials.  Infection surveillance is undertaken, with follow-up action taken as required.</w:t>
      </w:r>
    </w:p>
    <w:p w14:paraId="31D0323F" w14:textId="77777777" w:rsidR="00283553" w:rsidRPr="00A4268A" w:rsidRDefault="00000000">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services.</w:t>
      </w:r>
    </w:p>
    <w:bookmarkEnd w:id="18"/>
    <w:p w14:paraId="1B24782D" w14:textId="77777777" w:rsidR="00283553" w:rsidRPr="00A4268A" w:rsidRDefault="00283553">
      <w:pPr>
        <w:spacing w:before="240" w:line="276" w:lineRule="auto"/>
        <w:rPr>
          <w:rFonts w:eastAsia="Calibri"/>
        </w:rPr>
      </w:pPr>
    </w:p>
    <w:p w14:paraId="61230F4B" w14:textId="77777777" w:rsidR="00000000" w:rsidRDefault="00000000" w:rsidP="000E6E02">
      <w:pPr>
        <w:pStyle w:val="Heading2"/>
        <w:spacing w:before="0"/>
        <w:rPr>
          <w:rFonts w:cs="Arial"/>
        </w:rPr>
      </w:pPr>
      <w:r w:rsidRPr="00FB778F">
        <w:rPr>
          <w:rFonts w:cs="Arial"/>
        </w:rPr>
        <w:t>Here taratahi │ Restraint and seclusion</w:t>
      </w:r>
    </w:p>
    <w:p w14:paraId="6B961583" w14:textId="77777777" w:rsidR="00000000" w:rsidRDefault="00000000">
      <w:pPr>
        <w:spacing w:before="240" w:line="276" w:lineRule="auto"/>
        <w:rPr>
          <w:rFonts w:eastAsia="Calibri"/>
        </w:rPr>
      </w:pPr>
      <w:bookmarkStart w:id="19" w:name="InfectionPreventionAndControl"/>
      <w:r w:rsidRPr="00A4268A">
        <w:rPr>
          <w:rFonts w:eastAsia="Calibri"/>
        </w:rPr>
        <w:t xml:space="preserve">The service aims for a restraint-free environment. This is supported by the governing body and policies and procedures.  There were no residents using restraints at the time of audit.  </w:t>
      </w:r>
    </w:p>
    <w:p w14:paraId="77C43920" w14:textId="77777777" w:rsidR="00283553" w:rsidRPr="00A4268A" w:rsidRDefault="00000000">
      <w:pPr>
        <w:spacing w:before="240" w:line="276" w:lineRule="auto"/>
        <w:rPr>
          <w:rFonts w:eastAsia="Calibri"/>
        </w:rPr>
      </w:pPr>
      <w:r w:rsidRPr="00A4268A">
        <w:rPr>
          <w:rFonts w:eastAsia="Calibri"/>
        </w:rPr>
        <w:t xml:space="preserve">Comprehensive assessment, approval and monitoring processes are available should restraint be required.  Staff demonstrated a sound knowledge and understanding of providing the least restrictive practice, de-escalation techniques, and alternative interventions.  </w:t>
      </w:r>
    </w:p>
    <w:bookmarkEnd w:id="19"/>
    <w:p w14:paraId="3DD06840" w14:textId="77777777" w:rsidR="00283553" w:rsidRPr="00A4268A" w:rsidRDefault="00283553">
      <w:pPr>
        <w:spacing w:before="240" w:line="276" w:lineRule="auto"/>
        <w:rPr>
          <w:rFonts w:eastAsia="Calibri"/>
        </w:rPr>
      </w:pPr>
    </w:p>
    <w:p w14:paraId="7F3C412E" w14:textId="77777777" w:rsidR="00000000" w:rsidRDefault="00000000" w:rsidP="000E6E02">
      <w:pPr>
        <w:pStyle w:val="Heading2"/>
        <w:spacing w:before="0"/>
        <w:rPr>
          <w:rFonts w:cs="Arial"/>
        </w:rPr>
      </w:pPr>
      <w:r>
        <w:rPr>
          <w:rFonts w:cs="Arial"/>
        </w:rPr>
        <w:t>Summary of attainment</w:t>
      </w:r>
    </w:p>
    <w:p w14:paraId="459D6B0F"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83553" w14:paraId="48F90FB2" w14:textId="77777777">
        <w:tc>
          <w:tcPr>
            <w:tcW w:w="1384" w:type="dxa"/>
            <w:vAlign w:val="center"/>
          </w:tcPr>
          <w:p w14:paraId="4321074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520E6B0" w14:textId="77777777" w:rsidR="00000000" w:rsidRDefault="00000000">
            <w:pPr>
              <w:keepNext/>
              <w:spacing w:before="60" w:after="60"/>
              <w:jc w:val="center"/>
              <w:rPr>
                <w:rFonts w:cs="Arial"/>
                <w:b/>
                <w:sz w:val="20"/>
                <w:szCs w:val="20"/>
              </w:rPr>
            </w:pPr>
            <w:r>
              <w:rPr>
                <w:rFonts w:cs="Arial"/>
                <w:b/>
                <w:sz w:val="20"/>
                <w:szCs w:val="20"/>
              </w:rPr>
              <w:t>Continuous Improvement</w:t>
            </w:r>
          </w:p>
          <w:p w14:paraId="3A3EDB1C"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8688D9A" w14:textId="77777777" w:rsidR="00000000" w:rsidRDefault="00000000">
            <w:pPr>
              <w:keepNext/>
              <w:spacing w:before="60" w:after="60"/>
              <w:jc w:val="center"/>
              <w:rPr>
                <w:rFonts w:cs="Arial"/>
                <w:b/>
                <w:sz w:val="20"/>
                <w:szCs w:val="20"/>
              </w:rPr>
            </w:pPr>
            <w:r>
              <w:rPr>
                <w:rFonts w:cs="Arial"/>
                <w:b/>
                <w:sz w:val="20"/>
                <w:szCs w:val="20"/>
              </w:rPr>
              <w:t>Fully Attained</w:t>
            </w:r>
          </w:p>
          <w:p w14:paraId="7E0D0AE8"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5686ECD"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26F8684"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B8839D7"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41FB650"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FA1E04B"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0269728"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381A163"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F193439"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4F53FB4"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F99C3CA" w14:textId="77777777" w:rsidR="00000000" w:rsidRDefault="00000000">
            <w:pPr>
              <w:keepNext/>
              <w:spacing w:before="60" w:after="60"/>
              <w:jc w:val="center"/>
              <w:rPr>
                <w:rFonts w:cs="Arial"/>
                <w:b/>
                <w:sz w:val="20"/>
                <w:szCs w:val="20"/>
              </w:rPr>
            </w:pPr>
            <w:r>
              <w:rPr>
                <w:rFonts w:cs="Arial"/>
                <w:b/>
                <w:sz w:val="20"/>
                <w:szCs w:val="20"/>
              </w:rPr>
              <w:t>(PA Critical)</w:t>
            </w:r>
          </w:p>
        </w:tc>
      </w:tr>
      <w:tr w:rsidR="00283553" w14:paraId="4DA82E26" w14:textId="77777777">
        <w:tc>
          <w:tcPr>
            <w:tcW w:w="1384" w:type="dxa"/>
            <w:vAlign w:val="center"/>
          </w:tcPr>
          <w:p w14:paraId="15DC0E7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6247753" w14:textId="77777777" w:rsidR="00000000"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3002818C" w14:textId="77777777" w:rsidR="00000000" w:rsidRDefault="00000000" w:rsidP="00A4268A">
            <w:pPr>
              <w:spacing w:before="60" w:after="60"/>
              <w:jc w:val="center"/>
              <w:rPr>
                <w:rFonts w:cs="Arial"/>
                <w:sz w:val="20"/>
                <w:szCs w:val="20"/>
                <w:lang w:eastAsia="en-NZ"/>
              </w:rPr>
            </w:pPr>
            <w:bookmarkStart w:id="21" w:name="TotalStdFA"/>
            <w:r>
              <w:rPr>
                <w:rFonts w:cs="Arial"/>
                <w:sz w:val="20"/>
                <w:szCs w:val="20"/>
                <w:lang w:eastAsia="en-NZ"/>
              </w:rPr>
              <w:t>27</w:t>
            </w:r>
            <w:bookmarkEnd w:id="21"/>
          </w:p>
        </w:tc>
        <w:tc>
          <w:tcPr>
            <w:tcW w:w="1843" w:type="dxa"/>
            <w:vAlign w:val="center"/>
          </w:tcPr>
          <w:p w14:paraId="6B309BE4" w14:textId="77777777" w:rsidR="00000000"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42D97755" w14:textId="77777777" w:rsidR="00000000" w:rsidRDefault="00000000" w:rsidP="00A4268A">
            <w:pPr>
              <w:spacing w:before="60" w:after="60"/>
              <w:jc w:val="center"/>
              <w:rPr>
                <w:rFonts w:cs="Arial"/>
                <w:sz w:val="20"/>
                <w:szCs w:val="20"/>
                <w:lang w:eastAsia="en-NZ"/>
              </w:rPr>
            </w:pPr>
            <w:bookmarkStart w:id="23" w:name="TotalStdPA_Low"/>
            <w:r>
              <w:rPr>
                <w:rFonts w:cs="Arial"/>
                <w:sz w:val="20"/>
                <w:szCs w:val="20"/>
                <w:lang w:eastAsia="en-NZ"/>
              </w:rPr>
              <w:t>0</w:t>
            </w:r>
            <w:bookmarkEnd w:id="23"/>
          </w:p>
        </w:tc>
        <w:tc>
          <w:tcPr>
            <w:tcW w:w="1843" w:type="dxa"/>
            <w:vAlign w:val="center"/>
          </w:tcPr>
          <w:p w14:paraId="2BC3DB4F" w14:textId="77777777" w:rsidR="00000000"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13C140F7" w14:textId="77777777" w:rsidR="00000000"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77E60058" w14:textId="77777777" w:rsidR="00000000"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283553" w14:paraId="2C8D6953" w14:textId="77777777">
        <w:tc>
          <w:tcPr>
            <w:tcW w:w="1384" w:type="dxa"/>
            <w:vAlign w:val="center"/>
          </w:tcPr>
          <w:p w14:paraId="47FF3D26"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5D9B060" w14:textId="77777777" w:rsidR="00000000"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2B5016FD" w14:textId="77777777" w:rsidR="00000000" w:rsidRDefault="00000000" w:rsidP="00A4268A">
            <w:pPr>
              <w:spacing w:before="60" w:after="60"/>
              <w:jc w:val="center"/>
              <w:rPr>
                <w:rFonts w:cs="Arial"/>
                <w:sz w:val="20"/>
                <w:szCs w:val="20"/>
                <w:lang w:eastAsia="en-NZ"/>
              </w:rPr>
            </w:pPr>
            <w:bookmarkStart w:id="28" w:name="TotalCritFA"/>
            <w:r>
              <w:rPr>
                <w:rFonts w:cs="Arial"/>
                <w:sz w:val="20"/>
                <w:szCs w:val="20"/>
                <w:lang w:eastAsia="en-NZ"/>
              </w:rPr>
              <w:t>168</w:t>
            </w:r>
            <w:bookmarkEnd w:id="28"/>
          </w:p>
        </w:tc>
        <w:tc>
          <w:tcPr>
            <w:tcW w:w="1843" w:type="dxa"/>
            <w:vAlign w:val="center"/>
          </w:tcPr>
          <w:p w14:paraId="3A8E9FA8" w14:textId="77777777" w:rsidR="00000000"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0C8FCF45" w14:textId="77777777" w:rsidR="00000000"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0</w:t>
            </w:r>
            <w:bookmarkEnd w:id="30"/>
          </w:p>
        </w:tc>
        <w:tc>
          <w:tcPr>
            <w:tcW w:w="1843" w:type="dxa"/>
            <w:vAlign w:val="center"/>
          </w:tcPr>
          <w:p w14:paraId="040F3860" w14:textId="77777777" w:rsidR="00000000"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56F27817" w14:textId="77777777" w:rsidR="00000000"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2EF5F38E" w14:textId="77777777" w:rsidR="00000000"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480E6DB8"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83553" w14:paraId="02734479" w14:textId="77777777">
        <w:tc>
          <w:tcPr>
            <w:tcW w:w="1384" w:type="dxa"/>
            <w:vAlign w:val="center"/>
          </w:tcPr>
          <w:p w14:paraId="6C93FA2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3F0302B"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074831E"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0D6D0CC" w14:textId="77777777" w:rsidR="00000000" w:rsidRDefault="00000000">
            <w:pPr>
              <w:keepNext/>
              <w:spacing w:before="60" w:after="60"/>
              <w:jc w:val="center"/>
              <w:rPr>
                <w:rFonts w:cs="Arial"/>
                <w:b/>
                <w:sz w:val="20"/>
                <w:szCs w:val="20"/>
              </w:rPr>
            </w:pPr>
            <w:r>
              <w:rPr>
                <w:rFonts w:cs="Arial"/>
                <w:b/>
                <w:sz w:val="20"/>
                <w:szCs w:val="20"/>
              </w:rPr>
              <w:t>Unattained Low Risk</w:t>
            </w:r>
          </w:p>
          <w:p w14:paraId="4C14CCBE"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4FF7C6D" w14:textId="77777777" w:rsidR="00000000" w:rsidRDefault="00000000">
            <w:pPr>
              <w:keepNext/>
              <w:spacing w:before="60" w:after="60"/>
              <w:jc w:val="center"/>
              <w:rPr>
                <w:rFonts w:cs="Arial"/>
                <w:b/>
                <w:sz w:val="20"/>
                <w:szCs w:val="20"/>
              </w:rPr>
            </w:pPr>
            <w:r>
              <w:rPr>
                <w:rFonts w:cs="Arial"/>
                <w:b/>
                <w:sz w:val="20"/>
                <w:szCs w:val="20"/>
              </w:rPr>
              <w:t>Unattained Moderate Risk</w:t>
            </w:r>
          </w:p>
          <w:p w14:paraId="68553A03"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89F6BD1" w14:textId="77777777" w:rsidR="00000000" w:rsidRDefault="00000000">
            <w:pPr>
              <w:keepNext/>
              <w:spacing w:before="60" w:after="60"/>
              <w:jc w:val="center"/>
              <w:rPr>
                <w:rFonts w:cs="Arial"/>
                <w:b/>
                <w:sz w:val="20"/>
                <w:szCs w:val="20"/>
              </w:rPr>
            </w:pPr>
            <w:r>
              <w:rPr>
                <w:rFonts w:cs="Arial"/>
                <w:b/>
                <w:sz w:val="20"/>
                <w:szCs w:val="20"/>
              </w:rPr>
              <w:t>Unattained High Risk</w:t>
            </w:r>
          </w:p>
          <w:p w14:paraId="06F80BE4"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4ECF0EF" w14:textId="77777777" w:rsidR="00000000" w:rsidRDefault="00000000">
            <w:pPr>
              <w:keepNext/>
              <w:spacing w:before="60" w:after="60"/>
              <w:jc w:val="center"/>
              <w:rPr>
                <w:rFonts w:cs="Arial"/>
                <w:b/>
                <w:sz w:val="20"/>
                <w:szCs w:val="20"/>
              </w:rPr>
            </w:pPr>
            <w:r>
              <w:rPr>
                <w:rFonts w:cs="Arial"/>
                <w:b/>
                <w:sz w:val="20"/>
                <w:szCs w:val="20"/>
              </w:rPr>
              <w:t>Unattained Critical Risk</w:t>
            </w:r>
          </w:p>
          <w:p w14:paraId="40E3E920" w14:textId="77777777" w:rsidR="00000000" w:rsidRDefault="00000000">
            <w:pPr>
              <w:keepNext/>
              <w:spacing w:before="60" w:after="60"/>
              <w:jc w:val="center"/>
              <w:rPr>
                <w:rFonts w:cs="Arial"/>
                <w:b/>
                <w:sz w:val="20"/>
                <w:szCs w:val="20"/>
              </w:rPr>
            </w:pPr>
            <w:r>
              <w:rPr>
                <w:rFonts w:cs="Arial"/>
                <w:b/>
                <w:sz w:val="20"/>
                <w:szCs w:val="20"/>
              </w:rPr>
              <w:t>(UA Critical)</w:t>
            </w:r>
          </w:p>
        </w:tc>
      </w:tr>
      <w:tr w:rsidR="00283553" w14:paraId="69DC3E99" w14:textId="77777777">
        <w:tc>
          <w:tcPr>
            <w:tcW w:w="1384" w:type="dxa"/>
            <w:vAlign w:val="center"/>
          </w:tcPr>
          <w:p w14:paraId="1B16934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C1BC80E" w14:textId="77777777" w:rsidR="00000000"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60D6AEB4" w14:textId="77777777" w:rsidR="00000000"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26F925A1" w14:textId="77777777" w:rsidR="00000000"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3F255D17" w14:textId="77777777" w:rsidR="00000000"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17711FC3" w14:textId="77777777" w:rsidR="00000000"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283553" w14:paraId="6D97DA70" w14:textId="77777777">
        <w:tc>
          <w:tcPr>
            <w:tcW w:w="1384" w:type="dxa"/>
            <w:vAlign w:val="center"/>
          </w:tcPr>
          <w:p w14:paraId="415A6DB7"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52FE22B" w14:textId="77777777" w:rsidR="00000000"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5904598C" w14:textId="77777777" w:rsidR="00000000"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16EC261B" w14:textId="77777777" w:rsidR="00000000"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7C7E8FE7" w14:textId="77777777" w:rsidR="00000000"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1E6396AB" w14:textId="77777777" w:rsidR="00000000"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75A3DCFE"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A61E21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82BD39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461210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3"/>
        <w:gridCol w:w="1354"/>
        <w:gridCol w:w="6451"/>
      </w:tblGrid>
      <w:tr w:rsidR="00283553" w14:paraId="5BC7DCB2" w14:textId="77777777">
        <w:tc>
          <w:tcPr>
            <w:tcW w:w="0" w:type="auto"/>
          </w:tcPr>
          <w:p w14:paraId="6D3C9C7F"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94CB29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E6D224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283553" w14:paraId="3443DAA1" w14:textId="77777777">
        <w:tc>
          <w:tcPr>
            <w:tcW w:w="0" w:type="auto"/>
          </w:tcPr>
          <w:p w14:paraId="1D6A84A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A6F313E"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6C0CAB3" w14:textId="77777777" w:rsidR="00000000" w:rsidRPr="00BE00C7" w:rsidRDefault="00000000" w:rsidP="00BE00C7">
            <w:pPr>
              <w:pStyle w:val="OutcomeDescription"/>
              <w:spacing w:before="120" w:after="120"/>
              <w:rPr>
                <w:rFonts w:cs="Arial"/>
                <w:lang w:eastAsia="en-NZ"/>
              </w:rPr>
            </w:pPr>
          </w:p>
        </w:tc>
        <w:tc>
          <w:tcPr>
            <w:tcW w:w="0" w:type="auto"/>
          </w:tcPr>
          <w:p w14:paraId="1D2D113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F948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Ohinemuri Lifecare Limited (Ohinemuri) has implemented policies, procedures and processes to embed and enact Te Tiriti o Waitangi in all aspects of its work.  Mana motuhake is respected.  Partnerships have been established with local iwi and Māori organisations to support service integration, planning, equity approaches and support for Māori. A Māori health care plan has been developed with input from cultural advisers and is used for residents who identify as Māori.  </w:t>
            </w:r>
          </w:p>
          <w:p w14:paraId="4A57F1CA"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days of the audit, there were residents who identified as Māori. These residents and whānau interviewed reported that staff respected their right to Māori self-determination, and they felt culturally safe. Training was provided for all staff, both clinical and non-clinical, as per the training records reviewed.</w:t>
            </w:r>
          </w:p>
          <w:p w14:paraId="2AE3AC39" w14:textId="77777777" w:rsidR="00000000" w:rsidRPr="00BE00C7" w:rsidRDefault="00000000"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At the time of audit, there was a significant number of staff who identified as Māori.  Staff ethnicity data is documented on recruitment and trended.</w:t>
            </w:r>
          </w:p>
          <w:p w14:paraId="7B52D860" w14:textId="77777777" w:rsidR="00000000" w:rsidRPr="00BE00C7" w:rsidRDefault="00000000" w:rsidP="00BE00C7">
            <w:pPr>
              <w:pStyle w:val="OutcomeDescription"/>
              <w:spacing w:before="120" w:after="120"/>
              <w:rPr>
                <w:rFonts w:cs="Arial"/>
                <w:lang w:eastAsia="en-NZ"/>
              </w:rPr>
            </w:pPr>
          </w:p>
        </w:tc>
      </w:tr>
      <w:tr w:rsidR="00283553" w14:paraId="6B664862" w14:textId="77777777">
        <w:tc>
          <w:tcPr>
            <w:tcW w:w="0" w:type="auto"/>
          </w:tcPr>
          <w:p w14:paraId="2A2720C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A21B8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AA0ABAA" w14:textId="77777777" w:rsidR="00000000" w:rsidRPr="00BE00C7" w:rsidRDefault="00000000" w:rsidP="00BE00C7">
            <w:pPr>
              <w:pStyle w:val="OutcomeDescription"/>
              <w:spacing w:before="120" w:after="120"/>
              <w:rPr>
                <w:rFonts w:cs="Arial"/>
                <w:lang w:eastAsia="en-NZ"/>
              </w:rPr>
            </w:pPr>
          </w:p>
        </w:tc>
        <w:tc>
          <w:tcPr>
            <w:tcW w:w="0" w:type="auto"/>
          </w:tcPr>
          <w:p w14:paraId="40E67A0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4E3BC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Ohinemuri Lifecare Limited identifies and works in partnership with Pacific communities and organisations to provide a Pacific plan that </w:t>
            </w:r>
            <w:r w:rsidRPr="00BE00C7">
              <w:rPr>
                <w:rFonts w:cs="Arial"/>
                <w:lang w:eastAsia="en-NZ"/>
              </w:rPr>
              <w:lastRenderedPageBreak/>
              <w:t>supports culturally safe practices for Pacific peoples using the service, and on achieving equity. Partnerships enable ongoing planning and evaluation of services and outcomes.</w:t>
            </w:r>
          </w:p>
          <w:p w14:paraId="0FC16F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small number of Pacific residents interviewed felt their worldview, and cultural and spiritual beliefs, were embraced. </w:t>
            </w:r>
          </w:p>
          <w:p w14:paraId="0AD304AA"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Active recruitment, training and actions to retain a Pacific workforce are supported, resulting in several staff who identify as Pacific employed across roles.</w:t>
            </w:r>
          </w:p>
          <w:p w14:paraId="5C66B623" w14:textId="77777777" w:rsidR="00000000" w:rsidRPr="00BE00C7" w:rsidRDefault="00000000" w:rsidP="00BE00C7">
            <w:pPr>
              <w:pStyle w:val="OutcomeDescription"/>
              <w:spacing w:before="120" w:after="120"/>
              <w:rPr>
                <w:rFonts w:cs="Arial"/>
                <w:lang w:eastAsia="en-NZ"/>
              </w:rPr>
            </w:pPr>
          </w:p>
        </w:tc>
      </w:tr>
      <w:tr w:rsidR="00283553" w14:paraId="086A4658" w14:textId="77777777">
        <w:tc>
          <w:tcPr>
            <w:tcW w:w="0" w:type="auto"/>
          </w:tcPr>
          <w:p w14:paraId="4DF3D87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1EC4AA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9C7CCA1" w14:textId="77777777" w:rsidR="00000000" w:rsidRPr="00BE00C7" w:rsidRDefault="00000000" w:rsidP="00BE00C7">
            <w:pPr>
              <w:pStyle w:val="OutcomeDescription"/>
              <w:spacing w:before="120" w:after="120"/>
              <w:rPr>
                <w:rFonts w:cs="Arial"/>
                <w:lang w:eastAsia="en-NZ"/>
              </w:rPr>
            </w:pPr>
          </w:p>
        </w:tc>
        <w:tc>
          <w:tcPr>
            <w:tcW w:w="0" w:type="auto"/>
          </w:tcPr>
          <w:p w14:paraId="0102347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A2F2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understood the requirements of the Code of Health and Disability Services Consumers’ Rights (the Code) and were observed supporting residents in accordance with their wishes.  </w:t>
            </w:r>
          </w:p>
          <w:p w14:paraId="223540B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 The prospective provider interviewed had a good understanding of the Code and meeting the legal requirements of the standards and the obligations of the service agreement with Health New Zealand – Te Whatu Ora.</w:t>
            </w:r>
          </w:p>
          <w:p w14:paraId="7001B2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Evidence was sighted of Māori mana motuhake, advocacy, and Code of Rights training being provided to staff. Opportunities to discuss and clarify residents’ rights were given during admission and at the six-monthly multidisciplinary meetings. Residents and whānau interviewed confirmed this practice. </w:t>
            </w:r>
          </w:p>
          <w:p w14:paraId="0C1AA4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provider interviewed had a good understanding of the Code of Rights.</w:t>
            </w:r>
          </w:p>
          <w:p w14:paraId="751381DF" w14:textId="77777777" w:rsidR="00000000" w:rsidRPr="00BE00C7" w:rsidRDefault="00000000" w:rsidP="00BE00C7">
            <w:pPr>
              <w:pStyle w:val="OutcomeDescription"/>
              <w:spacing w:before="120" w:after="120"/>
              <w:rPr>
                <w:rFonts w:cs="Arial"/>
                <w:lang w:eastAsia="en-NZ"/>
              </w:rPr>
            </w:pPr>
          </w:p>
        </w:tc>
      </w:tr>
      <w:tr w:rsidR="00283553" w14:paraId="74E61746" w14:textId="77777777">
        <w:tc>
          <w:tcPr>
            <w:tcW w:w="0" w:type="auto"/>
          </w:tcPr>
          <w:p w14:paraId="70195B0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17C643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 xml:space="preserve">As service providers: We provide services and support to people in </w:t>
            </w:r>
            <w:r w:rsidRPr="00BE00C7">
              <w:rPr>
                <w:rFonts w:cs="Arial"/>
                <w:lang w:eastAsia="en-NZ"/>
              </w:rPr>
              <w:lastRenderedPageBreak/>
              <w:t>a way that is inclusive and respects their identity and their experiences.</w:t>
            </w:r>
          </w:p>
          <w:p w14:paraId="2C199B8A" w14:textId="77777777" w:rsidR="00000000" w:rsidRPr="00BE00C7" w:rsidRDefault="00000000" w:rsidP="00BE00C7">
            <w:pPr>
              <w:pStyle w:val="OutcomeDescription"/>
              <w:spacing w:before="120" w:after="120"/>
              <w:rPr>
                <w:rFonts w:cs="Arial"/>
                <w:lang w:eastAsia="en-NZ"/>
              </w:rPr>
            </w:pPr>
          </w:p>
        </w:tc>
        <w:tc>
          <w:tcPr>
            <w:tcW w:w="0" w:type="auto"/>
          </w:tcPr>
          <w:p w14:paraId="6D70BC8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8FD2D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residents in a way that is inclusive and respects their identity and experiences. Residents and whānau confirmed that they received services in a manner that had regard for their dignity, gender, privacy, sexual orientation, spirituality and choices. </w:t>
            </w:r>
          </w:p>
          <w:p w14:paraId="43D228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maintain privacy throughout the audit. All </w:t>
            </w:r>
            <w:r w:rsidRPr="00BE00C7">
              <w:rPr>
                <w:rFonts w:cs="Arial"/>
                <w:lang w:eastAsia="en-NZ"/>
              </w:rPr>
              <w:lastRenderedPageBreak/>
              <w:t>residents have their own room, providing a safe space for family meetings when required. This was confirmed by whānau, residents, and staff during interviews.</w:t>
            </w:r>
          </w:p>
          <w:p w14:paraId="70573E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and tikanga Māori are promoted within the service through the staff training provided and the cultural assessments completed on admission. Management and all staff have undertaken training in Te Tiriti o Waitangi and understood the principles and how to apply these in their daily work. </w:t>
            </w:r>
          </w:p>
          <w:p w14:paraId="5E0F6F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tāngata whaikaha are responded to, including their participation in te ao Māori.</w:t>
            </w:r>
          </w:p>
          <w:p w14:paraId="1139E3D5" w14:textId="77777777" w:rsidR="00000000" w:rsidRPr="00BE00C7" w:rsidRDefault="00000000" w:rsidP="00BE00C7">
            <w:pPr>
              <w:pStyle w:val="OutcomeDescription"/>
              <w:spacing w:before="120" w:after="120"/>
              <w:rPr>
                <w:rFonts w:cs="Arial"/>
                <w:lang w:eastAsia="en-NZ"/>
              </w:rPr>
            </w:pPr>
          </w:p>
        </w:tc>
      </w:tr>
      <w:tr w:rsidR="00283553" w14:paraId="6B79E290" w14:textId="77777777">
        <w:tc>
          <w:tcPr>
            <w:tcW w:w="0" w:type="auto"/>
          </w:tcPr>
          <w:p w14:paraId="3A17E1C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413D40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5EC9499" w14:textId="77777777" w:rsidR="00000000" w:rsidRPr="00BE00C7" w:rsidRDefault="00000000" w:rsidP="00BE00C7">
            <w:pPr>
              <w:pStyle w:val="OutcomeDescription"/>
              <w:spacing w:before="120" w:after="120"/>
              <w:rPr>
                <w:rFonts w:cs="Arial"/>
                <w:lang w:eastAsia="en-NZ"/>
              </w:rPr>
            </w:pPr>
          </w:p>
        </w:tc>
        <w:tc>
          <w:tcPr>
            <w:tcW w:w="0" w:type="auto"/>
          </w:tcPr>
          <w:p w14:paraId="400DA96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284C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behaviour.  There were no examples of discrimination, coercion, or harassment identified during the audit through staff and/or resident or whānau interviews, or in documentation reviewed.  </w:t>
            </w:r>
          </w:p>
          <w:p w14:paraId="0FFF34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property is labelled on admission, and they reported that their property and finances are respected.  </w:t>
            </w:r>
          </w:p>
          <w:p w14:paraId="4C9EA5D1"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are maintained by staff.  Staff interviewed felt comfortable in raising any concerns in relation to institutional and systemic racism and that any concerns would be acted upon. A strengths-based and holistic model of care was evident and included use of Te Whare Tapa Whā framework. Māori health and cultural training were confirmed in the education records reviewed and through staff interviews.</w:t>
            </w:r>
          </w:p>
          <w:p w14:paraId="7D4C1977" w14:textId="77777777" w:rsidR="00000000" w:rsidRPr="00BE00C7" w:rsidRDefault="00000000" w:rsidP="00BE00C7">
            <w:pPr>
              <w:pStyle w:val="OutcomeDescription"/>
              <w:spacing w:before="120" w:after="120"/>
              <w:rPr>
                <w:rFonts w:cs="Arial"/>
                <w:lang w:eastAsia="en-NZ"/>
              </w:rPr>
            </w:pPr>
          </w:p>
        </w:tc>
      </w:tr>
      <w:tr w:rsidR="00283553" w14:paraId="6F7F4F79" w14:textId="77777777">
        <w:tc>
          <w:tcPr>
            <w:tcW w:w="0" w:type="auto"/>
          </w:tcPr>
          <w:p w14:paraId="3DF5A3B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1396E2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 xml:space="preserve">As service providers: We listen and respect the voices of the people </w:t>
            </w:r>
            <w:r w:rsidRPr="00BE00C7">
              <w:rPr>
                <w:rFonts w:cs="Arial"/>
                <w:lang w:eastAsia="en-NZ"/>
              </w:rPr>
              <w:lastRenderedPageBreak/>
              <w:t>who use our services and effectively communicate with them about their choices.</w:t>
            </w:r>
          </w:p>
          <w:p w14:paraId="1E755622" w14:textId="77777777" w:rsidR="00000000" w:rsidRPr="00BE00C7" w:rsidRDefault="00000000" w:rsidP="00BE00C7">
            <w:pPr>
              <w:pStyle w:val="OutcomeDescription"/>
              <w:spacing w:before="120" w:after="120"/>
              <w:rPr>
                <w:rFonts w:cs="Arial"/>
                <w:lang w:eastAsia="en-NZ"/>
              </w:rPr>
            </w:pPr>
          </w:p>
        </w:tc>
        <w:tc>
          <w:tcPr>
            <w:tcW w:w="0" w:type="auto"/>
          </w:tcPr>
          <w:p w14:paraId="167610E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720F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easy-to-understand format.  Changes to residents’ health status were communicated to relatives/whānau in a timely manner.  Where other agencies were involved in care, communication had occurred. </w:t>
            </w:r>
          </w:p>
          <w:p w14:paraId="14CAAA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w:t>
            </w:r>
            <w:r w:rsidRPr="00BE00C7">
              <w:rPr>
                <w:rFonts w:cs="Arial"/>
                <w:lang w:eastAsia="en-NZ"/>
              </w:rPr>
              <w:lastRenderedPageBreak/>
              <w:t xml:space="preserve">events and during management of any complaints. </w:t>
            </w:r>
          </w:p>
          <w:p w14:paraId="3DEA7F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knew how to access interpreter services, if required. </w:t>
            </w:r>
          </w:p>
          <w:p w14:paraId="6835B576" w14:textId="77777777" w:rsidR="00000000" w:rsidRPr="00BE00C7" w:rsidRDefault="00000000" w:rsidP="00BE00C7">
            <w:pPr>
              <w:pStyle w:val="OutcomeDescription"/>
              <w:spacing w:before="120" w:after="120"/>
              <w:rPr>
                <w:rFonts w:cs="Arial"/>
                <w:lang w:eastAsia="en-NZ"/>
              </w:rPr>
            </w:pPr>
          </w:p>
        </w:tc>
      </w:tr>
      <w:tr w:rsidR="00283553" w14:paraId="4F7F5E51" w14:textId="77777777">
        <w:tc>
          <w:tcPr>
            <w:tcW w:w="0" w:type="auto"/>
          </w:tcPr>
          <w:p w14:paraId="0218CC7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0C68E6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F65139F" w14:textId="77777777" w:rsidR="00000000" w:rsidRPr="00BE00C7" w:rsidRDefault="00000000" w:rsidP="00BE00C7">
            <w:pPr>
              <w:pStyle w:val="OutcomeDescription"/>
              <w:spacing w:before="120" w:after="120"/>
              <w:rPr>
                <w:rFonts w:cs="Arial"/>
                <w:lang w:eastAsia="en-NZ"/>
              </w:rPr>
            </w:pPr>
          </w:p>
        </w:tc>
        <w:tc>
          <w:tcPr>
            <w:tcW w:w="0" w:type="auto"/>
          </w:tcPr>
          <w:p w14:paraId="53AE96C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DAA9E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and/or their legal representative are provided with the information necessary to make informed decisions. They felt empowered to actively participate in decision-making.  With the consent of the resident, whānau were included in decision-making, to ensure decisions were culturally responsive and aligned with individual preferences.</w:t>
            </w:r>
          </w:p>
          <w:p w14:paraId="3EB479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and in line with tikanga guidelines. </w:t>
            </w:r>
          </w:p>
          <w:p w14:paraId="2C9F5BC4"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establishing and documenting of enduring power of attorney (EPOA) requirements and processes for residents unable to consent were documented, as relevant, in the resident’s record.  Residents in the dementia unit had activated EPOA documents.</w:t>
            </w:r>
          </w:p>
          <w:p w14:paraId="78903648" w14:textId="77777777" w:rsidR="00000000" w:rsidRPr="00BE00C7" w:rsidRDefault="00000000" w:rsidP="00BE00C7">
            <w:pPr>
              <w:pStyle w:val="OutcomeDescription"/>
              <w:spacing w:before="120" w:after="120"/>
              <w:rPr>
                <w:rFonts w:cs="Arial"/>
                <w:lang w:eastAsia="en-NZ"/>
              </w:rPr>
            </w:pPr>
          </w:p>
        </w:tc>
      </w:tr>
      <w:tr w:rsidR="00283553" w14:paraId="58F4C871" w14:textId="77777777">
        <w:tc>
          <w:tcPr>
            <w:tcW w:w="0" w:type="auto"/>
          </w:tcPr>
          <w:p w14:paraId="6452347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0B4DB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55A941D" w14:textId="77777777" w:rsidR="00000000" w:rsidRPr="00BE00C7" w:rsidRDefault="00000000" w:rsidP="00BE00C7">
            <w:pPr>
              <w:pStyle w:val="OutcomeDescription"/>
              <w:spacing w:before="120" w:after="120"/>
              <w:rPr>
                <w:rFonts w:cs="Arial"/>
                <w:lang w:eastAsia="en-NZ"/>
              </w:rPr>
            </w:pPr>
          </w:p>
        </w:tc>
        <w:tc>
          <w:tcPr>
            <w:tcW w:w="0" w:type="auto"/>
          </w:tcPr>
          <w:p w14:paraId="2EF11A9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94F4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576A67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register showed ten concerns and two complaints had been received from residents and families since the previous audit. One complaint had been closed to the satisfaction of the complainant. One complaint was currently being addressed and remained open on the days of the audit.  There has been regular and ongoing communication with the resident involved in the open complaint. Documentation sighted showed that complainants had been informed of findings following investigation. Where possible, improvements had been made as a result of the investigation. </w:t>
            </w:r>
          </w:p>
          <w:p w14:paraId="280531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assures the process works equitably for Māori through provision of a Māori advocate if required and the complaints process is </w:t>
            </w:r>
            <w:r w:rsidRPr="00BE00C7">
              <w:rPr>
                <w:rFonts w:cs="Arial"/>
                <w:lang w:eastAsia="en-NZ"/>
              </w:rPr>
              <w:lastRenderedPageBreak/>
              <w:t xml:space="preserve">documented in te reo. </w:t>
            </w:r>
          </w:p>
          <w:p w14:paraId="6A42CA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complaints received from external sources since the previous audit.  </w:t>
            </w:r>
          </w:p>
          <w:p w14:paraId="1F5D4A36" w14:textId="77777777" w:rsidR="00000000" w:rsidRPr="00BE00C7" w:rsidRDefault="00000000" w:rsidP="00BE00C7">
            <w:pPr>
              <w:pStyle w:val="OutcomeDescription"/>
              <w:spacing w:before="120" w:after="120"/>
              <w:rPr>
                <w:rFonts w:cs="Arial"/>
                <w:lang w:eastAsia="en-NZ"/>
              </w:rPr>
            </w:pPr>
          </w:p>
        </w:tc>
      </w:tr>
      <w:tr w:rsidR="00283553" w14:paraId="5C486E33" w14:textId="77777777">
        <w:tc>
          <w:tcPr>
            <w:tcW w:w="0" w:type="auto"/>
          </w:tcPr>
          <w:p w14:paraId="41BA743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290826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8C5B714" w14:textId="77777777" w:rsidR="00000000" w:rsidRPr="00BE00C7" w:rsidRDefault="00000000" w:rsidP="00BE00C7">
            <w:pPr>
              <w:pStyle w:val="OutcomeDescription"/>
              <w:spacing w:before="120" w:after="120"/>
              <w:rPr>
                <w:rFonts w:cs="Arial"/>
                <w:lang w:eastAsia="en-NZ"/>
              </w:rPr>
            </w:pPr>
          </w:p>
        </w:tc>
        <w:tc>
          <w:tcPr>
            <w:tcW w:w="0" w:type="auto"/>
          </w:tcPr>
          <w:p w14:paraId="140D58F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1B39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provider, New Zealand Aged Care Services Limited (NZACS), currently operates ten aged care facilities and five retirement villages throughout New Zealand. Each care facility is its own legal entity with site-specific funding and employment agreements that the governing body/board assumes accountability for. The four-person board comprises the managing director (MD), who has long-term experience in owning and operating age care services, and people who have demonstrated clinical experience in aged care and disabilities, business knowledge, and Māori representation. All board members have completed an e-learning session on Te Tiriti o Waitangi and module one of the Ngā Paerewa training, which includes information on health equity and cultural safety. </w:t>
            </w:r>
          </w:p>
          <w:p w14:paraId="326967F8" w14:textId="77777777" w:rsidR="00000000" w:rsidRPr="00BE00C7" w:rsidRDefault="00000000" w:rsidP="00BE00C7">
            <w:pPr>
              <w:pStyle w:val="OutcomeDescription"/>
              <w:spacing w:before="120" w:after="120"/>
              <w:rPr>
                <w:rFonts w:cs="Arial"/>
                <w:lang w:eastAsia="en-NZ"/>
              </w:rPr>
            </w:pPr>
            <w:r w:rsidRPr="00BE00C7">
              <w:rPr>
                <w:rFonts w:cs="Arial"/>
                <w:lang w:eastAsia="en-NZ"/>
              </w:rPr>
              <w:t>Compliance with legislative, contractual, and regulatory requirements is overseen by a senior leadership team and monitored by the board, with external advice sought as required.  The senior leadership team (MD, general manager operations and a national clinical manager, GM finance and a senior human resource person) meet weekly for discussions and review of service delivery and planning. There is a transition plan for this and three other Oceania age care facilities that are being purchased by NZACS, with goals, actions, and time frames.</w:t>
            </w:r>
          </w:p>
          <w:p w14:paraId="10C655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New Zealand Aged Care Service’s overall business plan describes its purpose, values, direction, scope and goals. Each care facility develops site-specific goals, which respond to organisational goals.  Monitoring and review of each care facility’s performance occurs at monthly board meetings.  A focus on identifying barriers to access, improving outcomes, and achieving equity for Māori and tāngata whaikaha was evident in plans and monitoring documentation reviewed and through interview with the MD. Clinical key performance indicators (KPIs) provide the board with quality data to monitor service delivery, progress and risks. The board's commitment to quality and risk management processes is demonstrated in policies and monthly board reports.  The </w:t>
            </w:r>
            <w:r w:rsidRPr="00BE00C7">
              <w:rPr>
                <w:rFonts w:cs="Arial"/>
                <w:lang w:eastAsia="en-NZ"/>
              </w:rPr>
              <w:lastRenderedPageBreak/>
              <w:t xml:space="preserve">organisation has a well-established approach to clinical governance, which is appropriate to the size and complexity of the organisation. One of the directors sits on the clinical governance group. </w:t>
            </w:r>
          </w:p>
          <w:p w14:paraId="23C384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funder has been notified about the potential change of ownership. </w:t>
            </w:r>
          </w:p>
          <w:p w14:paraId="1EC7A2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current provider, Oceania Healthcare, has been delivering a high-quality service to the residents at Ohinemuri, with meaningful Māori representation on governance groups. The governance group demonstrated expertise in Te Tiriti, health equity and cultural safety. </w:t>
            </w:r>
          </w:p>
          <w:p w14:paraId="6BC1F8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Oceania has a well-established leadership structure and employs experienced and suitably qualified people to manage the service. The current general manager (GM) has been in the role for nine years and has worked for Oceania for fourteen years. The GM is well supported by the clinical manager (CM) who has worked at this facility for thirty years and in this role for over ten years. </w:t>
            </w:r>
          </w:p>
          <w:p w14:paraId="0B7750A0" w14:textId="77777777" w:rsidR="00000000" w:rsidRPr="00BE00C7" w:rsidRDefault="00000000" w:rsidP="00BE00C7">
            <w:pPr>
              <w:pStyle w:val="OutcomeDescription"/>
              <w:spacing w:before="120" w:after="120"/>
              <w:rPr>
                <w:rFonts w:cs="Arial"/>
                <w:lang w:eastAsia="en-NZ"/>
              </w:rPr>
            </w:pPr>
            <w:r w:rsidRPr="00BE00C7">
              <w:rPr>
                <w:rFonts w:cs="Arial"/>
                <w:lang w:eastAsia="en-NZ"/>
              </w:rPr>
              <w:t>People receiving services and their whānau participate in planning and evaluation of services through bi-monthly resident meetings, and six-monthly surveys.</w:t>
            </w:r>
          </w:p>
          <w:p w14:paraId="7B5CCA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holds contracts with Health New Zealand – Te Whatu Ora for residential aged care rest home, hospital and dementia care. Of the 67 residents on site, 22 were assessed as hospital-level care, 33 as rest home-level care and 12 dementia-level care.  Ten rooms are certified as dual-purpose (swing) beds.</w:t>
            </w:r>
          </w:p>
          <w:p w14:paraId="31CB38A2" w14:textId="77777777" w:rsidR="00000000" w:rsidRPr="00BE00C7" w:rsidRDefault="00000000" w:rsidP="00BE00C7">
            <w:pPr>
              <w:pStyle w:val="OutcomeDescription"/>
              <w:spacing w:before="120" w:after="120"/>
              <w:rPr>
                <w:rFonts w:cs="Arial"/>
                <w:lang w:eastAsia="en-NZ"/>
              </w:rPr>
            </w:pPr>
          </w:p>
        </w:tc>
      </w:tr>
      <w:tr w:rsidR="00283553" w14:paraId="07742F6E" w14:textId="77777777">
        <w:tc>
          <w:tcPr>
            <w:tcW w:w="0" w:type="auto"/>
          </w:tcPr>
          <w:p w14:paraId="61B882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2.2: Quality and risk </w:t>
            </w:r>
          </w:p>
          <w:p w14:paraId="7E6314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these systems meet the needs of people using the services and our health care </w:t>
            </w:r>
            <w:r w:rsidRPr="00BE00C7">
              <w:rPr>
                <w:rFonts w:cs="Arial"/>
                <w:lang w:eastAsia="en-NZ"/>
              </w:rPr>
              <w:lastRenderedPageBreak/>
              <w:t>and support workers.</w:t>
            </w:r>
          </w:p>
          <w:p w14:paraId="3A0902AC" w14:textId="77777777" w:rsidR="00000000" w:rsidRPr="00BE00C7" w:rsidRDefault="00000000" w:rsidP="00BE00C7">
            <w:pPr>
              <w:pStyle w:val="OutcomeDescription"/>
              <w:spacing w:before="120" w:after="120"/>
              <w:rPr>
                <w:rFonts w:cs="Arial"/>
                <w:lang w:eastAsia="en-NZ"/>
              </w:rPr>
            </w:pPr>
          </w:p>
        </w:tc>
        <w:tc>
          <w:tcPr>
            <w:tcW w:w="0" w:type="auto"/>
          </w:tcPr>
          <w:p w14:paraId="06B846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67715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Oceania HealthCare, the current operator, has a planned quality and risk system that reflects the principles of continuous quality improvement.  These include a clinical risk management policy, document control, clinical governance terms of reference, quality improvement policy, health and safety strategy, critical incident/accident/sentinel event policy, and the quality cycle. Relevant corrective actions are developed and implemented to address any shortfalls, and these are benchmarked at national level. Progress against quality outcomes is evaluated. Quality data is communicated and discussed, and this was confirmed through records sighted and by staff at interview. </w:t>
            </w:r>
          </w:p>
          <w:p w14:paraId="01928BE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on-site quality and risk monitoring at Ohinemuri includes collecting, collating and analysing quality data (such as clinical incidents) to identify trends, and conducting regular internal audits to monitor compliance with procedures. Where internal audits, resident/family feedback, or analyses of quality data indicated the need for improvement, corrective action plans were developed, with actions implemented and evaluated before being closed out. Evidence that results of quality monitoring and adverse event analysis is shared with staff was sighted in the minutes of monthly quality/staff and RN meetings and confirmed by interviews.</w:t>
            </w:r>
          </w:p>
          <w:p w14:paraId="6E0E21B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whānau and staff contribute to quality improvement using the six-monthly surveys, or by one-to-one or group meeting feedback. The May and November 2025 residents’ and relatives' satisfaction survey did not reveal any significant issues. Oceania is currently reviewing the survey templates for both residents and staff, as part a quality improvement project for 2026.</w:t>
            </w:r>
          </w:p>
          <w:p w14:paraId="2F2F58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Oceania conducts critical analysis of practices and systems, using ethnicity data, to identify possible inequities and the service works to address these. Delivering high-quality care to Māori residents is supported through relevant training, tikanga policies, and access to cultural support roles internally and externally. </w:t>
            </w:r>
          </w:p>
          <w:p w14:paraId="46519428" w14:textId="77777777" w:rsidR="00000000" w:rsidRPr="00BE00C7" w:rsidRDefault="00000000" w:rsidP="00BE00C7">
            <w:pPr>
              <w:pStyle w:val="OutcomeDescription"/>
              <w:spacing w:before="120" w:after="120"/>
              <w:rPr>
                <w:rFonts w:cs="Arial"/>
                <w:lang w:eastAsia="en-NZ"/>
              </w:rPr>
            </w:pPr>
            <w:r w:rsidRPr="00BE00C7">
              <w:rPr>
                <w:rFonts w:cs="Arial"/>
                <w:lang w:eastAsia="en-NZ"/>
              </w:rPr>
              <w:t>Oceania has implemented processes for the identification, documentation, monitoring, review and reporting of risks, including health and safety risks, and development of mitigation strategies. Staff document adverse and near-miss events in line with the National Adverse Events Policy. A sample of incident forms reviewed showed these were fully completed, incidents were investigated, action plans developed, and actions followed up in a timely manner.  Ohinemuri has complied with essential notification reporting requirements. Two incidents relating to resident falls with each sustaining a fracture were reported in 2025 to the Health Quality &amp; Safety Commission (HSQC). Nil Section 31 notifications were reported in 2025.</w:t>
            </w:r>
          </w:p>
          <w:p w14:paraId="42ADAD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provider intends implementing its quality and risk management system, including policies/procedures and methods for performance monitoring.  Transition from Oceania systems to NZACS systems has successfully occurred in two other aged care homes after </w:t>
            </w:r>
            <w:r w:rsidRPr="00BE00C7">
              <w:rPr>
                <w:rFonts w:cs="Arial"/>
                <w:lang w:eastAsia="en-NZ"/>
              </w:rPr>
              <w:lastRenderedPageBreak/>
              <w:t xml:space="preserve">change of ownership between the same parties.  </w:t>
            </w:r>
          </w:p>
          <w:p w14:paraId="1BE6FC92" w14:textId="77777777" w:rsidR="00000000" w:rsidRPr="00BE00C7" w:rsidRDefault="00000000" w:rsidP="00BE00C7">
            <w:pPr>
              <w:pStyle w:val="OutcomeDescription"/>
              <w:spacing w:before="120" w:after="120"/>
              <w:rPr>
                <w:rFonts w:cs="Arial"/>
                <w:lang w:eastAsia="en-NZ"/>
              </w:rPr>
            </w:pPr>
          </w:p>
        </w:tc>
      </w:tr>
      <w:tr w:rsidR="00283553" w14:paraId="22D299C4" w14:textId="77777777">
        <w:tc>
          <w:tcPr>
            <w:tcW w:w="0" w:type="auto"/>
          </w:tcPr>
          <w:p w14:paraId="0F4C3F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B3BD8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1F75687" w14:textId="77777777" w:rsidR="00000000" w:rsidRPr="00BE00C7" w:rsidRDefault="00000000" w:rsidP="00BE00C7">
            <w:pPr>
              <w:pStyle w:val="OutcomeDescription"/>
              <w:spacing w:before="120" w:after="120"/>
              <w:rPr>
                <w:rFonts w:cs="Arial"/>
                <w:lang w:eastAsia="en-NZ"/>
              </w:rPr>
            </w:pPr>
          </w:p>
        </w:tc>
        <w:tc>
          <w:tcPr>
            <w:tcW w:w="0" w:type="auto"/>
          </w:tcPr>
          <w:p w14:paraId="48BF60F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F7E1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facility adjusts staffing levels to meet the changing needs of residents. Care staff reported there were adequate staff to complete the work allocated to them. Residents and whānau interviewed supported this. At least one staff member on duty has a current first aid certificate and there is at least one RN on site 24/7.  </w:t>
            </w:r>
          </w:p>
          <w:p w14:paraId="70913D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sample of rosters sighted showed that two registered nurses (RNs) are allocated on AM and PM shifts, and one RN is rostered on each night. There are nine care staff allocated on the morning shifts, eight in the afternoon, and four care staff are on night shifts due to the layout of the facility and the three services to be covered. The clinical manager is on site Monday to Friday, and on call after hours. </w:t>
            </w:r>
          </w:p>
          <w:p w14:paraId="0EFB50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three activities staff employed, which ensures there are at least two activities people on site seven days a week. One is a registered diversional therapist, and the other two are drivers and activities coordinators.  Two administration staff cover reception seven days a week and provide administrative assistance to the two managers. The main cook works five days a week, with every Friday being an administration day. Kitchenhands (two) are rostered seven days a week and are trained to cover the cook as needed. A tea cook works 2pm until 6pm Monday to Sunday, and support is provided by a kitchenhand who works 4.30pm to 7.30pm. Two staff cover the cleaning of the facility seven days a week with Tuesday, Wednesday and Thursday, having two cleaners on site for extra cleaning duties.</w:t>
            </w:r>
          </w:p>
          <w:p w14:paraId="5A40F0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supports equitable service delivery. This is planned on an annual basis, and all staff are expected to attend a study day (specific to either RNs, healthcare assistants (HCAs) and non-clinical staff ) once a year.  The RN study days include assessment and care planning, medico-legal issues such as advance directives, advocacy and enduring power of attorney, wound and pain management. Nine of the eleven RNs (including the CM) are </w:t>
            </w:r>
            <w:r w:rsidRPr="00BE00C7">
              <w:rPr>
                <w:rFonts w:cs="Arial"/>
                <w:lang w:eastAsia="en-NZ"/>
              </w:rPr>
              <w:lastRenderedPageBreak/>
              <w:t xml:space="preserve">maintaining interRAI competencies. One RN is enrolled to complete the course in 2026. All RNs have current medicine competencies, and syringe driver competencies.  The HCA study days include consumer rights, informed consent, privacy, cultural safety and learning about Te Tiriti o Waitangi, infection control, restraint, health, and safety including manual handling, plus a range of essential resident care topics. For example, safe swallowing, pressure injuries, pain management, palliative care support, and the STOP and WATCH tool. All staff have completed first aid training and certificates were sighted.  </w:t>
            </w:r>
          </w:p>
          <w:p w14:paraId="08581468"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have attended specific education on equity and ensuring high-quality care for Māori. In addition to the study days, the CM presents monthly toolbox talks on a variety of subjects, and all staff are competency-assessed in areas related to their roles. Each of the eight staff records reviewed contained evidence that the required training and competency assessments had occurred in the past 12 months.</w:t>
            </w:r>
          </w:p>
          <w:p w14:paraId="36139773" w14:textId="77777777" w:rsidR="00000000" w:rsidRPr="00BE00C7" w:rsidRDefault="00000000" w:rsidP="00BE00C7">
            <w:pPr>
              <w:pStyle w:val="OutcomeDescription"/>
              <w:spacing w:before="120" w:after="120"/>
              <w:rPr>
                <w:rFonts w:cs="Arial"/>
                <w:lang w:eastAsia="en-NZ"/>
              </w:rPr>
            </w:pPr>
            <w:r w:rsidRPr="00BE00C7">
              <w:rPr>
                <w:rFonts w:cs="Arial"/>
                <w:lang w:eastAsia="en-NZ"/>
              </w:rPr>
              <w:t>Most of the care staff have completed New Zealand Qualifications Authority (NZQA) recognized education. Of the 43 HCAs employed, 22 have achieved Level 4 of the New Zealand Certificate in Health and Wellbeing, nine are at Level 3, and two cleaners have completed Level 2 cleaning and are Level 3 HCAs as well. Ten staff are yet to be enrolled in the training. All staff who are rostered to work in the dementia care service have completed the relevant training.</w:t>
            </w:r>
          </w:p>
          <w:p w14:paraId="28A5DD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feeling well supported and safe in the workplace. </w:t>
            </w:r>
          </w:p>
          <w:p w14:paraId="7E1E70D2" w14:textId="77777777" w:rsidR="00000000" w:rsidRPr="00BE00C7" w:rsidRDefault="00000000" w:rsidP="00BE00C7">
            <w:pPr>
              <w:pStyle w:val="OutcomeDescription"/>
              <w:spacing w:before="120" w:after="120"/>
              <w:rPr>
                <w:rFonts w:cs="Arial"/>
                <w:lang w:eastAsia="en-NZ"/>
              </w:rPr>
            </w:pPr>
            <w:r w:rsidRPr="00BE00C7">
              <w:rPr>
                <w:rFonts w:cs="Arial"/>
                <w:lang w:eastAsia="en-NZ"/>
              </w:rPr>
              <w:t>New Zealand Aged Care Services has no immediate plans to change the staffing configuration and ratios.</w:t>
            </w:r>
          </w:p>
          <w:p w14:paraId="70DB2976" w14:textId="77777777" w:rsidR="00000000" w:rsidRPr="00BE00C7" w:rsidRDefault="00000000" w:rsidP="00BE00C7">
            <w:pPr>
              <w:pStyle w:val="OutcomeDescription"/>
              <w:spacing w:before="120" w:after="120"/>
              <w:rPr>
                <w:rFonts w:cs="Arial"/>
                <w:lang w:eastAsia="en-NZ"/>
              </w:rPr>
            </w:pPr>
          </w:p>
        </w:tc>
      </w:tr>
      <w:tr w:rsidR="00283553" w14:paraId="282C0759" w14:textId="77777777">
        <w:tc>
          <w:tcPr>
            <w:tcW w:w="0" w:type="auto"/>
          </w:tcPr>
          <w:p w14:paraId="0461BE7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34D468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t>
            </w:r>
            <w:r w:rsidRPr="00BE00C7">
              <w:rPr>
                <w:rFonts w:cs="Arial"/>
                <w:lang w:eastAsia="en-NZ"/>
              </w:rPr>
              <w:lastRenderedPageBreak/>
              <w:t>workers who are skilled and qualified to provide clinically and culturally safe, respectful, quality care and services.</w:t>
            </w:r>
          </w:p>
          <w:p w14:paraId="53BC6940" w14:textId="77777777" w:rsidR="00000000" w:rsidRPr="00BE00C7" w:rsidRDefault="00000000" w:rsidP="00BE00C7">
            <w:pPr>
              <w:pStyle w:val="OutcomeDescription"/>
              <w:spacing w:before="120" w:after="120"/>
              <w:rPr>
                <w:rFonts w:cs="Arial"/>
                <w:lang w:eastAsia="en-NZ"/>
              </w:rPr>
            </w:pPr>
          </w:p>
        </w:tc>
        <w:tc>
          <w:tcPr>
            <w:tcW w:w="0" w:type="auto"/>
          </w:tcPr>
          <w:p w14:paraId="7E1EAFA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A44F5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are being consistently implemented.  Job descriptions were documented for each role. Professional qualifications and registration (where applicable) had been validated prior to employment.  All 11 RNs had valid annual practicing certificates (APCs) with the New Zealand Nursing Council. The health professionals contracted to the service have their annual practising certificates (APCs) validated annually and a record was </w:t>
            </w:r>
            <w:r w:rsidRPr="00BE00C7">
              <w:rPr>
                <w:rFonts w:cs="Arial"/>
                <w:lang w:eastAsia="en-NZ"/>
              </w:rPr>
              <w:lastRenderedPageBreak/>
              <w:t xml:space="preserve">maintained by the administrator and the records were sighted. </w:t>
            </w:r>
          </w:p>
          <w:p w14:paraId="429B6C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 </w:t>
            </w:r>
          </w:p>
          <w:p w14:paraId="5FA6D7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performance is reviewed and discussed at regular intervals. Each of the staff files reviewed contained a recent performance appraisal.  </w:t>
            </w:r>
          </w:p>
          <w:p w14:paraId="1E9843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information, including ethnicity data, is accurately recorded, held confidentially, and used in line with the Health Information Standards Organisation (HISO) requirements. </w:t>
            </w:r>
          </w:p>
          <w:p w14:paraId="5251A5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two serious incidents or challenging situations that required debriefing in 2025. The staff interviewed stated that they understood they would be provided with opportunities for support to whatever extent they needed. Management also have authority to refer staff to an external counselling/support provider.</w:t>
            </w:r>
          </w:p>
          <w:p w14:paraId="21467CBC" w14:textId="77777777" w:rsidR="00000000" w:rsidRPr="00BE00C7" w:rsidRDefault="00000000" w:rsidP="00BE00C7">
            <w:pPr>
              <w:pStyle w:val="OutcomeDescription"/>
              <w:spacing w:before="120" w:after="120"/>
              <w:rPr>
                <w:rFonts w:cs="Arial"/>
                <w:lang w:eastAsia="en-NZ"/>
              </w:rPr>
            </w:pPr>
          </w:p>
        </w:tc>
      </w:tr>
      <w:tr w:rsidR="00283553" w14:paraId="68D3E34E" w14:textId="77777777">
        <w:tc>
          <w:tcPr>
            <w:tcW w:w="0" w:type="auto"/>
          </w:tcPr>
          <w:p w14:paraId="3C22AD0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195411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920D116" w14:textId="77777777" w:rsidR="00000000" w:rsidRPr="00BE00C7" w:rsidRDefault="00000000" w:rsidP="00BE00C7">
            <w:pPr>
              <w:pStyle w:val="OutcomeDescription"/>
              <w:spacing w:before="120" w:after="120"/>
              <w:rPr>
                <w:rFonts w:cs="Arial"/>
                <w:lang w:eastAsia="en-NZ"/>
              </w:rPr>
            </w:pPr>
          </w:p>
        </w:tc>
        <w:tc>
          <w:tcPr>
            <w:tcW w:w="0" w:type="auto"/>
          </w:tcPr>
          <w:p w14:paraId="0B020D2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BED0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Ohinemuri is maintaining quality records that comply with relevant legislation, health information standards, and professional guidelines. Most information was held electronically and password protected. Any paper-based records were held securely and only available to authorised users. </w:t>
            </w:r>
          </w:p>
          <w:p w14:paraId="7B6027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files were integrated, electronic and hard-copy files. Files for residents and staff were held securely for the required period before being destroyed. No personal or private resident information was on public display during the audit. </w:t>
            </w:r>
          </w:p>
          <w:p w14:paraId="32D532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Clinical notes were current, integrated and legible, and met current documentation standards. Consent was sighted for data collection. Data collected included ethnicity data. </w:t>
            </w:r>
          </w:p>
          <w:p w14:paraId="37F9718D" w14:textId="77777777" w:rsidR="00000000" w:rsidRPr="00BE00C7" w:rsidRDefault="00000000" w:rsidP="00BE00C7">
            <w:pPr>
              <w:pStyle w:val="OutcomeDescription"/>
              <w:spacing w:before="120" w:after="120"/>
              <w:rPr>
                <w:rFonts w:cs="Arial"/>
                <w:lang w:eastAsia="en-NZ"/>
              </w:rPr>
            </w:pPr>
            <w:r w:rsidRPr="00BE00C7">
              <w:rPr>
                <w:rFonts w:cs="Arial"/>
                <w:lang w:eastAsia="en-NZ"/>
              </w:rPr>
              <w:t>This aged care facility is not responsible for the National Health Index registration of people receiving services.</w:t>
            </w:r>
          </w:p>
          <w:p w14:paraId="7785F34E" w14:textId="77777777" w:rsidR="00000000" w:rsidRPr="00BE00C7" w:rsidRDefault="00000000" w:rsidP="00BE00C7">
            <w:pPr>
              <w:pStyle w:val="OutcomeDescription"/>
              <w:spacing w:before="120" w:after="120"/>
              <w:rPr>
                <w:rFonts w:cs="Arial"/>
                <w:lang w:eastAsia="en-NZ"/>
              </w:rPr>
            </w:pPr>
          </w:p>
        </w:tc>
      </w:tr>
      <w:tr w:rsidR="00283553" w14:paraId="0BFC4312" w14:textId="77777777">
        <w:tc>
          <w:tcPr>
            <w:tcW w:w="0" w:type="auto"/>
          </w:tcPr>
          <w:p w14:paraId="23C41DC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35B7FB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E3CB470" w14:textId="77777777" w:rsidR="00000000" w:rsidRPr="00BE00C7" w:rsidRDefault="00000000" w:rsidP="00BE00C7">
            <w:pPr>
              <w:pStyle w:val="OutcomeDescription"/>
              <w:spacing w:before="120" w:after="120"/>
              <w:rPr>
                <w:rFonts w:cs="Arial"/>
                <w:lang w:eastAsia="en-NZ"/>
              </w:rPr>
            </w:pPr>
          </w:p>
        </w:tc>
        <w:tc>
          <w:tcPr>
            <w:tcW w:w="0" w:type="auto"/>
          </w:tcPr>
          <w:p w14:paraId="29E316F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F3BE8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 Ohinemuri when their required level of care has been assessed and confirmed by the local Needs Assessment and Service Coordination (NASC) agency. Files reviewed met contractual requirements.  Residents enter the service based on documented entry criteria available to the community and understood by staff.  The entry process meets the needs of residents. Residents’ admission into the secure dementia unit was approved by the specialists. EPOAs for residents in the dementia unit gave consent for admission. Whānau interviewed were satisfied with the admission process and the information that had been made available to them on admission.</w:t>
            </w:r>
          </w:p>
          <w:p w14:paraId="2CE1ADAB"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a prospective resident is declined entry, there are processes for communicating the decision. Related data is documented and analysed, including decline rates for Māori. There was evidence of clear communication and explanation provided to the NASC agency when a resident was declined entry.</w:t>
            </w:r>
          </w:p>
          <w:p w14:paraId="68D044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audit, there were Māori residents residing at Ohinemuri. Policies and procedures sighted confirmed that the service was able to provide culturally appropriate support for Māori residents and their whānau. This was also confirmed during the staff and whānau interviews. </w:t>
            </w:r>
          </w:p>
          <w:p w14:paraId="18DDD2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and supports Māori and their whānau when entering the service.</w:t>
            </w:r>
          </w:p>
          <w:p w14:paraId="10D30F3D" w14:textId="77777777" w:rsidR="00000000" w:rsidRPr="00BE00C7" w:rsidRDefault="00000000" w:rsidP="00BE00C7">
            <w:pPr>
              <w:pStyle w:val="OutcomeDescription"/>
              <w:spacing w:before="120" w:after="120"/>
              <w:rPr>
                <w:rFonts w:cs="Arial"/>
                <w:lang w:eastAsia="en-NZ"/>
              </w:rPr>
            </w:pPr>
          </w:p>
        </w:tc>
      </w:tr>
      <w:tr w:rsidR="00283553" w14:paraId="0E392CC7" w14:textId="77777777">
        <w:tc>
          <w:tcPr>
            <w:tcW w:w="0" w:type="auto"/>
          </w:tcPr>
          <w:p w14:paraId="67A5CDF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5EDAB6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 xml:space="preserve">As service providers: We work in partnership with people and </w:t>
            </w:r>
            <w:r w:rsidRPr="00BE00C7">
              <w:rPr>
                <w:rFonts w:cs="Arial"/>
                <w:lang w:eastAsia="en-NZ"/>
              </w:rPr>
              <w:lastRenderedPageBreak/>
              <w:t>whānau to support wellbeing.</w:t>
            </w:r>
          </w:p>
          <w:p w14:paraId="07A7644F" w14:textId="77777777" w:rsidR="00000000" w:rsidRPr="00BE00C7" w:rsidRDefault="00000000" w:rsidP="00BE00C7">
            <w:pPr>
              <w:pStyle w:val="OutcomeDescription"/>
              <w:spacing w:before="120" w:after="120"/>
              <w:rPr>
                <w:rFonts w:cs="Arial"/>
                <w:lang w:eastAsia="en-NZ"/>
              </w:rPr>
            </w:pPr>
          </w:p>
        </w:tc>
        <w:tc>
          <w:tcPr>
            <w:tcW w:w="0" w:type="auto"/>
          </w:tcPr>
          <w:p w14:paraId="3BBFDA8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2E5C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(MDT) work in partnership with the resident and whānau to support wellbeing.  A care plan, based on the provider’s model of care, is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are recorded. </w:t>
            </w:r>
          </w:p>
          <w:p w14:paraId="6F99F2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Assessment is based on a range of clinical assessments and includes </w:t>
            </w:r>
            <w:r w:rsidRPr="00BE00C7">
              <w:rPr>
                <w:rFonts w:cs="Arial"/>
                <w:lang w:eastAsia="en-NZ"/>
              </w:rPr>
              <w:lastRenderedPageBreak/>
              <w:t>resident and whānau input (as applicable).  Timeframes for the initial assessment, nurse practitioner (NP) assessment, initial care plan, long-term care plan, and review timeframes meet contractual and policy requirements.  The care plans were person-centred and developed with the person, and include wellbeing, community participation as able, and meeting their physical needs and health needs where the service has a role to play.</w:t>
            </w:r>
          </w:p>
          <w:p w14:paraId="7FFB608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understood and support Māori and whānau to identify their own pae ora outcomes in their care plan. This was verified by sampling residents’ records, and from interviews of clinical staff, residents and whānau.</w:t>
            </w:r>
          </w:p>
          <w:p w14:paraId="69B3936E"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Behaviour management plans were completed for residents in the dementia unit, with identified triggers and strategies to manage the identified behaviours documented. Behaviour monitoring charts were completed for identified behaviours of concern. Where progress is different to that expected, changes are made to the care plan in collaboration with the resident and/or whānau. Residents and whānau confirmed active involvement in the process. The NP expressed satisfaction with the standard of care provided to residents.</w:t>
            </w:r>
          </w:p>
          <w:p w14:paraId="292BC2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Tāngata whaikaha participate in service development through meetings held monthly.  Examples of choices and control over service delivery were discussed with staff, tāngata whaikaha or whānau.  Tāngata whaikaha/whānau can independently access information.  </w:t>
            </w:r>
          </w:p>
          <w:p w14:paraId="3AA2AFA5" w14:textId="77777777" w:rsidR="00000000" w:rsidRPr="00BE00C7" w:rsidRDefault="00000000" w:rsidP="0067319C">
            <w:pPr>
              <w:pStyle w:val="OutcomeDescription"/>
              <w:spacing w:before="120" w:after="120"/>
              <w:rPr>
                <w:rFonts w:cs="Arial"/>
                <w:lang w:eastAsia="en-NZ"/>
              </w:rPr>
            </w:pPr>
          </w:p>
        </w:tc>
      </w:tr>
      <w:tr w:rsidR="00283553" w14:paraId="657F2FA3" w14:textId="77777777">
        <w:tc>
          <w:tcPr>
            <w:tcW w:w="0" w:type="auto"/>
          </w:tcPr>
          <w:p w14:paraId="42778DF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3.3: Individualised activities</w:t>
            </w:r>
          </w:p>
          <w:p w14:paraId="7F8EBF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maintain and develop their interests and participate in meaningful community and social activities, planned and unplanned, which are </w:t>
            </w:r>
            <w:r w:rsidRPr="00BE00C7">
              <w:rPr>
                <w:rFonts w:cs="Arial"/>
                <w:lang w:eastAsia="en-NZ"/>
              </w:rPr>
              <w:lastRenderedPageBreak/>
              <w:t>suitable for their age and stage and are satisfying to them.</w:t>
            </w:r>
          </w:p>
          <w:p w14:paraId="22484DBB" w14:textId="77777777" w:rsidR="00000000" w:rsidRPr="00BE00C7" w:rsidRDefault="00000000" w:rsidP="00BE00C7">
            <w:pPr>
              <w:pStyle w:val="OutcomeDescription"/>
              <w:spacing w:before="120" w:after="120"/>
              <w:rPr>
                <w:rFonts w:cs="Arial"/>
                <w:lang w:eastAsia="en-NZ"/>
              </w:rPr>
            </w:pPr>
          </w:p>
        </w:tc>
        <w:tc>
          <w:tcPr>
            <w:tcW w:w="0" w:type="auto"/>
          </w:tcPr>
          <w:p w14:paraId="4ADABD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4A4A4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supports residents to maintain and develop their interests and is suitable for their age and stage of life. One trained diversional therapist (DT) and an activities coordinator are employed. The DT has completed the Level 4 New Zealand Qualifications Authority (NZQA) requirements and has been in this role for one year. They have previous experience at this facility as an activity’s coordinator for many years. </w:t>
            </w:r>
          </w:p>
          <w:p w14:paraId="7B4E5E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is developed monthly and implemented </w:t>
            </w:r>
            <w:r w:rsidRPr="00BE00C7">
              <w:rPr>
                <w:rFonts w:cs="Arial"/>
                <w:lang w:eastAsia="en-NZ"/>
              </w:rPr>
              <w:lastRenderedPageBreak/>
              <w:t>weekly. It offers a wide range of activities and is displayed throughout the facility. The programme follows the Oceania ‘Five Ways to Wellbeing Framework’, which was displayed on the programme reviewed. Group and individual activities are planned inclusive of leisure, cultural, and community events included in the programme.</w:t>
            </w:r>
          </w:p>
          <w:p w14:paraId="087E1DAA"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Activity assessments and plans identify individual interests and consider the person’s identity. Individual and group activities reflect residents’ goals and interests, ordinary patterns of life, and include normal community activities. Opportunities for Māori and whānau to participate in te ao Māori are facilitated. Community initiatives meet the needs of Māori. A church service is held monthly at the facility.</w:t>
            </w:r>
          </w:p>
          <w:p w14:paraId="6944B8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for residents in the dementia unit were structured to meet the residents’ needs, and the DT stated that these can be changed when required. Residents were observed participating in a variety of activities on the days of the audit. Twenty-four-hour activity plans were completed for residents in the dementia unit. Residents can freely access secure garden areas with level paving. This was observed on the days of the audit. </w:t>
            </w:r>
          </w:p>
          <w:p w14:paraId="0C54EA5E"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on the programme is provided through the resident meetings and the annual resident/family survey.  Those interviewed confirmed they found the programme meets their needs.</w:t>
            </w:r>
          </w:p>
          <w:p w14:paraId="30AFDB5C" w14:textId="77777777" w:rsidR="00000000" w:rsidRPr="00BE00C7" w:rsidRDefault="00000000" w:rsidP="00BE00C7">
            <w:pPr>
              <w:pStyle w:val="OutcomeDescription"/>
              <w:spacing w:before="120" w:after="120"/>
              <w:rPr>
                <w:rFonts w:cs="Arial"/>
                <w:lang w:eastAsia="en-NZ"/>
              </w:rPr>
            </w:pPr>
          </w:p>
        </w:tc>
      </w:tr>
      <w:tr w:rsidR="00283553" w14:paraId="27CEA354" w14:textId="77777777">
        <w:tc>
          <w:tcPr>
            <w:tcW w:w="0" w:type="auto"/>
          </w:tcPr>
          <w:p w14:paraId="5B536A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2A2B00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EB797D0" w14:textId="77777777" w:rsidR="00000000" w:rsidRPr="00BE00C7" w:rsidRDefault="00000000" w:rsidP="00BE00C7">
            <w:pPr>
              <w:pStyle w:val="OutcomeDescription"/>
              <w:spacing w:before="120" w:after="120"/>
              <w:rPr>
                <w:rFonts w:cs="Arial"/>
                <w:lang w:eastAsia="en-NZ"/>
              </w:rPr>
            </w:pPr>
          </w:p>
        </w:tc>
        <w:tc>
          <w:tcPr>
            <w:tcW w:w="0" w:type="auto"/>
          </w:tcPr>
          <w:p w14:paraId="7447DA7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958B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up to date and in line with the Medicines Care Guide for Residential Aged Care and current best practice.  A safe system for medicine management using an electronic system was observed on the day of audit.  All staff who administer medicines were competent to perform the function they managed.  </w:t>
            </w:r>
          </w:p>
          <w:p w14:paraId="1B0E1B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w:t>
            </w:r>
          </w:p>
          <w:p w14:paraId="074035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Medicines are stored safely, including controlled drugs. The required stock checks had been completed.  The contracted pharmacist completed the last stock review on 7 October 2025. Medicines stored were within the recommended temperature range, with daily monitoring of the medication room and fridge temperatures. </w:t>
            </w:r>
          </w:p>
          <w:p w14:paraId="454FE7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Prescribing practices meet requirements.  Medicine-related allergies or sensitivities are recorded, and any adverse events responded to appropriately. Over-the-counter medication and supplements are considered by the prescriber as part of the person’s medication. The required three-monthly NP reviews were consistently recorded on the medicine charts by the NP who covers this service.  Standing orders are not used. The NP interviewed stated that they work collaboratively with the contracted pharmacist.</w:t>
            </w:r>
          </w:p>
          <w:p w14:paraId="257202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Self-administration of medication is facilitated and managed safely. There were residents who were self-administering medication at the time of the audit.  Residents, including Māori residents and their whānau, are supported to understand their medications.   </w:t>
            </w:r>
          </w:p>
          <w:p w14:paraId="21E82D79" w14:textId="77777777" w:rsidR="00000000" w:rsidRPr="00BE00C7" w:rsidRDefault="00000000" w:rsidP="00BE00C7">
            <w:pPr>
              <w:pStyle w:val="OutcomeDescription"/>
              <w:spacing w:before="120" w:after="120"/>
              <w:rPr>
                <w:rFonts w:cs="Arial"/>
                <w:lang w:eastAsia="en-NZ"/>
              </w:rPr>
            </w:pPr>
            <w:r w:rsidRPr="00BE00C7">
              <w:rPr>
                <w:rFonts w:cs="Arial"/>
                <w:lang w:eastAsia="en-NZ"/>
              </w:rPr>
              <w:t>Pro re rata (PRN) medicines were administered as prescribed, and outcome monitoring following PRN administration was consistently documented in the records reviewed.</w:t>
            </w:r>
          </w:p>
          <w:p w14:paraId="632544D6" w14:textId="77777777" w:rsidR="00000000" w:rsidRPr="00BE00C7" w:rsidRDefault="00000000" w:rsidP="00BE00C7">
            <w:pPr>
              <w:pStyle w:val="OutcomeDescription"/>
              <w:spacing w:before="120" w:after="120"/>
              <w:rPr>
                <w:rFonts w:cs="Arial"/>
                <w:lang w:eastAsia="en-NZ"/>
              </w:rPr>
            </w:pPr>
          </w:p>
        </w:tc>
      </w:tr>
      <w:tr w:rsidR="00283553" w14:paraId="3D5C9042" w14:textId="77777777">
        <w:tc>
          <w:tcPr>
            <w:tcW w:w="0" w:type="auto"/>
          </w:tcPr>
          <w:p w14:paraId="3D5CA25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5CC88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2996BA6" w14:textId="77777777" w:rsidR="00000000" w:rsidRPr="00BE00C7" w:rsidRDefault="00000000" w:rsidP="00BE00C7">
            <w:pPr>
              <w:pStyle w:val="OutcomeDescription"/>
              <w:spacing w:before="120" w:after="120"/>
              <w:rPr>
                <w:rFonts w:cs="Arial"/>
                <w:lang w:eastAsia="en-NZ"/>
              </w:rPr>
            </w:pPr>
          </w:p>
        </w:tc>
        <w:tc>
          <w:tcPr>
            <w:tcW w:w="0" w:type="auto"/>
          </w:tcPr>
          <w:p w14:paraId="42C39AC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162F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is in line with recognised nutritional guidelines for people using the services.  The menu has been reviewed by a qualified dietitian within the last two years. The last menu review by the Oceania registered dietitian was completed on 13 October 2025.  Recommendations made at that time have been implemented. The menus sighted complied with the Ministry of Health Guidelines for Older Adults, the Ngā Paerewa Standard and the International Dysphagia Diet Standardisation Initiative.</w:t>
            </w:r>
          </w:p>
          <w:p w14:paraId="1F2035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operates with an approved food safety plan and registration, which expires on 28 March 2026. </w:t>
            </w:r>
          </w:p>
          <w:p w14:paraId="31B205C9"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has a nutritional assessment on admission to the facility.  Personal food preferences, any special diets, and modified texture requirements are accommodated in the daily meal plan.  Māori and their whānau have menu options that are culturally specific to te ao Māori.  Residents were able to make their own hot drinks as desired.</w:t>
            </w:r>
          </w:p>
          <w:p w14:paraId="1594BB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Evidence of resident satisfaction with meals was verified by resident and whānau interviews, satisfaction surveys, and resident meeting minutes. Residents were given sufficient time to eat their meals in an </w:t>
            </w:r>
            <w:r w:rsidRPr="00BE00C7">
              <w:rPr>
                <w:rFonts w:cs="Arial"/>
                <w:lang w:eastAsia="en-NZ"/>
              </w:rPr>
              <w:lastRenderedPageBreak/>
              <w:t>unhurried fashion, and those requiring assistance had this provided with dignity. Snacks and drinks were provided to residents 24 hours a day.</w:t>
            </w:r>
          </w:p>
          <w:p w14:paraId="05D7A834" w14:textId="77777777" w:rsidR="00000000" w:rsidRPr="00BE00C7" w:rsidRDefault="00000000" w:rsidP="00BE00C7">
            <w:pPr>
              <w:pStyle w:val="OutcomeDescription"/>
              <w:spacing w:before="120" w:after="120"/>
              <w:rPr>
                <w:rFonts w:cs="Arial"/>
                <w:lang w:eastAsia="en-NZ"/>
              </w:rPr>
            </w:pPr>
          </w:p>
        </w:tc>
      </w:tr>
      <w:tr w:rsidR="00283553" w14:paraId="61135EF7" w14:textId="77777777">
        <w:tc>
          <w:tcPr>
            <w:tcW w:w="0" w:type="auto"/>
          </w:tcPr>
          <w:p w14:paraId="231704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51E0C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CC8A634" w14:textId="77777777" w:rsidR="00000000" w:rsidRPr="00BE00C7" w:rsidRDefault="00000000" w:rsidP="00BE00C7">
            <w:pPr>
              <w:pStyle w:val="OutcomeDescription"/>
              <w:spacing w:before="120" w:after="120"/>
              <w:rPr>
                <w:rFonts w:cs="Arial"/>
                <w:lang w:eastAsia="en-NZ"/>
              </w:rPr>
            </w:pPr>
          </w:p>
        </w:tc>
        <w:tc>
          <w:tcPr>
            <w:tcW w:w="0" w:type="auto"/>
          </w:tcPr>
          <w:p w14:paraId="289CE02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4FE1AE"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Transfer and discharge policies were in place to guide staff practice. Risks and current support needs are identified and managed. Options to access other health and disability services and social/cultural supports are discussed, where appropriate. Whānau reported being kept well informed during the transfer of their relative.</w:t>
            </w:r>
          </w:p>
          <w:p w14:paraId="04919BD1" w14:textId="77777777" w:rsidR="00000000" w:rsidRPr="00BE00C7" w:rsidRDefault="00000000" w:rsidP="00BE00C7">
            <w:pPr>
              <w:pStyle w:val="OutcomeDescription"/>
              <w:spacing w:before="120" w:after="120"/>
              <w:rPr>
                <w:rFonts w:cs="Arial"/>
                <w:lang w:eastAsia="en-NZ"/>
              </w:rPr>
            </w:pPr>
          </w:p>
        </w:tc>
      </w:tr>
      <w:tr w:rsidR="00283553" w14:paraId="5664DA2D" w14:textId="77777777">
        <w:tc>
          <w:tcPr>
            <w:tcW w:w="0" w:type="auto"/>
          </w:tcPr>
          <w:p w14:paraId="3F2F12D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0BF32F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B6B8635" w14:textId="77777777" w:rsidR="00000000" w:rsidRPr="00BE00C7" w:rsidRDefault="00000000" w:rsidP="00BE00C7">
            <w:pPr>
              <w:pStyle w:val="OutcomeDescription"/>
              <w:spacing w:before="120" w:after="120"/>
              <w:rPr>
                <w:rFonts w:cs="Arial"/>
                <w:lang w:eastAsia="en-NZ"/>
              </w:rPr>
            </w:pPr>
          </w:p>
        </w:tc>
        <w:tc>
          <w:tcPr>
            <w:tcW w:w="0" w:type="auto"/>
          </w:tcPr>
          <w:p w14:paraId="370846D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91962B"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are in place to ensure the physical environment and facilities (internal and external) are fit for their purpose, well maintained, and that they meet legislative requirements.  The current building warrant of fitness expires on 31 May 2026.</w:t>
            </w:r>
          </w:p>
          <w:p w14:paraId="133ACC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provider has completed building inspections and obtained a current property valuation.  Interviews with maintenance staff confirmed that the building is in good repair. </w:t>
            </w:r>
          </w:p>
          <w:p w14:paraId="51B421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environment was comfortable and accessible, promoting independence and safe mobility and minimising risk of harm.  Personalised equipment was available for residents with disabilities to meet their needs. Wheelchairs, hoists, electric beds, and medical equipment are visually checked by staff monthly and serviced annually by an external provider. The performance verification report sighted was dated 11 August 2025. Testing and tagging of electrical appliances occurred last on 12 August 2025.</w:t>
            </w:r>
          </w:p>
          <w:p w14:paraId="066352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numbers of accessible bathroom and toilet facilities throughout the facility all in close proximity to residents’ individual </w:t>
            </w:r>
            <w:r w:rsidRPr="00BE00C7">
              <w:rPr>
                <w:rFonts w:cs="Arial"/>
                <w:lang w:eastAsia="en-NZ"/>
              </w:rPr>
              <w:lastRenderedPageBreak/>
              <w:t>rooms.  In the west wing there are six rooms that have ensuite bathrooms, three ensuites in the hospital and two rooms available in the rest home. Hot water temperatures are tested each month to ensure these do not exceed 45 degrees.   The facility operates a mobility van that is registered with a current warrant of fitness and is maintained to a good standard.</w:t>
            </w:r>
          </w:p>
          <w:p w14:paraId="2B6852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heating (new heat pumps were installed in each resident’s room in May 2025), and ventilation, natural light, privacy, and maintenance.  The dementia level care residents’ have access to an outside garden with level paving and seating and shade was provided. </w:t>
            </w:r>
          </w:p>
          <w:p w14:paraId="5C1EB3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environment is inclusive of people’s cultures and supports cultural practices. There have been no new buildings, but management stated they would initiate a process that included consultation and co-design with Māori if needed. The prospective provider has no plans to make any changes to the environment.</w:t>
            </w:r>
          </w:p>
          <w:p w14:paraId="20EA44F9" w14:textId="77777777" w:rsidR="00000000" w:rsidRPr="00BE00C7" w:rsidRDefault="00000000" w:rsidP="00BE00C7">
            <w:pPr>
              <w:pStyle w:val="OutcomeDescription"/>
              <w:spacing w:before="120" w:after="120"/>
              <w:rPr>
                <w:rFonts w:cs="Arial"/>
                <w:lang w:eastAsia="en-NZ"/>
              </w:rPr>
            </w:pPr>
          </w:p>
        </w:tc>
      </w:tr>
      <w:tr w:rsidR="00283553" w14:paraId="40A16B7B" w14:textId="77777777">
        <w:tc>
          <w:tcPr>
            <w:tcW w:w="0" w:type="auto"/>
          </w:tcPr>
          <w:p w14:paraId="7612C26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48B872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70FB815" w14:textId="77777777" w:rsidR="00000000" w:rsidRPr="00BE00C7" w:rsidRDefault="00000000" w:rsidP="00BE00C7">
            <w:pPr>
              <w:pStyle w:val="OutcomeDescription"/>
              <w:spacing w:before="120" w:after="120"/>
              <w:rPr>
                <w:rFonts w:cs="Arial"/>
                <w:lang w:eastAsia="en-NZ"/>
              </w:rPr>
            </w:pPr>
          </w:p>
        </w:tc>
        <w:tc>
          <w:tcPr>
            <w:tcW w:w="0" w:type="auto"/>
          </w:tcPr>
          <w:p w14:paraId="6115D93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3A054B" w14:textId="77777777" w:rsidR="00000000" w:rsidRPr="00BE00C7" w:rsidRDefault="00000000"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 the procedures to be followed.  Staff have received relevant information and training and have appropriate equipment to respond to emergency and security situations.  The six-monthly fire evacuation drills have reliably occurred in 2025, the last being on 18 August 2025, and the next is scheduled to occur in February 2026.  Fire suppression systems are tested monthly.</w:t>
            </w:r>
          </w:p>
          <w:p w14:paraId="32E9D5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12 bottles (45Kgs) of liquid petroleum gas (LPG) stored at the rear of the facility near the kitchen area. A policy, procedure and check list is developed in preparedness, should there be an LPG leakage. An audit, trial evacuation and training were completed for all staff, and the compliance certificate expires on 29 May 2025. </w:t>
            </w:r>
          </w:p>
          <w:p w14:paraId="4FB365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knew what to do in an emergency.  The fire evacuation plan was approved by Fire and Emergency New Zealand (FENZ) on 24 May 2010, and no changes have been made to the building since then.  Adequate supplies for use in the event of a civil defence emergency meet The National Emergency Management Agency recommendations for the region. Sufficient stores of food, </w:t>
            </w:r>
            <w:r w:rsidRPr="00BE00C7">
              <w:rPr>
                <w:rFonts w:cs="Arial"/>
                <w:lang w:eastAsia="en-NZ"/>
              </w:rPr>
              <w:lastRenderedPageBreak/>
              <w:t xml:space="preserve">water and civil defence equipment were sighted. Battery-operated lighting automatically switches on during a power outage. This was checked monthly by the maintenance manager. There is a large generator on site which was checked regularly, and records were maintained. There are two 20,000 litre water tanks on site, one for the fire sprinkler system and one for resident use. Staff can provide a level of first aid relevant to the risks for the type of service provided. </w:t>
            </w:r>
          </w:p>
          <w:p w14:paraId="304DD9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Call bells alert staff to residents requiring assistance. Oceania has a call bell escalation system in place; if a call bell isn't responded to within three minutes, the call is stepped up to another level. This very seldom happens, according to the management staff interviewed. Residents and whānau reported that staff respond promptly to call bells.  </w:t>
            </w:r>
          </w:p>
          <w:p w14:paraId="359091F3"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Staff wear name badges and visitors and contractors are identified when they sign in electronically at reception. Management reported that there have been no security breaches. The main entry door is switched to closed after hours and exterior doors are locked at dusk.  Residents and whānau were familiarised with emergency and security arrangements, as and when required. Security cameras and door alarms are in place. Signage was noted advising people of the security cameras in operation. There is a bell at the front and rear entrance doors to summon assistance after hours if needed. Sensor lighting is located around the facility.</w:t>
            </w:r>
          </w:p>
          <w:p w14:paraId="063BD685" w14:textId="77777777" w:rsidR="00000000" w:rsidRPr="00BE00C7" w:rsidRDefault="00000000" w:rsidP="00BE00C7">
            <w:pPr>
              <w:pStyle w:val="OutcomeDescription"/>
              <w:spacing w:before="120" w:after="120"/>
              <w:rPr>
                <w:rFonts w:cs="Arial"/>
                <w:lang w:eastAsia="en-NZ"/>
              </w:rPr>
            </w:pPr>
          </w:p>
        </w:tc>
      </w:tr>
      <w:tr w:rsidR="00283553" w14:paraId="7EFAA6D9" w14:textId="77777777">
        <w:tc>
          <w:tcPr>
            <w:tcW w:w="0" w:type="auto"/>
          </w:tcPr>
          <w:p w14:paraId="0BA52C3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5A9F29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6FC9233" w14:textId="77777777" w:rsidR="00000000" w:rsidRPr="00BE00C7" w:rsidRDefault="00000000" w:rsidP="00BE00C7">
            <w:pPr>
              <w:pStyle w:val="OutcomeDescription"/>
              <w:spacing w:before="120" w:after="120"/>
              <w:rPr>
                <w:rFonts w:cs="Arial"/>
                <w:lang w:eastAsia="en-NZ"/>
              </w:rPr>
            </w:pPr>
          </w:p>
        </w:tc>
        <w:tc>
          <w:tcPr>
            <w:tcW w:w="0" w:type="auto"/>
          </w:tcPr>
          <w:p w14:paraId="42816DF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A657D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are appropriate to the size and complexity of the service, have been approved by the governing body, link to the quality improvement system, and are reviewed and reported on yearly.  Expertise and advice are sought following a defined process. A documented pathway supports risk-based reporting of progress, issues, and significant events to the governing body. The organisation has an infection prevention lead who was present for the audit. </w:t>
            </w:r>
          </w:p>
          <w:p w14:paraId="22866B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provider has systems in place that ensure governance are kept informed about IP and AMS matters that impact service </w:t>
            </w:r>
            <w:r w:rsidRPr="00BE00C7">
              <w:rPr>
                <w:rFonts w:cs="Arial"/>
                <w:lang w:eastAsia="en-NZ"/>
              </w:rPr>
              <w:lastRenderedPageBreak/>
              <w:t xml:space="preserve">delivery. </w:t>
            </w:r>
          </w:p>
          <w:p w14:paraId="19CA0E24" w14:textId="77777777" w:rsidR="00000000" w:rsidRPr="00BE00C7" w:rsidRDefault="00000000" w:rsidP="00BE00C7">
            <w:pPr>
              <w:pStyle w:val="OutcomeDescription"/>
              <w:spacing w:before="120" w:after="120"/>
              <w:rPr>
                <w:rFonts w:cs="Arial"/>
                <w:lang w:eastAsia="en-NZ"/>
              </w:rPr>
            </w:pPr>
            <w:r w:rsidRPr="00BE00C7">
              <w:rPr>
                <w:rFonts w:cs="Arial"/>
                <w:lang w:eastAsia="en-NZ"/>
              </w:rPr>
              <w:t>A COVID-19 infection outbreak has been reported since the previous audit.</w:t>
            </w:r>
          </w:p>
          <w:p w14:paraId="778D336C" w14:textId="77777777" w:rsidR="00000000" w:rsidRPr="00BE00C7" w:rsidRDefault="00000000" w:rsidP="00BE00C7">
            <w:pPr>
              <w:pStyle w:val="OutcomeDescription"/>
              <w:spacing w:before="120" w:after="120"/>
              <w:rPr>
                <w:rFonts w:cs="Arial"/>
                <w:lang w:eastAsia="en-NZ"/>
              </w:rPr>
            </w:pPr>
          </w:p>
        </w:tc>
      </w:tr>
      <w:tr w:rsidR="00283553" w14:paraId="33207AD4" w14:textId="77777777">
        <w:tc>
          <w:tcPr>
            <w:tcW w:w="0" w:type="auto"/>
          </w:tcPr>
          <w:p w14:paraId="70DFD35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55BB51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E326B74" w14:textId="77777777" w:rsidR="00000000" w:rsidRPr="00BE00C7" w:rsidRDefault="00000000" w:rsidP="00BE00C7">
            <w:pPr>
              <w:pStyle w:val="OutcomeDescription"/>
              <w:spacing w:before="120" w:after="120"/>
              <w:rPr>
                <w:rFonts w:cs="Arial"/>
                <w:lang w:eastAsia="en-NZ"/>
              </w:rPr>
            </w:pPr>
          </w:p>
        </w:tc>
        <w:tc>
          <w:tcPr>
            <w:tcW w:w="0" w:type="auto"/>
          </w:tcPr>
          <w:p w14:paraId="3F50ED5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AE4F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(IPCC) is responsible for overseeing and implementing the IP programme with reporting lines to the national infection prevention and control lead, who reports to the director of clinical services. The IPCC has appropriate skills, knowledge and qualifications for the role and confirmed access to the necessary resources and support. Their advice and/or the advice of the committee has been sought when making decisions around procurement relevant to care delivery, design of any new building or facility changes, and policies. No recent changes have occurred to the facility. </w:t>
            </w:r>
          </w:p>
          <w:p w14:paraId="203123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policies reflect the requirements of the standard and are based on current accepted good practice.  Cultural advice is accessed where appropriate. The IP programme was reviewed on 15 January 2026.</w:t>
            </w:r>
          </w:p>
          <w:p w14:paraId="182D0F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are educated about infection prevention in a manner that meets their needs. Educational resources are available in te reo Māori. </w:t>
            </w:r>
          </w:p>
          <w:p w14:paraId="13A5FAE7"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There are sufficient resources and personal protective equipment (PPE) available, and staff have been trained accordingly.</w:t>
            </w:r>
          </w:p>
          <w:p w14:paraId="6197195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The process is audited to maintain good practice. Single-use medical devices are not reused. Shared equipment was effectively managed by staff, with routine decontamination undertaken as advised by the IPCC following a risk assessment process and agreement from the governing body.</w:t>
            </w:r>
          </w:p>
          <w:p w14:paraId="7CB47CB1" w14:textId="77777777" w:rsidR="00000000" w:rsidRPr="00BE00C7" w:rsidRDefault="00000000" w:rsidP="00BE00C7">
            <w:pPr>
              <w:pStyle w:val="OutcomeDescription"/>
              <w:spacing w:before="120" w:after="120"/>
              <w:rPr>
                <w:rFonts w:cs="Arial"/>
                <w:lang w:eastAsia="en-NZ"/>
              </w:rPr>
            </w:pPr>
          </w:p>
        </w:tc>
      </w:tr>
      <w:tr w:rsidR="00283553" w14:paraId="0ADE0600" w14:textId="77777777">
        <w:tc>
          <w:tcPr>
            <w:tcW w:w="0" w:type="auto"/>
          </w:tcPr>
          <w:p w14:paraId="0014D9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AE7FB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0AB49EF" w14:textId="77777777" w:rsidR="00000000" w:rsidRPr="00BE00C7" w:rsidRDefault="00000000" w:rsidP="00BE00C7">
            <w:pPr>
              <w:pStyle w:val="OutcomeDescription"/>
              <w:spacing w:before="120" w:after="120"/>
              <w:rPr>
                <w:rFonts w:cs="Arial"/>
                <w:lang w:eastAsia="en-NZ"/>
              </w:rPr>
            </w:pPr>
          </w:p>
        </w:tc>
        <w:tc>
          <w:tcPr>
            <w:tcW w:w="0" w:type="auto"/>
          </w:tcPr>
          <w:p w14:paraId="7640564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39BB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Responsible use of antimicrobials is promoted. The AMS programme is appropriate for the size and complexity of the service, supported by policies and procedures.  The effectiveness of the AMS programme is evaluated by monitoring antimicrobial use and identifying areas for improvement.  </w:t>
            </w:r>
          </w:p>
          <w:p w14:paraId="4AED40DC" w14:textId="77777777" w:rsidR="00000000" w:rsidRPr="00BE00C7" w:rsidRDefault="00000000" w:rsidP="00BE00C7">
            <w:pPr>
              <w:pStyle w:val="OutcomeDescription"/>
              <w:spacing w:before="120" w:after="120"/>
              <w:rPr>
                <w:rFonts w:cs="Arial"/>
                <w:lang w:eastAsia="en-NZ"/>
              </w:rPr>
            </w:pPr>
          </w:p>
        </w:tc>
      </w:tr>
      <w:tr w:rsidR="00283553" w14:paraId="6E64D015" w14:textId="77777777">
        <w:tc>
          <w:tcPr>
            <w:tcW w:w="0" w:type="auto"/>
          </w:tcPr>
          <w:p w14:paraId="0298EBD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F9B85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C4FBC94" w14:textId="77777777" w:rsidR="00000000" w:rsidRPr="00BE00C7" w:rsidRDefault="00000000" w:rsidP="00BE00C7">
            <w:pPr>
              <w:pStyle w:val="OutcomeDescription"/>
              <w:spacing w:before="120" w:after="120"/>
              <w:rPr>
                <w:rFonts w:cs="Arial"/>
                <w:lang w:eastAsia="en-NZ"/>
              </w:rPr>
            </w:pPr>
          </w:p>
        </w:tc>
        <w:tc>
          <w:tcPr>
            <w:tcW w:w="0" w:type="auto"/>
          </w:tcPr>
          <w:p w14:paraId="2A0245F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430A85"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the type of services offered and is in line with risks and priorities defined in the infection control programme. Monthly surveillance data, using standardised surveillance definitions, is collated and analysed to identify any trends, possible causative factors, and required actions. Surveillance includes ethnicity data. Results of the surveillance programme are shared with staff and the governance body, and where necessary, recommendations for improvement are identified.  There was a COVID-19 outbreak at the time of the audit with three residents affected and in isolation in the hospital unit. Appropriate infection control measures were implemented.</w:t>
            </w:r>
          </w:p>
          <w:p w14:paraId="0AF7587A"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the clinical team and those residents experiencing a health care-associated infection (HAI) is culturally safe, as confirmed in interviews.</w:t>
            </w:r>
          </w:p>
          <w:p w14:paraId="4E09F0B9" w14:textId="77777777" w:rsidR="00000000" w:rsidRPr="00BE00C7" w:rsidRDefault="00000000" w:rsidP="00BE00C7">
            <w:pPr>
              <w:pStyle w:val="OutcomeDescription"/>
              <w:spacing w:before="120" w:after="120"/>
              <w:rPr>
                <w:rFonts w:cs="Arial"/>
                <w:lang w:eastAsia="en-NZ"/>
              </w:rPr>
            </w:pPr>
          </w:p>
        </w:tc>
      </w:tr>
      <w:tr w:rsidR="00283553" w14:paraId="158B572F" w14:textId="77777777">
        <w:tc>
          <w:tcPr>
            <w:tcW w:w="0" w:type="auto"/>
          </w:tcPr>
          <w:p w14:paraId="2C8F9E8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1CC186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r>
            <w:r w:rsidRPr="00BE00C7">
              <w:rPr>
                <w:rFonts w:cs="Arial"/>
                <w:lang w:eastAsia="en-NZ"/>
              </w:rPr>
              <w:lastRenderedPageBreak/>
              <w:t>As service providers: We deliver services in a clean, hygienic environment that facilitates the prevention of infection and transmission of antimicrobialresistant organisms.</w:t>
            </w:r>
          </w:p>
          <w:p w14:paraId="4748EE1E" w14:textId="77777777" w:rsidR="00000000" w:rsidRPr="00BE00C7" w:rsidRDefault="00000000" w:rsidP="00BE00C7">
            <w:pPr>
              <w:pStyle w:val="OutcomeDescription"/>
              <w:spacing w:before="120" w:after="120"/>
              <w:rPr>
                <w:rFonts w:cs="Arial"/>
                <w:lang w:eastAsia="en-NZ"/>
              </w:rPr>
            </w:pPr>
          </w:p>
        </w:tc>
        <w:tc>
          <w:tcPr>
            <w:tcW w:w="0" w:type="auto"/>
          </w:tcPr>
          <w:p w14:paraId="53E3C1B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8AD0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clean and hygienic environment at Ohinemuri supports prevention of infection and mitigation of transmission of antimicrobial-resistant organisms. The IPCC maintained oversight of the environmental testing and monitoring programme. </w:t>
            </w:r>
          </w:p>
          <w:p w14:paraId="5F7A6F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follow documented policies and processes for the management of waste and infectious and hazardous substances.  Laundry and cleaning processes are monitored for effectiveness. Infection prevention personnel have oversight of the environmental testing and monitoring </w:t>
            </w:r>
            <w:r w:rsidRPr="00BE00C7">
              <w:rPr>
                <w:rFonts w:cs="Arial"/>
                <w:lang w:eastAsia="en-NZ"/>
              </w:rPr>
              <w:lastRenderedPageBreak/>
              <w:t>programme.  Staff involved have completed relevant training and were observed to carry out duties safely. Staff interviewed demonstrated knowledge of procedures to follow in the event of any health and safety concerns.</w:t>
            </w:r>
          </w:p>
          <w:p w14:paraId="770C6A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laundry is completed on site by the designated laundry staff. The laundry has clear separation of clean and dirty areas.  </w:t>
            </w:r>
          </w:p>
          <w:p w14:paraId="324BBFCB" w14:textId="77777777" w:rsidR="00000000" w:rsidRPr="00BE00C7" w:rsidRDefault="00000000" w:rsidP="00BE00C7">
            <w:pPr>
              <w:pStyle w:val="OutcomeDescription"/>
              <w:spacing w:before="120" w:after="120"/>
              <w:rPr>
                <w:rFonts w:cs="Arial"/>
                <w:lang w:eastAsia="en-NZ"/>
              </w:rPr>
            </w:pPr>
            <w:r w:rsidRPr="00BE00C7">
              <w:rPr>
                <w:rFonts w:cs="Arial"/>
                <w:lang w:eastAsia="en-NZ"/>
              </w:rPr>
              <w:t>Chemicals were stored safely. Safety data sheets were readily accessible to staff, and a spills kit was available. Personal protective equipment (PPE) resources were readily accessible. Signage and PPE resources were available to all visitors and staff as needed to ensure safety and reduce the risk of transmission.</w:t>
            </w:r>
          </w:p>
          <w:p w14:paraId="1F09AC5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the laundry is managed well, and the facility is kept clean and tidy. This was confirmed through observations and interview feedback.</w:t>
            </w:r>
          </w:p>
          <w:p w14:paraId="51250DB2" w14:textId="77777777" w:rsidR="00000000" w:rsidRPr="00BE00C7" w:rsidRDefault="00000000" w:rsidP="00BE00C7">
            <w:pPr>
              <w:pStyle w:val="OutcomeDescription"/>
              <w:spacing w:before="120" w:after="120"/>
              <w:rPr>
                <w:rFonts w:cs="Arial"/>
                <w:lang w:eastAsia="en-NZ"/>
              </w:rPr>
            </w:pPr>
          </w:p>
        </w:tc>
      </w:tr>
      <w:tr w:rsidR="00283553" w14:paraId="6A18F2ED" w14:textId="77777777">
        <w:tc>
          <w:tcPr>
            <w:tcW w:w="0" w:type="auto"/>
          </w:tcPr>
          <w:p w14:paraId="1D9C60A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3355B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1084133" w14:textId="77777777" w:rsidR="00000000" w:rsidRPr="00BE00C7" w:rsidRDefault="00000000" w:rsidP="00BE00C7">
            <w:pPr>
              <w:pStyle w:val="OutcomeDescription"/>
              <w:spacing w:before="120" w:after="120"/>
              <w:rPr>
                <w:rFonts w:cs="Arial"/>
                <w:lang w:eastAsia="en-NZ"/>
              </w:rPr>
            </w:pPr>
          </w:p>
        </w:tc>
        <w:tc>
          <w:tcPr>
            <w:tcW w:w="0" w:type="auto"/>
          </w:tcPr>
          <w:p w14:paraId="34B9E69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D111DE"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The Oceania executive leadership have demonstrated a commitment to this for several years.  At the time of audit, there was no restraint in use, and this has been the case for over nine years. The clinical manager ensures staff understand the restraint-free philosophy by attending education events, completing questionnaires, and maintaining restraint minimisation competencies. Any use of restraint is reported to the governing body.</w:t>
            </w:r>
          </w:p>
          <w:p w14:paraId="21A748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If a restraint is required, policies and procedures meet the requirements of the standards.  Staff have been trained in the least restrictive practice, safe restraint practice, alternative cultural-specific interventions, and de-escalation techniques. This training last occurred in two sessions held on 4 November 2025 and 29 November 2025. Records of all staff who attended the training were sighted. </w:t>
            </w:r>
          </w:p>
          <w:p w14:paraId="2987E1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provider understood the requirements of this standard and has policies, systems and processes that aim to keep residents free from restrictions.</w:t>
            </w:r>
          </w:p>
          <w:p w14:paraId="5CF122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 no restraint has been used for over nine years, sub-sections 6.2 and </w:t>
            </w:r>
            <w:r w:rsidRPr="00BE00C7">
              <w:rPr>
                <w:rFonts w:cs="Arial"/>
                <w:lang w:eastAsia="en-NZ"/>
              </w:rPr>
              <w:lastRenderedPageBreak/>
              <w:t>6.3 were not completed.</w:t>
            </w:r>
          </w:p>
          <w:p w14:paraId="29D1A0F7" w14:textId="77777777" w:rsidR="00000000" w:rsidRPr="00BE00C7" w:rsidRDefault="00000000" w:rsidP="00BE00C7">
            <w:pPr>
              <w:pStyle w:val="OutcomeDescription"/>
              <w:spacing w:before="120" w:after="120"/>
              <w:rPr>
                <w:rFonts w:cs="Arial"/>
                <w:lang w:eastAsia="en-NZ"/>
              </w:rPr>
            </w:pPr>
          </w:p>
        </w:tc>
      </w:tr>
    </w:tbl>
    <w:p w14:paraId="5A2C6E13" w14:textId="77777777" w:rsidR="00000000" w:rsidRPr="00BE00C7" w:rsidRDefault="00000000" w:rsidP="00BE00C7">
      <w:pPr>
        <w:pStyle w:val="OutcomeDescription"/>
        <w:spacing w:before="120" w:after="120"/>
        <w:rPr>
          <w:rFonts w:cs="Arial"/>
          <w:lang w:eastAsia="en-NZ"/>
        </w:rPr>
      </w:pPr>
      <w:bookmarkStart w:id="44" w:name="AuditSummaryAttainment"/>
      <w:bookmarkEnd w:id="44"/>
    </w:p>
    <w:p w14:paraId="7587B208" w14:textId="77777777" w:rsidR="00000000" w:rsidRDefault="00000000">
      <w:pPr>
        <w:pStyle w:val="Heading1"/>
        <w:rPr>
          <w:rFonts w:cs="Arial"/>
        </w:rPr>
      </w:pPr>
      <w:r>
        <w:rPr>
          <w:rFonts w:cs="Arial"/>
        </w:rPr>
        <w:lastRenderedPageBreak/>
        <w:t>Specific results for criterion where corrective actions are required</w:t>
      </w:r>
    </w:p>
    <w:p w14:paraId="71C5C2A8"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4AC99AA5"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33E9046"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83553" w14:paraId="416A2799" w14:textId="77777777">
        <w:tc>
          <w:tcPr>
            <w:tcW w:w="0" w:type="auto"/>
          </w:tcPr>
          <w:p w14:paraId="0231893A"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07DF4E6" w14:textId="77777777" w:rsidR="00000000" w:rsidRPr="00BE00C7" w:rsidRDefault="00000000" w:rsidP="00BE00C7">
      <w:pPr>
        <w:pStyle w:val="OutcomeDescription"/>
        <w:spacing w:before="120" w:after="120"/>
        <w:rPr>
          <w:rFonts w:cs="Arial"/>
          <w:lang w:eastAsia="en-NZ"/>
        </w:rPr>
      </w:pPr>
      <w:bookmarkStart w:id="45" w:name="AuditSummaryCAMCriterion"/>
      <w:bookmarkEnd w:id="45"/>
    </w:p>
    <w:p w14:paraId="1B28DDA5" w14:textId="77777777" w:rsidR="00000000" w:rsidRDefault="00000000">
      <w:pPr>
        <w:pStyle w:val="Heading1"/>
        <w:rPr>
          <w:rFonts w:cs="Arial"/>
        </w:rPr>
      </w:pPr>
      <w:r>
        <w:rPr>
          <w:rFonts w:cs="Arial"/>
        </w:rPr>
        <w:lastRenderedPageBreak/>
        <w:t>Specific results for criterion where a continuous improvement has been recorded</w:t>
      </w:r>
    </w:p>
    <w:p w14:paraId="09CBBE5D"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852AAD5"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6709E4C"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83553" w14:paraId="5F82762A" w14:textId="77777777">
        <w:tc>
          <w:tcPr>
            <w:tcW w:w="0" w:type="auto"/>
          </w:tcPr>
          <w:p w14:paraId="6975992E"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AFC1E26" w14:textId="77777777" w:rsidR="00000000" w:rsidRPr="00BE00C7" w:rsidRDefault="00000000" w:rsidP="00BE00C7">
      <w:pPr>
        <w:pStyle w:val="OutcomeDescription"/>
        <w:spacing w:before="120" w:after="120"/>
        <w:rPr>
          <w:rFonts w:cs="Arial"/>
          <w:lang w:eastAsia="en-NZ"/>
        </w:rPr>
      </w:pPr>
      <w:bookmarkStart w:id="46" w:name="AuditSummaryCAMImprovment"/>
      <w:bookmarkEnd w:id="46"/>
    </w:p>
    <w:p w14:paraId="251D5912"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40BCF" w14:textId="77777777" w:rsidR="00F53661" w:rsidRDefault="00F53661">
      <w:r>
        <w:separator/>
      </w:r>
    </w:p>
  </w:endnote>
  <w:endnote w:type="continuationSeparator" w:id="0">
    <w:p w14:paraId="08A49AF2" w14:textId="77777777" w:rsidR="00F53661" w:rsidRDefault="00F53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69F2B" w14:textId="77777777" w:rsidR="00000000" w:rsidRDefault="00000000">
    <w:pPr>
      <w:pStyle w:val="Footer"/>
    </w:pPr>
  </w:p>
  <w:p w14:paraId="5864EF70" w14:textId="77777777" w:rsidR="00000000" w:rsidRDefault="00000000"/>
  <w:p w14:paraId="33428C15"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FFF6"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Ohinemuri Lifecare Limited - Ohinemuri Lifecare</w:t>
    </w:r>
    <w:bookmarkEnd w:id="47"/>
    <w:r>
      <w:rPr>
        <w:rFonts w:cs="Arial"/>
        <w:sz w:val="16"/>
        <w:szCs w:val="20"/>
      </w:rPr>
      <w:tab/>
      <w:t xml:space="preserve">Date of Audit: </w:t>
    </w:r>
    <w:bookmarkStart w:id="48" w:name="AuditStartDate1"/>
    <w:r>
      <w:rPr>
        <w:rFonts w:cs="Arial"/>
        <w:sz w:val="16"/>
        <w:szCs w:val="20"/>
      </w:rPr>
      <w:t>2 February 2026</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54A4C45"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6CC5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1DDC2" w14:textId="77777777" w:rsidR="00F53661" w:rsidRDefault="00F53661">
      <w:r>
        <w:separator/>
      </w:r>
    </w:p>
  </w:footnote>
  <w:footnote w:type="continuationSeparator" w:id="0">
    <w:p w14:paraId="4AC1F900" w14:textId="77777777" w:rsidR="00F53661" w:rsidRDefault="00F53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5BD5B" w14:textId="77777777" w:rsidR="00000000" w:rsidRDefault="00000000">
    <w:pPr>
      <w:pStyle w:val="Header"/>
    </w:pPr>
  </w:p>
  <w:p w14:paraId="65EE3255"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DC64F" w14:textId="77777777" w:rsidR="00000000" w:rsidRDefault="00000000">
    <w:pPr>
      <w:pStyle w:val="Header"/>
    </w:pPr>
  </w:p>
  <w:p w14:paraId="097DAAD5"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91D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E2EE47F0">
      <w:start w:val="1"/>
      <w:numFmt w:val="decimal"/>
      <w:lvlText w:val="%1."/>
      <w:lvlJc w:val="left"/>
      <w:pPr>
        <w:ind w:left="360" w:hanging="360"/>
      </w:pPr>
    </w:lvl>
    <w:lvl w:ilvl="1" w:tplc="340AC0F6" w:tentative="1">
      <w:start w:val="1"/>
      <w:numFmt w:val="lowerLetter"/>
      <w:lvlText w:val="%2."/>
      <w:lvlJc w:val="left"/>
      <w:pPr>
        <w:ind w:left="1080" w:hanging="360"/>
      </w:pPr>
    </w:lvl>
    <w:lvl w:ilvl="2" w:tplc="38988E20" w:tentative="1">
      <w:start w:val="1"/>
      <w:numFmt w:val="lowerRoman"/>
      <w:lvlText w:val="%3."/>
      <w:lvlJc w:val="right"/>
      <w:pPr>
        <w:ind w:left="1800" w:hanging="180"/>
      </w:pPr>
    </w:lvl>
    <w:lvl w:ilvl="3" w:tplc="D5383FEC" w:tentative="1">
      <w:start w:val="1"/>
      <w:numFmt w:val="decimal"/>
      <w:lvlText w:val="%4."/>
      <w:lvlJc w:val="left"/>
      <w:pPr>
        <w:ind w:left="2520" w:hanging="360"/>
      </w:pPr>
    </w:lvl>
    <w:lvl w:ilvl="4" w:tplc="8B082FB4" w:tentative="1">
      <w:start w:val="1"/>
      <w:numFmt w:val="lowerLetter"/>
      <w:lvlText w:val="%5."/>
      <w:lvlJc w:val="left"/>
      <w:pPr>
        <w:ind w:left="3240" w:hanging="360"/>
      </w:pPr>
    </w:lvl>
    <w:lvl w:ilvl="5" w:tplc="6CD8231E" w:tentative="1">
      <w:start w:val="1"/>
      <w:numFmt w:val="lowerRoman"/>
      <w:lvlText w:val="%6."/>
      <w:lvlJc w:val="right"/>
      <w:pPr>
        <w:ind w:left="3960" w:hanging="180"/>
      </w:pPr>
    </w:lvl>
    <w:lvl w:ilvl="6" w:tplc="C316C56E" w:tentative="1">
      <w:start w:val="1"/>
      <w:numFmt w:val="decimal"/>
      <w:lvlText w:val="%7."/>
      <w:lvlJc w:val="left"/>
      <w:pPr>
        <w:ind w:left="4680" w:hanging="360"/>
      </w:pPr>
    </w:lvl>
    <w:lvl w:ilvl="7" w:tplc="A368719E" w:tentative="1">
      <w:start w:val="1"/>
      <w:numFmt w:val="lowerLetter"/>
      <w:lvlText w:val="%8."/>
      <w:lvlJc w:val="left"/>
      <w:pPr>
        <w:ind w:left="5400" w:hanging="360"/>
      </w:pPr>
    </w:lvl>
    <w:lvl w:ilvl="8" w:tplc="222E90A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4EE02D8">
      <w:start w:val="1"/>
      <w:numFmt w:val="bullet"/>
      <w:lvlText w:val=""/>
      <w:lvlJc w:val="left"/>
      <w:pPr>
        <w:ind w:left="720" w:hanging="360"/>
      </w:pPr>
      <w:rPr>
        <w:rFonts w:ascii="Symbol" w:hAnsi="Symbol" w:hint="default"/>
      </w:rPr>
    </w:lvl>
    <w:lvl w:ilvl="1" w:tplc="7E643412" w:tentative="1">
      <w:start w:val="1"/>
      <w:numFmt w:val="bullet"/>
      <w:lvlText w:val="o"/>
      <w:lvlJc w:val="left"/>
      <w:pPr>
        <w:ind w:left="1440" w:hanging="360"/>
      </w:pPr>
      <w:rPr>
        <w:rFonts w:ascii="Courier New" w:hAnsi="Courier New" w:cs="Courier New" w:hint="default"/>
      </w:rPr>
    </w:lvl>
    <w:lvl w:ilvl="2" w:tplc="EF74CB3A" w:tentative="1">
      <w:start w:val="1"/>
      <w:numFmt w:val="bullet"/>
      <w:lvlText w:val=""/>
      <w:lvlJc w:val="left"/>
      <w:pPr>
        <w:ind w:left="2160" w:hanging="360"/>
      </w:pPr>
      <w:rPr>
        <w:rFonts w:ascii="Wingdings" w:hAnsi="Wingdings" w:hint="default"/>
      </w:rPr>
    </w:lvl>
    <w:lvl w:ilvl="3" w:tplc="F63843EE" w:tentative="1">
      <w:start w:val="1"/>
      <w:numFmt w:val="bullet"/>
      <w:lvlText w:val=""/>
      <w:lvlJc w:val="left"/>
      <w:pPr>
        <w:ind w:left="2880" w:hanging="360"/>
      </w:pPr>
      <w:rPr>
        <w:rFonts w:ascii="Symbol" w:hAnsi="Symbol" w:hint="default"/>
      </w:rPr>
    </w:lvl>
    <w:lvl w:ilvl="4" w:tplc="66E01734" w:tentative="1">
      <w:start w:val="1"/>
      <w:numFmt w:val="bullet"/>
      <w:lvlText w:val="o"/>
      <w:lvlJc w:val="left"/>
      <w:pPr>
        <w:ind w:left="3600" w:hanging="360"/>
      </w:pPr>
      <w:rPr>
        <w:rFonts w:ascii="Courier New" w:hAnsi="Courier New" w:cs="Courier New" w:hint="default"/>
      </w:rPr>
    </w:lvl>
    <w:lvl w:ilvl="5" w:tplc="82DC935A" w:tentative="1">
      <w:start w:val="1"/>
      <w:numFmt w:val="bullet"/>
      <w:lvlText w:val=""/>
      <w:lvlJc w:val="left"/>
      <w:pPr>
        <w:ind w:left="4320" w:hanging="360"/>
      </w:pPr>
      <w:rPr>
        <w:rFonts w:ascii="Wingdings" w:hAnsi="Wingdings" w:hint="default"/>
      </w:rPr>
    </w:lvl>
    <w:lvl w:ilvl="6" w:tplc="919457B2" w:tentative="1">
      <w:start w:val="1"/>
      <w:numFmt w:val="bullet"/>
      <w:lvlText w:val=""/>
      <w:lvlJc w:val="left"/>
      <w:pPr>
        <w:ind w:left="5040" w:hanging="360"/>
      </w:pPr>
      <w:rPr>
        <w:rFonts w:ascii="Symbol" w:hAnsi="Symbol" w:hint="default"/>
      </w:rPr>
    </w:lvl>
    <w:lvl w:ilvl="7" w:tplc="A8AC498E" w:tentative="1">
      <w:start w:val="1"/>
      <w:numFmt w:val="bullet"/>
      <w:lvlText w:val="o"/>
      <w:lvlJc w:val="left"/>
      <w:pPr>
        <w:ind w:left="5760" w:hanging="360"/>
      </w:pPr>
      <w:rPr>
        <w:rFonts w:ascii="Courier New" w:hAnsi="Courier New" w:cs="Courier New" w:hint="default"/>
      </w:rPr>
    </w:lvl>
    <w:lvl w:ilvl="8" w:tplc="5A886A1E" w:tentative="1">
      <w:start w:val="1"/>
      <w:numFmt w:val="bullet"/>
      <w:lvlText w:val=""/>
      <w:lvlJc w:val="left"/>
      <w:pPr>
        <w:ind w:left="6480" w:hanging="360"/>
      </w:pPr>
      <w:rPr>
        <w:rFonts w:ascii="Wingdings" w:hAnsi="Wingdings" w:hint="default"/>
      </w:rPr>
    </w:lvl>
  </w:abstractNum>
  <w:num w:numId="1" w16cid:durableId="1974679123">
    <w:abstractNumId w:val="1"/>
  </w:num>
  <w:num w:numId="2" w16cid:durableId="1355613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553"/>
    <w:rsid w:val="000B1A91"/>
    <w:rsid w:val="00283553"/>
    <w:rsid w:val="0067319C"/>
    <w:rsid w:val="00F5366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415C"/>
  <w15:docId w15:val="{3A78FBDF-116C-4416-8325-4165ACA9B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9725</Words>
  <Characters>55434</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2026-03-06T02:02:00Z</dcterms:created>
  <dcterms:modified xsi:type="dcterms:W3CDTF">2026-03-06T02:02:00Z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