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8095" w14:textId="77777777" w:rsidR="00000000" w:rsidRDefault="00000000">
      <w:pPr>
        <w:pStyle w:val="Heading1"/>
        <w:rPr>
          <w:rFonts w:cs="Arial"/>
        </w:rPr>
      </w:pPr>
      <w:bookmarkStart w:id="0" w:name="PRMS_RIName"/>
      <w:r>
        <w:rPr>
          <w:rFonts w:cs="Arial"/>
        </w:rPr>
        <w:t>CHT Healthcare Trust - Waiuku Hospital and Rest Home</w:t>
      </w:r>
      <w:bookmarkEnd w:id="0"/>
    </w:p>
    <w:p w14:paraId="6AA1B7B5" w14:textId="77777777" w:rsidR="00000000" w:rsidRDefault="00000000">
      <w:pPr>
        <w:pStyle w:val="Heading2"/>
        <w:spacing w:after="0"/>
        <w:rPr>
          <w:rFonts w:cs="Arial"/>
        </w:rPr>
      </w:pPr>
      <w:r>
        <w:rPr>
          <w:rFonts w:cs="Arial"/>
        </w:rPr>
        <w:t>Introduction</w:t>
      </w:r>
    </w:p>
    <w:p w14:paraId="591183F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000026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B681BC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3FF7C2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B4A1D83" w14:textId="77777777" w:rsidR="00000000" w:rsidRDefault="00000000">
      <w:pPr>
        <w:spacing w:before="240" w:after="240"/>
        <w:rPr>
          <w:rFonts w:cs="Arial"/>
          <w:lang w:eastAsia="en-NZ"/>
        </w:rPr>
      </w:pPr>
      <w:r>
        <w:rPr>
          <w:rFonts w:cs="Arial"/>
          <w:lang w:eastAsia="en-NZ"/>
        </w:rPr>
        <w:t>The specifics of this audit included:</w:t>
      </w:r>
    </w:p>
    <w:p w14:paraId="755AF96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E1F34A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4E336F6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Waiuku Hospital and Rest Home</w:t>
      </w:r>
      <w:bookmarkEnd w:id="5"/>
    </w:p>
    <w:p w14:paraId="264513D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315ED2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27 January 2026</w:t>
      </w:r>
      <w:bookmarkEnd w:id="7"/>
      <w:r w:rsidRPr="009418D4">
        <w:rPr>
          <w:rFonts w:cs="Arial"/>
        </w:rPr>
        <w:tab/>
        <w:t xml:space="preserve">End date: </w:t>
      </w:r>
      <w:bookmarkStart w:id="8" w:name="AuditEndDate"/>
      <w:r>
        <w:rPr>
          <w:rFonts w:cs="Arial"/>
        </w:rPr>
        <w:t>28 January 2026</w:t>
      </w:r>
      <w:bookmarkEnd w:id="8"/>
    </w:p>
    <w:p w14:paraId="3B37BBCC"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42C57A6" w14:textId="77777777" w:rsidR="00220A2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60</w:t>
      </w:r>
      <w:bookmarkEnd w:id="10"/>
    </w:p>
    <w:p w14:paraId="142B73A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200297A" w14:textId="77777777" w:rsidR="00000000" w:rsidRDefault="00000000">
      <w:pPr>
        <w:pStyle w:val="Heading1"/>
        <w:rPr>
          <w:rFonts w:cs="Arial"/>
        </w:rPr>
      </w:pPr>
      <w:r>
        <w:rPr>
          <w:rFonts w:cs="Arial"/>
        </w:rPr>
        <w:lastRenderedPageBreak/>
        <w:t>Executive summary of the audit</w:t>
      </w:r>
    </w:p>
    <w:p w14:paraId="3B44116D" w14:textId="77777777" w:rsidR="00000000" w:rsidRDefault="00000000">
      <w:pPr>
        <w:pStyle w:val="Heading2"/>
        <w:rPr>
          <w:rFonts w:cs="Arial"/>
        </w:rPr>
      </w:pPr>
      <w:r>
        <w:rPr>
          <w:rFonts w:cs="Arial"/>
        </w:rPr>
        <w:t>Introduction</w:t>
      </w:r>
    </w:p>
    <w:p w14:paraId="3D5D4FD9"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FCD1C1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ABB532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F72E7B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630802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DB0E06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59DF53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7D5D797"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1BC78B4"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20A20" w14:paraId="29120784" w14:textId="77777777">
        <w:trPr>
          <w:cantSplit/>
          <w:tblHeader/>
        </w:trPr>
        <w:tc>
          <w:tcPr>
            <w:tcW w:w="1260" w:type="dxa"/>
            <w:tcBorders>
              <w:bottom w:val="single" w:sz="4" w:space="0" w:color="000000"/>
            </w:tcBorders>
            <w:vAlign w:val="center"/>
          </w:tcPr>
          <w:p w14:paraId="366F3163"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62C66BF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7128109B" w14:textId="77777777" w:rsidR="00000000" w:rsidRDefault="00000000">
            <w:pPr>
              <w:spacing w:before="60" w:after="60"/>
              <w:rPr>
                <w:rFonts w:eastAsia="Calibri"/>
                <w:b/>
                <w:szCs w:val="24"/>
              </w:rPr>
            </w:pPr>
            <w:r>
              <w:rPr>
                <w:rFonts w:eastAsia="Calibri"/>
                <w:b/>
                <w:szCs w:val="24"/>
              </w:rPr>
              <w:t>Definition</w:t>
            </w:r>
          </w:p>
        </w:tc>
      </w:tr>
      <w:tr w:rsidR="00220A20" w14:paraId="3E544217" w14:textId="77777777">
        <w:trPr>
          <w:cantSplit/>
          <w:trHeight w:val="964"/>
        </w:trPr>
        <w:tc>
          <w:tcPr>
            <w:tcW w:w="1260" w:type="dxa"/>
            <w:tcBorders>
              <w:bottom w:val="single" w:sz="4" w:space="0" w:color="000000"/>
            </w:tcBorders>
            <w:shd w:val="clear" w:color="0066FF" w:fill="0000FF"/>
            <w:vAlign w:val="center"/>
          </w:tcPr>
          <w:p w14:paraId="33B71A83"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1280D8F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7410A9F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220A20" w14:paraId="7C58ADD1" w14:textId="77777777">
        <w:trPr>
          <w:cantSplit/>
          <w:trHeight w:val="964"/>
        </w:trPr>
        <w:tc>
          <w:tcPr>
            <w:tcW w:w="1260" w:type="dxa"/>
            <w:shd w:val="clear" w:color="33CC33" w:fill="00FF00"/>
            <w:vAlign w:val="center"/>
          </w:tcPr>
          <w:p w14:paraId="41784765" w14:textId="77777777" w:rsidR="00000000" w:rsidRDefault="00000000">
            <w:pPr>
              <w:spacing w:before="60" w:after="60"/>
              <w:rPr>
                <w:rFonts w:eastAsia="Calibri"/>
                <w:szCs w:val="24"/>
              </w:rPr>
            </w:pPr>
          </w:p>
        </w:tc>
        <w:tc>
          <w:tcPr>
            <w:tcW w:w="7095" w:type="dxa"/>
            <w:vAlign w:val="center"/>
          </w:tcPr>
          <w:p w14:paraId="3E57BBC4"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46CB3262"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220A20" w14:paraId="10BB760B" w14:textId="77777777">
        <w:trPr>
          <w:cantSplit/>
          <w:trHeight w:val="964"/>
        </w:trPr>
        <w:tc>
          <w:tcPr>
            <w:tcW w:w="1260" w:type="dxa"/>
            <w:tcBorders>
              <w:bottom w:val="single" w:sz="4" w:space="0" w:color="000000"/>
            </w:tcBorders>
            <w:shd w:val="clear" w:color="auto" w:fill="FFFF00"/>
            <w:vAlign w:val="center"/>
          </w:tcPr>
          <w:p w14:paraId="7111316B" w14:textId="77777777" w:rsidR="00000000" w:rsidRDefault="00000000">
            <w:pPr>
              <w:spacing w:before="60" w:after="60"/>
              <w:rPr>
                <w:rFonts w:eastAsia="Calibri"/>
                <w:szCs w:val="24"/>
              </w:rPr>
            </w:pPr>
          </w:p>
        </w:tc>
        <w:tc>
          <w:tcPr>
            <w:tcW w:w="7095" w:type="dxa"/>
            <w:vAlign w:val="center"/>
          </w:tcPr>
          <w:p w14:paraId="3BA1D7D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4AE3658C"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220A20" w14:paraId="2AC7BDB8" w14:textId="77777777">
        <w:trPr>
          <w:cantSplit/>
          <w:trHeight w:val="964"/>
        </w:trPr>
        <w:tc>
          <w:tcPr>
            <w:tcW w:w="1260" w:type="dxa"/>
            <w:tcBorders>
              <w:bottom w:val="single" w:sz="4" w:space="0" w:color="000000"/>
            </w:tcBorders>
            <w:shd w:val="clear" w:color="auto" w:fill="FFC800"/>
            <w:vAlign w:val="center"/>
          </w:tcPr>
          <w:p w14:paraId="02AC30BB"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22D63A4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0F8635B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220A20" w14:paraId="640E8C88" w14:textId="77777777">
        <w:trPr>
          <w:cantSplit/>
          <w:trHeight w:val="964"/>
        </w:trPr>
        <w:tc>
          <w:tcPr>
            <w:tcW w:w="1260" w:type="dxa"/>
            <w:shd w:val="clear" w:color="auto" w:fill="FF0000"/>
            <w:vAlign w:val="center"/>
          </w:tcPr>
          <w:p w14:paraId="4BC60892" w14:textId="77777777" w:rsidR="00000000" w:rsidRDefault="00000000">
            <w:pPr>
              <w:spacing w:before="60" w:after="60"/>
              <w:rPr>
                <w:rFonts w:eastAsia="Calibri"/>
                <w:szCs w:val="24"/>
              </w:rPr>
            </w:pPr>
          </w:p>
        </w:tc>
        <w:tc>
          <w:tcPr>
            <w:tcW w:w="7095" w:type="dxa"/>
            <w:vAlign w:val="center"/>
          </w:tcPr>
          <w:p w14:paraId="0743A2E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48CC6369"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D3231FF" w14:textId="77777777" w:rsidR="00000000" w:rsidRDefault="00000000">
      <w:pPr>
        <w:pStyle w:val="Heading2"/>
        <w:spacing w:after="0"/>
        <w:rPr>
          <w:rFonts w:cs="Arial"/>
        </w:rPr>
      </w:pPr>
      <w:r>
        <w:rPr>
          <w:rFonts w:cs="Arial"/>
        </w:rPr>
        <w:t>General overview of the audit</w:t>
      </w:r>
    </w:p>
    <w:p w14:paraId="29B4CF64" w14:textId="77777777" w:rsidR="00000000" w:rsidRDefault="00000000">
      <w:pPr>
        <w:spacing w:before="240" w:line="276" w:lineRule="auto"/>
        <w:rPr>
          <w:rFonts w:eastAsia="Calibri"/>
        </w:rPr>
      </w:pPr>
      <w:bookmarkStart w:id="13" w:name="GeneralOverview"/>
      <w:r w:rsidRPr="00A4268A">
        <w:rPr>
          <w:rFonts w:eastAsia="Calibri"/>
        </w:rPr>
        <w:t>CHT Healthcare Trust Waiuku Hospital and Rest Home (hereafter referred to as CHT Waiuku) is certified to provide hospital (medical and geriatric) and rest home levels of care for up to 60 residents. On the day of the audit there were 60 residents.</w:t>
      </w:r>
    </w:p>
    <w:p w14:paraId="1884FB4F" w14:textId="77777777" w:rsidR="00220A20" w:rsidRPr="00A4268A" w:rsidRDefault="00000000">
      <w:pPr>
        <w:spacing w:before="240" w:line="276" w:lineRule="auto"/>
        <w:rPr>
          <w:rFonts w:eastAsia="Calibri"/>
        </w:rPr>
      </w:pPr>
      <w:r w:rsidRPr="00A4268A">
        <w:rPr>
          <w:rFonts w:eastAsia="Calibri"/>
        </w:rPr>
        <w:t>This surveillance audit was conducted against a subset of Ngā Paerewa Health and Disability Services Standard 2021 and the contracts with Health New Zealand Te Whatu Ora. The audit process included the review of policies and procedures, the review of residents and staff files, observations, and interviews with residents, family/whānau, management, staff, and a general practitioner.</w:t>
      </w:r>
    </w:p>
    <w:p w14:paraId="40A9C038" w14:textId="77777777" w:rsidR="00220A20" w:rsidRPr="00A4268A" w:rsidRDefault="00000000">
      <w:pPr>
        <w:spacing w:before="240" w:line="276" w:lineRule="auto"/>
        <w:rPr>
          <w:rFonts w:eastAsia="Calibri"/>
        </w:rPr>
      </w:pPr>
      <w:r w:rsidRPr="00A4268A">
        <w:rPr>
          <w:rFonts w:eastAsia="Calibri"/>
        </w:rPr>
        <w:t>The care home manager is a registered nurse with clinical and management experience. They are supported by a clinical coordinator and a team of registered nurses, healthcare assistants and other staff.</w:t>
      </w:r>
    </w:p>
    <w:p w14:paraId="4B3FF8DD" w14:textId="77777777" w:rsidR="00220A20" w:rsidRPr="00A4268A" w:rsidRDefault="00000000">
      <w:pPr>
        <w:spacing w:before="240" w:line="276" w:lineRule="auto"/>
        <w:rPr>
          <w:rFonts w:eastAsia="Calibri"/>
        </w:rPr>
      </w:pPr>
      <w:r w:rsidRPr="00A4268A">
        <w:rPr>
          <w:rFonts w:eastAsia="Calibri"/>
        </w:rPr>
        <w:t>This surveillance audit identified the service continues to meet the standard.</w:t>
      </w:r>
    </w:p>
    <w:bookmarkEnd w:id="13"/>
    <w:p w14:paraId="703B0BED" w14:textId="77777777" w:rsidR="00220A20" w:rsidRPr="00A4268A" w:rsidRDefault="00220A20">
      <w:pPr>
        <w:spacing w:before="240" w:line="276" w:lineRule="auto"/>
        <w:rPr>
          <w:rFonts w:eastAsia="Calibri"/>
        </w:rPr>
      </w:pPr>
    </w:p>
    <w:p w14:paraId="2445748B"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0A20" w14:paraId="20094176" w14:textId="77777777" w:rsidTr="00A4268A">
        <w:trPr>
          <w:cantSplit/>
        </w:trPr>
        <w:tc>
          <w:tcPr>
            <w:tcW w:w="10206" w:type="dxa"/>
            <w:vAlign w:val="center"/>
          </w:tcPr>
          <w:p w14:paraId="1794AC4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DA1C09D"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1670FF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9DB604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E211D9E" w14:textId="77777777" w:rsidR="00000000" w:rsidRDefault="00000000">
      <w:pPr>
        <w:spacing w:before="240" w:line="276" w:lineRule="auto"/>
        <w:rPr>
          <w:rFonts w:eastAsia="Calibri"/>
        </w:rPr>
      </w:pPr>
      <w:bookmarkStart w:id="16" w:name="ConsumerRights"/>
      <w:r w:rsidRPr="00A4268A">
        <w:rPr>
          <w:rFonts w:eastAsia="Calibri"/>
        </w:rPr>
        <w:lastRenderedPageBreak/>
        <w:t>CHT Waiuku provides an environment that supports residents’ rights and safe care. Staff demonstrated an understanding of residents' rights and obligations. There is a Māori health plan and a Pacific health plan implemented. The service aims to provide high-quality and effective services and care for residents.</w:t>
      </w:r>
    </w:p>
    <w:p w14:paraId="7779F064" w14:textId="77777777" w:rsidR="00220A20" w:rsidRPr="00A4268A" w:rsidRDefault="00000000">
      <w:pPr>
        <w:spacing w:before="240" w:line="276" w:lineRule="auto"/>
        <w:rPr>
          <w:rFonts w:eastAsia="Calibri"/>
        </w:rPr>
      </w:pPr>
      <w:r w:rsidRPr="00A4268A">
        <w:rPr>
          <w:rFonts w:eastAsia="Calibri"/>
        </w:rPr>
        <w:t>Residents receive services in a manner that considers their dignity, privacy, and independence. CHT Waiuku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1C081CCC" w14:textId="77777777" w:rsidR="00220A20" w:rsidRPr="00A4268A" w:rsidRDefault="00220A20">
      <w:pPr>
        <w:spacing w:before="240" w:line="276" w:lineRule="auto"/>
        <w:rPr>
          <w:rFonts w:eastAsia="Calibri"/>
        </w:rPr>
      </w:pPr>
    </w:p>
    <w:p w14:paraId="7E458A4F"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0A20" w14:paraId="40CF03ED" w14:textId="77777777" w:rsidTr="00A4268A">
        <w:trPr>
          <w:cantSplit/>
        </w:trPr>
        <w:tc>
          <w:tcPr>
            <w:tcW w:w="10206" w:type="dxa"/>
            <w:vAlign w:val="center"/>
          </w:tcPr>
          <w:p w14:paraId="4CD7EE7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2E4F992"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5470671"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0D68412" w14:textId="77777777" w:rsidR="00000000" w:rsidRDefault="00000000">
      <w:pPr>
        <w:spacing w:before="240" w:line="276" w:lineRule="auto"/>
        <w:rPr>
          <w:rFonts w:eastAsia="Calibri"/>
        </w:rPr>
      </w:pPr>
      <w:bookmarkStart w:id="19" w:name="OrganisationalManagement"/>
      <w:r w:rsidRPr="00A4268A">
        <w:rPr>
          <w:rFonts w:eastAsia="Calibri"/>
        </w:rPr>
        <w:t>CHT is a charitable trust and not-for-profit organisation governed by a board of trustees. The board is responsible for the services provided. The strategic map includes a mission statement and operational objectives. The service has effective quality and risk management systems in place that takes a risk-based approach, and these systems meet the needs of residents and their staff. Quality data is analysed to identify and manage trends. Quality improvement projects are implemented. Internal audits, meetings, and collation of data were documented as taking place, with corrective actions as indicated. The service complies with statutory and regulatory reporting obligations. There is a clinical governance committee in place.</w:t>
      </w:r>
    </w:p>
    <w:p w14:paraId="209592BD" w14:textId="77777777" w:rsidR="00220A20"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and monitored by the health and safety committee. Staff incidents, hazards and risk information is collated at facility level, and reported to the board each month.</w:t>
      </w:r>
    </w:p>
    <w:p w14:paraId="252B1B3A" w14:textId="77777777" w:rsidR="00220A20" w:rsidRPr="00A4268A" w:rsidRDefault="00000000">
      <w:pPr>
        <w:spacing w:before="240" w:line="276" w:lineRule="auto"/>
        <w:rPr>
          <w:rFonts w:eastAsia="Calibri"/>
        </w:rPr>
      </w:pPr>
      <w:r w:rsidRPr="00A4268A">
        <w:rPr>
          <w:rFonts w:eastAsia="Calibri"/>
        </w:rPr>
        <w:lastRenderedPageBreak/>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01C04D40" w14:textId="77777777" w:rsidR="00220A20" w:rsidRPr="00A4268A" w:rsidRDefault="00220A20">
      <w:pPr>
        <w:spacing w:before="240" w:line="276" w:lineRule="auto"/>
        <w:rPr>
          <w:rFonts w:eastAsia="Calibri"/>
        </w:rPr>
      </w:pPr>
    </w:p>
    <w:p w14:paraId="4960472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0A20" w14:paraId="76C31F07" w14:textId="77777777" w:rsidTr="00A4268A">
        <w:trPr>
          <w:cantSplit/>
        </w:trPr>
        <w:tc>
          <w:tcPr>
            <w:tcW w:w="10206" w:type="dxa"/>
            <w:vAlign w:val="center"/>
          </w:tcPr>
          <w:p w14:paraId="0D97424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ED729E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F6EBFDC"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68A540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assess residents on admission. An admission care plan guides care and service provision during the first three weeks after the resident’s admission. InterRAI assessments are used to identify residents’ needs, and long-term care plans are developed and implemented. The general practitioner completes a medical assessment on admission and reviews occur thereafter on a regular basis. Residents’ files reviewed demonstrated evaluations are completed at least six-monthly. </w:t>
      </w:r>
    </w:p>
    <w:p w14:paraId="73C5FCAF" w14:textId="77777777" w:rsidR="00220A20"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0D7BC09C" w14:textId="77777777" w:rsidR="00220A20" w:rsidRPr="00A4268A" w:rsidRDefault="00000000" w:rsidP="00621629">
      <w:pPr>
        <w:spacing w:before="240" w:line="276" w:lineRule="auto"/>
        <w:rPr>
          <w:rFonts w:eastAsia="Calibri"/>
        </w:rPr>
      </w:pPr>
      <w:r w:rsidRPr="00A4268A">
        <w:rPr>
          <w:rFonts w:eastAsia="Calibri"/>
        </w:rPr>
        <w:t xml:space="preserve">The food service meets the nutritional needs of the residents. Dietary preferences, intolerances, allergies, and cultural needs are catered for. The service has a current food control plan. </w:t>
      </w:r>
    </w:p>
    <w:p w14:paraId="5F98DE09" w14:textId="77777777" w:rsidR="00220A20" w:rsidRPr="00A4268A" w:rsidRDefault="00000000" w:rsidP="00621629">
      <w:pPr>
        <w:spacing w:before="240" w:line="276" w:lineRule="auto"/>
        <w:rPr>
          <w:rFonts w:eastAsia="Calibri"/>
        </w:rPr>
      </w:pPr>
      <w:r w:rsidRPr="00A4268A">
        <w:rPr>
          <w:rFonts w:eastAsia="Calibri"/>
        </w:rPr>
        <w:t>Transition, exit, discharge, or transfer is managed in a planned and coordinated manner.</w:t>
      </w:r>
    </w:p>
    <w:bookmarkEnd w:id="22"/>
    <w:p w14:paraId="068AF669" w14:textId="77777777" w:rsidR="00220A20" w:rsidRPr="00A4268A" w:rsidRDefault="00220A20" w:rsidP="00621629">
      <w:pPr>
        <w:spacing w:before="240" w:line="276" w:lineRule="auto"/>
        <w:rPr>
          <w:rFonts w:eastAsia="Calibri"/>
        </w:rPr>
      </w:pPr>
    </w:p>
    <w:p w14:paraId="1C1BC648"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0A20" w14:paraId="24929438" w14:textId="77777777" w:rsidTr="00A4268A">
        <w:trPr>
          <w:cantSplit/>
        </w:trPr>
        <w:tc>
          <w:tcPr>
            <w:tcW w:w="10206" w:type="dxa"/>
            <w:vAlign w:val="center"/>
          </w:tcPr>
          <w:p w14:paraId="70926B1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C23D86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632C3E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64CE244"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Clinical and electrical equipment are checked for safety. Rooms are personalised.</w:t>
      </w:r>
    </w:p>
    <w:bookmarkEnd w:id="25"/>
    <w:p w14:paraId="6E910DD6" w14:textId="77777777" w:rsidR="00220A20" w:rsidRPr="00A4268A" w:rsidRDefault="00220A20">
      <w:pPr>
        <w:spacing w:before="240" w:line="276" w:lineRule="auto"/>
        <w:rPr>
          <w:rFonts w:eastAsia="Calibri"/>
        </w:rPr>
      </w:pPr>
    </w:p>
    <w:p w14:paraId="4DCCC15A"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0A20" w14:paraId="444DFD3D" w14:textId="77777777" w:rsidTr="00A4268A">
        <w:trPr>
          <w:cantSplit/>
        </w:trPr>
        <w:tc>
          <w:tcPr>
            <w:tcW w:w="10206" w:type="dxa"/>
            <w:vAlign w:val="center"/>
          </w:tcPr>
          <w:p w14:paraId="4322883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ED07CC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F4E924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EF8F262"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control programme is suitable for the size and scope of the service. There is a comprehensive pandemic plan. The infection prevention and control programme is implemented and provides information and resources to inform staff.</w:t>
      </w:r>
    </w:p>
    <w:p w14:paraId="2F77A904" w14:textId="77777777" w:rsidR="00220A20"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Staff are informed about infection control practices through meetings and education sessions. Outbreak response plans are in place, and the service has access to personal protective equipment supplies. There have been no outbreaks of infection since the last audit.   </w:t>
      </w:r>
    </w:p>
    <w:bookmarkEnd w:id="28"/>
    <w:p w14:paraId="1C9BCB68" w14:textId="77777777" w:rsidR="00220A20" w:rsidRPr="00A4268A" w:rsidRDefault="00220A20">
      <w:pPr>
        <w:spacing w:before="240" w:line="276" w:lineRule="auto"/>
        <w:rPr>
          <w:rFonts w:eastAsia="Calibri"/>
        </w:rPr>
      </w:pPr>
    </w:p>
    <w:p w14:paraId="1FD71D2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0A20" w14:paraId="35BF5288" w14:textId="77777777" w:rsidTr="00A4268A">
        <w:trPr>
          <w:cantSplit/>
        </w:trPr>
        <w:tc>
          <w:tcPr>
            <w:tcW w:w="10206" w:type="dxa"/>
            <w:vAlign w:val="center"/>
          </w:tcPr>
          <w:p w14:paraId="1A86999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8BE2A3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2655D7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7CDFD28" w14:textId="77777777" w:rsidR="00000000" w:rsidRDefault="00000000">
      <w:pPr>
        <w:spacing w:before="240" w:line="276" w:lineRule="auto"/>
        <w:rPr>
          <w:rFonts w:eastAsia="Calibri"/>
        </w:rPr>
      </w:pPr>
      <w:bookmarkStart w:id="31" w:name="InfectionPreventionAndControl"/>
      <w:r w:rsidRPr="00A4268A">
        <w:rPr>
          <w:rFonts w:eastAsia="Calibri"/>
        </w:rPr>
        <w:t>The policy and procedures include processes for consent, approval, monitoring and evaluation that are in accordance with the standard. The service is committed to a restraint-free environment and there is no use of restraint.</w:t>
      </w:r>
    </w:p>
    <w:p w14:paraId="0475A188" w14:textId="77777777" w:rsidR="00220A20" w:rsidRPr="00A4268A" w:rsidRDefault="00000000">
      <w:pPr>
        <w:spacing w:before="240" w:line="276" w:lineRule="auto"/>
        <w:rPr>
          <w:rFonts w:eastAsia="Calibri"/>
        </w:rPr>
      </w:pPr>
      <w:r w:rsidRPr="00A4268A">
        <w:rPr>
          <w:rFonts w:eastAsia="Calibri"/>
        </w:rPr>
        <w:t>Staff receive training during orientation and on an annual basis on the policy and procedures, alternatives to restraint and de-escalation.</w:t>
      </w:r>
    </w:p>
    <w:bookmarkEnd w:id="31"/>
    <w:p w14:paraId="2FC28226" w14:textId="77777777" w:rsidR="00220A20" w:rsidRPr="00A4268A" w:rsidRDefault="00220A20">
      <w:pPr>
        <w:spacing w:before="240" w:line="276" w:lineRule="auto"/>
        <w:rPr>
          <w:rFonts w:eastAsia="Calibri"/>
        </w:rPr>
      </w:pPr>
    </w:p>
    <w:p w14:paraId="5407B7EE" w14:textId="77777777" w:rsidR="00000000" w:rsidRDefault="00000000" w:rsidP="000E6E02">
      <w:pPr>
        <w:pStyle w:val="Heading2"/>
        <w:spacing w:before="0"/>
        <w:rPr>
          <w:rFonts w:cs="Arial"/>
        </w:rPr>
      </w:pPr>
      <w:r>
        <w:rPr>
          <w:rFonts w:cs="Arial"/>
        </w:rPr>
        <w:lastRenderedPageBreak/>
        <w:t>Summary of attainment</w:t>
      </w:r>
    </w:p>
    <w:p w14:paraId="4728144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20A20" w14:paraId="15DDD9F2" w14:textId="77777777">
        <w:tc>
          <w:tcPr>
            <w:tcW w:w="1384" w:type="dxa"/>
            <w:vAlign w:val="center"/>
          </w:tcPr>
          <w:p w14:paraId="679EDA6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42EAAB7" w14:textId="77777777" w:rsidR="00000000" w:rsidRDefault="00000000">
            <w:pPr>
              <w:keepNext/>
              <w:spacing w:before="60" w:after="60"/>
              <w:jc w:val="center"/>
              <w:rPr>
                <w:rFonts w:cs="Arial"/>
                <w:b/>
                <w:sz w:val="20"/>
                <w:szCs w:val="20"/>
              </w:rPr>
            </w:pPr>
            <w:r>
              <w:rPr>
                <w:rFonts w:cs="Arial"/>
                <w:b/>
                <w:sz w:val="20"/>
                <w:szCs w:val="20"/>
              </w:rPr>
              <w:t>Continuous Improvement</w:t>
            </w:r>
          </w:p>
          <w:p w14:paraId="1D5818E2"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7BF46E1" w14:textId="77777777" w:rsidR="00000000" w:rsidRDefault="00000000">
            <w:pPr>
              <w:keepNext/>
              <w:spacing w:before="60" w:after="60"/>
              <w:jc w:val="center"/>
              <w:rPr>
                <w:rFonts w:cs="Arial"/>
                <w:b/>
                <w:sz w:val="20"/>
                <w:szCs w:val="20"/>
              </w:rPr>
            </w:pPr>
            <w:r>
              <w:rPr>
                <w:rFonts w:cs="Arial"/>
                <w:b/>
                <w:sz w:val="20"/>
                <w:szCs w:val="20"/>
              </w:rPr>
              <w:t>Fully Attained</w:t>
            </w:r>
          </w:p>
          <w:p w14:paraId="600F0917"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BDCB20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CA60432"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7FBA33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BB25A6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442722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421916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6D379A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9EECAB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8E3C085"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45D99B1" w14:textId="77777777" w:rsidR="00000000" w:rsidRDefault="00000000">
            <w:pPr>
              <w:keepNext/>
              <w:spacing w:before="60" w:after="60"/>
              <w:jc w:val="center"/>
              <w:rPr>
                <w:rFonts w:cs="Arial"/>
                <w:b/>
                <w:sz w:val="20"/>
                <w:szCs w:val="20"/>
              </w:rPr>
            </w:pPr>
            <w:r>
              <w:rPr>
                <w:rFonts w:cs="Arial"/>
                <w:b/>
                <w:sz w:val="20"/>
                <w:szCs w:val="20"/>
              </w:rPr>
              <w:t>(PA Critical)</w:t>
            </w:r>
          </w:p>
        </w:tc>
      </w:tr>
      <w:tr w:rsidR="00220A20" w14:paraId="2D634731" w14:textId="77777777">
        <w:tc>
          <w:tcPr>
            <w:tcW w:w="1384" w:type="dxa"/>
            <w:vAlign w:val="center"/>
          </w:tcPr>
          <w:p w14:paraId="7AFEC6B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B1973D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A7D6BD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789F49E2"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1E24C1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18D612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7D5C0E2"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E55672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20A20" w14:paraId="33BB7A1C" w14:textId="77777777">
        <w:tc>
          <w:tcPr>
            <w:tcW w:w="1384" w:type="dxa"/>
            <w:vAlign w:val="center"/>
          </w:tcPr>
          <w:p w14:paraId="54AEFEB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86F6DA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5CD929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A7D107A"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AEE1AE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B8B9A4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5AAD87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63ED69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A48456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20A20" w14:paraId="6C77921A" w14:textId="77777777">
        <w:tc>
          <w:tcPr>
            <w:tcW w:w="1384" w:type="dxa"/>
            <w:vAlign w:val="center"/>
          </w:tcPr>
          <w:p w14:paraId="019C952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13E81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9BBA72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F085EA7" w14:textId="77777777" w:rsidR="00000000" w:rsidRDefault="00000000">
            <w:pPr>
              <w:keepNext/>
              <w:spacing w:before="60" w:after="60"/>
              <w:jc w:val="center"/>
              <w:rPr>
                <w:rFonts w:cs="Arial"/>
                <w:b/>
                <w:sz w:val="20"/>
                <w:szCs w:val="20"/>
              </w:rPr>
            </w:pPr>
            <w:r>
              <w:rPr>
                <w:rFonts w:cs="Arial"/>
                <w:b/>
                <w:sz w:val="20"/>
                <w:szCs w:val="20"/>
              </w:rPr>
              <w:t>Unattained Low Risk</w:t>
            </w:r>
          </w:p>
          <w:p w14:paraId="5F24248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89B270B" w14:textId="77777777" w:rsidR="00000000" w:rsidRDefault="00000000">
            <w:pPr>
              <w:keepNext/>
              <w:spacing w:before="60" w:after="60"/>
              <w:jc w:val="center"/>
              <w:rPr>
                <w:rFonts w:cs="Arial"/>
                <w:b/>
                <w:sz w:val="20"/>
                <w:szCs w:val="20"/>
              </w:rPr>
            </w:pPr>
            <w:r>
              <w:rPr>
                <w:rFonts w:cs="Arial"/>
                <w:b/>
                <w:sz w:val="20"/>
                <w:szCs w:val="20"/>
              </w:rPr>
              <w:t>Unattained Moderate Risk</w:t>
            </w:r>
          </w:p>
          <w:p w14:paraId="4335811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6A68D72" w14:textId="77777777" w:rsidR="00000000" w:rsidRDefault="00000000">
            <w:pPr>
              <w:keepNext/>
              <w:spacing w:before="60" w:after="60"/>
              <w:jc w:val="center"/>
              <w:rPr>
                <w:rFonts w:cs="Arial"/>
                <w:b/>
                <w:sz w:val="20"/>
                <w:szCs w:val="20"/>
              </w:rPr>
            </w:pPr>
            <w:r>
              <w:rPr>
                <w:rFonts w:cs="Arial"/>
                <w:b/>
                <w:sz w:val="20"/>
                <w:szCs w:val="20"/>
              </w:rPr>
              <w:t>Unattained High Risk</w:t>
            </w:r>
          </w:p>
          <w:p w14:paraId="6E8D47C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D0840D7" w14:textId="77777777" w:rsidR="00000000" w:rsidRDefault="00000000">
            <w:pPr>
              <w:keepNext/>
              <w:spacing w:before="60" w:after="60"/>
              <w:jc w:val="center"/>
              <w:rPr>
                <w:rFonts w:cs="Arial"/>
                <w:b/>
                <w:sz w:val="20"/>
                <w:szCs w:val="20"/>
              </w:rPr>
            </w:pPr>
            <w:r>
              <w:rPr>
                <w:rFonts w:cs="Arial"/>
                <w:b/>
                <w:sz w:val="20"/>
                <w:szCs w:val="20"/>
              </w:rPr>
              <w:t>Unattained Critical Risk</w:t>
            </w:r>
          </w:p>
          <w:p w14:paraId="00AC48F5" w14:textId="77777777" w:rsidR="00000000" w:rsidRDefault="00000000">
            <w:pPr>
              <w:keepNext/>
              <w:spacing w:before="60" w:after="60"/>
              <w:jc w:val="center"/>
              <w:rPr>
                <w:rFonts w:cs="Arial"/>
                <w:b/>
                <w:sz w:val="20"/>
                <w:szCs w:val="20"/>
              </w:rPr>
            </w:pPr>
            <w:r>
              <w:rPr>
                <w:rFonts w:cs="Arial"/>
                <w:b/>
                <w:sz w:val="20"/>
                <w:szCs w:val="20"/>
              </w:rPr>
              <w:t>(UA Critical)</w:t>
            </w:r>
          </w:p>
        </w:tc>
      </w:tr>
      <w:tr w:rsidR="00220A20" w14:paraId="750F5F61" w14:textId="77777777">
        <w:tc>
          <w:tcPr>
            <w:tcW w:w="1384" w:type="dxa"/>
            <w:vAlign w:val="center"/>
          </w:tcPr>
          <w:p w14:paraId="422CEB0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040589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F942AF1"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2404A5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77025C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465EBA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20A20" w14:paraId="6DF5B3B5" w14:textId="77777777">
        <w:tc>
          <w:tcPr>
            <w:tcW w:w="1384" w:type="dxa"/>
            <w:vAlign w:val="center"/>
          </w:tcPr>
          <w:p w14:paraId="69CAFF07"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BA693E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083B42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7A3AD8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D4456E6"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1C6AD5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5FC0864"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0DA8B8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B2720B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71EFD8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370"/>
        <w:gridCol w:w="6913"/>
      </w:tblGrid>
      <w:tr w:rsidR="00220A20" w14:paraId="393E2208" w14:textId="77777777">
        <w:tc>
          <w:tcPr>
            <w:tcW w:w="0" w:type="auto"/>
          </w:tcPr>
          <w:p w14:paraId="3AF1C15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794275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9B6EA0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220A20" w14:paraId="18F70B8F" w14:textId="77777777">
        <w:tc>
          <w:tcPr>
            <w:tcW w:w="0" w:type="auto"/>
          </w:tcPr>
          <w:p w14:paraId="1FAC6BE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4B4D623"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887C64C" w14:textId="77777777" w:rsidR="00000000" w:rsidRPr="00BE00C7" w:rsidRDefault="00000000" w:rsidP="00BE00C7">
            <w:pPr>
              <w:pStyle w:val="OutcomeDescription"/>
              <w:spacing w:before="120" w:after="120"/>
              <w:rPr>
                <w:rFonts w:cs="Arial"/>
                <w:lang w:eastAsia="en-NZ"/>
              </w:rPr>
            </w:pPr>
          </w:p>
        </w:tc>
        <w:tc>
          <w:tcPr>
            <w:tcW w:w="0" w:type="auto"/>
          </w:tcPr>
          <w:p w14:paraId="2BCF13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251618" w14:textId="77777777" w:rsidR="00000000" w:rsidRPr="00BE00C7" w:rsidRDefault="00000000" w:rsidP="00BE00C7">
            <w:pPr>
              <w:pStyle w:val="OutcomeDescription"/>
              <w:spacing w:before="120" w:after="120"/>
              <w:rPr>
                <w:rFonts w:cs="Arial"/>
                <w:lang w:eastAsia="en-NZ"/>
              </w:rPr>
            </w:pPr>
            <w:r w:rsidRPr="00BE00C7">
              <w:rPr>
                <w:rFonts w:cs="Arial"/>
                <w:lang w:eastAsia="en-NZ"/>
              </w:rPr>
              <w:t>CHT Waiuku has an implemented Māori health plan. This document incorporates the principles of Te Tiriti o Waitangi including partnership in recognising all cultures as partners and valuing each culture for the contributions they bring and supporting mana motuhake. The service recruits and employs staff who identify as Māori. During the audit there were residents who identify as Māori. Staff receive ongoing training in Te Tiriti o Waitangi, cultural awareness, tikanga and culturally safe practice as part of the annual in-service education programme. There is signage throughout the facility in te reo Māori. Interviews with the care home manager, area manager, clinical coordinator, three healthcare assistants, one registered nurse and one chef manager gave examples of providing culturally safe services in relation to their roles.</w:t>
            </w:r>
          </w:p>
          <w:p w14:paraId="23CD6060" w14:textId="77777777" w:rsidR="00000000" w:rsidRPr="00BE00C7" w:rsidRDefault="00000000" w:rsidP="00BE00C7">
            <w:pPr>
              <w:pStyle w:val="OutcomeDescription"/>
              <w:spacing w:before="120" w:after="120"/>
              <w:rPr>
                <w:rFonts w:cs="Arial"/>
                <w:lang w:eastAsia="en-NZ"/>
              </w:rPr>
            </w:pPr>
          </w:p>
        </w:tc>
      </w:tr>
      <w:tr w:rsidR="00220A20" w14:paraId="2D8C5207" w14:textId="77777777">
        <w:tc>
          <w:tcPr>
            <w:tcW w:w="0" w:type="auto"/>
          </w:tcPr>
          <w:p w14:paraId="588327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A997A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2D0104BE" w14:textId="77777777" w:rsidR="00000000" w:rsidRPr="00BE00C7" w:rsidRDefault="00000000" w:rsidP="00BE00C7">
            <w:pPr>
              <w:pStyle w:val="OutcomeDescription"/>
              <w:spacing w:before="120" w:after="120"/>
              <w:rPr>
                <w:rFonts w:cs="Arial"/>
                <w:lang w:eastAsia="en-NZ"/>
              </w:rPr>
            </w:pPr>
          </w:p>
        </w:tc>
        <w:tc>
          <w:tcPr>
            <w:tcW w:w="0" w:type="auto"/>
          </w:tcPr>
          <w:p w14:paraId="1B1FB9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2014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cultural policy includes a Pacific health plan. The aim is to uphold the principles of Pacific people by acknowledging respectful relationships, valuing families, and providing high quality healthcare. This document is in accordance with the Ministry of Health Pacific Plan. During the audit there were staff who identify as Pacific people, but there were no residents who identify as Pasifika. Staff receive ongoing training in cultural safety and </w:t>
            </w:r>
            <w:r w:rsidRPr="00BE00C7">
              <w:rPr>
                <w:rFonts w:cs="Arial"/>
                <w:lang w:eastAsia="en-NZ"/>
              </w:rPr>
              <w:lastRenderedPageBreak/>
              <w:t xml:space="preserve">awareness as part of the in-service education schedule that includes recognising the world view, cultural and spiritual beliefs of Pacific people. </w:t>
            </w:r>
          </w:p>
          <w:p w14:paraId="08CCA2C0" w14:textId="77777777" w:rsidR="00000000" w:rsidRPr="00BE00C7" w:rsidRDefault="00000000" w:rsidP="00BE00C7">
            <w:pPr>
              <w:pStyle w:val="OutcomeDescription"/>
              <w:spacing w:before="120" w:after="120"/>
              <w:rPr>
                <w:rFonts w:cs="Arial"/>
                <w:lang w:eastAsia="en-NZ"/>
              </w:rPr>
            </w:pPr>
          </w:p>
        </w:tc>
      </w:tr>
      <w:tr w:rsidR="00220A20" w14:paraId="20C7EFC4" w14:textId="77777777">
        <w:tc>
          <w:tcPr>
            <w:tcW w:w="0" w:type="auto"/>
          </w:tcPr>
          <w:p w14:paraId="7B33AB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85319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6F92890" w14:textId="77777777" w:rsidR="00000000" w:rsidRPr="00BE00C7" w:rsidRDefault="00000000" w:rsidP="00BE00C7">
            <w:pPr>
              <w:pStyle w:val="OutcomeDescription"/>
              <w:spacing w:before="120" w:after="120"/>
              <w:rPr>
                <w:rFonts w:cs="Arial"/>
                <w:lang w:eastAsia="en-NZ"/>
              </w:rPr>
            </w:pPr>
          </w:p>
        </w:tc>
        <w:tc>
          <w:tcPr>
            <w:tcW w:w="0" w:type="auto"/>
          </w:tcPr>
          <w:p w14:paraId="4F9601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B1D5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procedures at CHT Waiuku align with the requirements of the Health and Disability Commissioner’s (HDC) Code of Health and Disability Services Consumers’ Rights (the Code) and are implemented. Information related to the Code is made available to residents and their family/whānau. The Code is displayed in multiple locations in English and te reo Māori. Residents interviewed (two hospital and three rest home level) and one family/whānau (hospital level) understood their rights and expressed the service upholds their rights and the rights of their loved ones.</w:t>
            </w:r>
          </w:p>
          <w:p w14:paraId="694896A4" w14:textId="77777777" w:rsidR="00000000" w:rsidRPr="00BE00C7" w:rsidRDefault="00000000" w:rsidP="00BE00C7">
            <w:pPr>
              <w:pStyle w:val="OutcomeDescription"/>
              <w:spacing w:before="120" w:after="120"/>
              <w:rPr>
                <w:rFonts w:cs="Arial"/>
                <w:lang w:eastAsia="en-NZ"/>
              </w:rPr>
            </w:pPr>
          </w:p>
        </w:tc>
      </w:tr>
      <w:tr w:rsidR="00220A20" w14:paraId="0E164B12" w14:textId="77777777">
        <w:tc>
          <w:tcPr>
            <w:tcW w:w="0" w:type="auto"/>
          </w:tcPr>
          <w:p w14:paraId="3145F2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36360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67B9873" w14:textId="77777777" w:rsidR="00000000" w:rsidRPr="00BE00C7" w:rsidRDefault="00000000" w:rsidP="00BE00C7">
            <w:pPr>
              <w:pStyle w:val="OutcomeDescription"/>
              <w:spacing w:before="120" w:after="120"/>
              <w:rPr>
                <w:rFonts w:cs="Arial"/>
                <w:lang w:eastAsia="en-NZ"/>
              </w:rPr>
            </w:pPr>
          </w:p>
        </w:tc>
        <w:tc>
          <w:tcPr>
            <w:tcW w:w="0" w:type="auto"/>
          </w:tcPr>
          <w:p w14:paraId="7E94597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38A3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procedures at CHT Waiuku express a zero-tolerance approach to racism, discrimination, coercion, abuse and neglect, harassment, sexual, financial, or other forms of exploitation. The service also aligns with the Code of residents’ rights. Policies reflect acceptable and unacceptable behaviours. Staff receive ongoing training on elder abuse and prevention as part of the annual mandatory training programme. </w:t>
            </w:r>
          </w:p>
          <w:p w14:paraId="43ED5E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and are covered as part of orientation. Interviews with staff confirmed their understanding of professional boundaries, including the boundaries of their role and responsibilities. </w:t>
            </w:r>
          </w:p>
          <w:p w14:paraId="0452F97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property documented and signed for on entry to the service. Residents and family/whānau have written information on residents’ possessions and accountability management of those within the resident’s signed service level agreement. The service implements a process to manage residents’ comfort funds.</w:t>
            </w:r>
          </w:p>
          <w:p w14:paraId="7E39E515" w14:textId="77777777" w:rsidR="00000000" w:rsidRPr="00BE00C7" w:rsidRDefault="00000000" w:rsidP="00BE00C7">
            <w:pPr>
              <w:pStyle w:val="OutcomeDescription"/>
              <w:spacing w:before="120" w:after="120"/>
              <w:rPr>
                <w:rFonts w:cs="Arial"/>
                <w:lang w:eastAsia="en-NZ"/>
              </w:rPr>
            </w:pPr>
          </w:p>
        </w:tc>
      </w:tr>
      <w:tr w:rsidR="00220A20" w14:paraId="5B9D7B42" w14:textId="77777777">
        <w:tc>
          <w:tcPr>
            <w:tcW w:w="0" w:type="auto"/>
          </w:tcPr>
          <w:p w14:paraId="084AAF8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343BCA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4C1F9B4" w14:textId="77777777" w:rsidR="00000000" w:rsidRPr="00BE00C7" w:rsidRDefault="00000000" w:rsidP="00BE00C7">
            <w:pPr>
              <w:pStyle w:val="OutcomeDescription"/>
              <w:spacing w:before="120" w:after="120"/>
              <w:rPr>
                <w:rFonts w:cs="Arial"/>
                <w:lang w:eastAsia="en-NZ"/>
              </w:rPr>
            </w:pPr>
          </w:p>
        </w:tc>
        <w:tc>
          <w:tcPr>
            <w:tcW w:w="0" w:type="auto"/>
          </w:tcPr>
          <w:p w14:paraId="509571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1F6A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informed consent policy in place. Five resident files reviewed included informed consent forms signed by either the resident or enduring </w:t>
            </w:r>
            <w:r w:rsidRPr="00BE00C7">
              <w:rPr>
                <w:rFonts w:cs="Arial"/>
                <w:lang w:eastAsia="en-NZ"/>
              </w:rPr>
              <w:lastRenderedPageBreak/>
              <w:t>power of attorney (EPOA). Consent forms for vaccinations were also on file where appropriate. Residents and family/whānau interviewed could describe what informed consent was and their rights around choice.</w:t>
            </w:r>
          </w:p>
          <w:p w14:paraId="204A409D" w14:textId="77777777" w:rsidR="00000000" w:rsidRPr="00BE00C7" w:rsidRDefault="00000000" w:rsidP="00BE00C7">
            <w:pPr>
              <w:pStyle w:val="OutcomeDescription"/>
              <w:spacing w:before="120" w:after="120"/>
              <w:rPr>
                <w:rFonts w:cs="Arial"/>
                <w:lang w:eastAsia="en-NZ"/>
              </w:rPr>
            </w:pPr>
          </w:p>
        </w:tc>
      </w:tr>
      <w:tr w:rsidR="00220A20" w14:paraId="2237EB66" w14:textId="77777777">
        <w:tc>
          <w:tcPr>
            <w:tcW w:w="0" w:type="auto"/>
          </w:tcPr>
          <w:p w14:paraId="438E83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D6997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6EB1A2F" w14:textId="77777777" w:rsidR="00000000" w:rsidRPr="00BE00C7" w:rsidRDefault="00000000" w:rsidP="00BE00C7">
            <w:pPr>
              <w:pStyle w:val="OutcomeDescription"/>
              <w:spacing w:before="120" w:after="120"/>
              <w:rPr>
                <w:rFonts w:cs="Arial"/>
                <w:lang w:eastAsia="en-NZ"/>
              </w:rPr>
            </w:pPr>
          </w:p>
        </w:tc>
        <w:tc>
          <w:tcPr>
            <w:tcW w:w="0" w:type="auto"/>
          </w:tcPr>
          <w:p w14:paraId="645872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2731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and procedures for complaints that are communicated to residents and family/whānau. The care home manager has overall responsibility for ensuring all complaints (verbal and written) are fully documented and investigated within timeframes determined by the Code. The care home manager maintains a complaints’ register. Concerns and complaints are discussed at relevant meetings.</w:t>
            </w:r>
          </w:p>
          <w:p w14:paraId="6A9CF0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last audit there have been 16 internal complaints. Review of complaints documentation shows all were acknowledged, investigated and resolved to the satisfaction of the complainant. Complainants were informed of the outcome of the investigation. All internal complaints were of a minor nature, and no trends were identified. Since the last audit there have been no external complaints received. </w:t>
            </w:r>
          </w:p>
          <w:p w14:paraId="21C66863"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care home manager acknowledged the understanding that for Māori there is a preference for face-to-face communication.</w:t>
            </w:r>
          </w:p>
          <w:p w14:paraId="539F52CA" w14:textId="77777777" w:rsidR="00000000" w:rsidRPr="00BE00C7" w:rsidRDefault="00000000" w:rsidP="00BE00C7">
            <w:pPr>
              <w:pStyle w:val="OutcomeDescription"/>
              <w:spacing w:before="120" w:after="120"/>
              <w:rPr>
                <w:rFonts w:cs="Arial"/>
                <w:lang w:eastAsia="en-NZ"/>
              </w:rPr>
            </w:pPr>
          </w:p>
        </w:tc>
      </w:tr>
      <w:tr w:rsidR="00220A20" w14:paraId="674D6242" w14:textId="77777777">
        <w:tc>
          <w:tcPr>
            <w:tcW w:w="0" w:type="auto"/>
          </w:tcPr>
          <w:p w14:paraId="564E5DA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76ABE7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5196797" w14:textId="77777777" w:rsidR="00000000" w:rsidRPr="00BE00C7" w:rsidRDefault="00000000" w:rsidP="00BE00C7">
            <w:pPr>
              <w:pStyle w:val="OutcomeDescription"/>
              <w:spacing w:before="120" w:after="120"/>
              <w:rPr>
                <w:rFonts w:cs="Arial"/>
                <w:lang w:eastAsia="en-NZ"/>
              </w:rPr>
            </w:pPr>
          </w:p>
        </w:tc>
        <w:tc>
          <w:tcPr>
            <w:tcW w:w="0" w:type="auto"/>
          </w:tcPr>
          <w:p w14:paraId="6AA80A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B84F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Waiuku is owned by CHT Healthcare Trust (CHT), providing hospital (geriatric and medical), and rest home levels of care for up to 60 residents. </w:t>
            </w:r>
            <w:r w:rsidRPr="00BE00C7">
              <w:rPr>
                <w:rFonts w:cs="Arial"/>
                <w:lang w:eastAsia="en-NZ"/>
              </w:rPr>
              <w:lastRenderedPageBreak/>
              <w:t xml:space="preserve">All rooms are single occupancy. On the day of audit there were 60 residents in total: 13 rest home level (one young disabled person [YPD]) and 47 hospital level (one YPD and one funded by the Accident Compensation Corporation [ACC]). Aside from the residents on YPD and ACC funding, all other residents were under the age-related residential care contract (ARRC). </w:t>
            </w:r>
          </w:p>
          <w:p w14:paraId="78BDE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has an overarching strategy map with clear business goals to support organisational values. One of CHT’s key business goals is to provide equal access to aged care services. They aim to achieve this by providing affordable care and by enhancing physical and mental wellbeing of their residents. The business plan includes a mission statement and operational objectives with site specific goals related to budgeted occupancy, complaints management, resident satisfaction, availability of standard rooms, customer engagement and staff satisfaction. The care home manager reports on these areas monthly to the area manager. CHT is a charitable, not for profit organisation whose organisational philosophy and strategic plan reflects a person/family centred approach. </w:t>
            </w:r>
          </w:p>
          <w:p w14:paraId="27C57C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of CHT consists of seven trustees. Each of the trustees contributes their own areas of expertise to the board, including legal, accounting, medical, human resources, marketing, and business management. The chairperson of the board is also an experienced director and chairs other organisational boards. The area manager confirmed the strategic plan, its reflection of collaboration with Māori, which aligns with Manatū Hauora Ministry of Health strategies and addresses barriers to equitable service delivery. </w:t>
            </w:r>
          </w:p>
          <w:p w14:paraId="5E5391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board sub committees that are involved in the quality and risk management system: the quality, health and safety committee (QHSC), and the audit and risk committee. The QHSC reports to the board and monitors CHT’s compliance with its policies and procedures on quality health and safety and relevant legislation and contractual requirements, as a part of its responsibilities. The quality programme includes a quality programme policy, and quality goals (including site specific business goals) that are reviewed monthly in unit review meetings, as well as being discussed in the monthly staff/quality meetings. The audit and risk committee assists the Board in fulfilling its responsibilities relating to accounting and reporting, and risk management practices. </w:t>
            </w:r>
          </w:p>
          <w:p w14:paraId="470117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Clinical governance is led by the CHT clinical quality lead who is responsible for the development and delivery of the clinical quality strategy. They work with the area managers to ensure a strong clinical quality culture. The area managers provide the clinical oversight for the care facilities and provide a detailed analysis of clinical data to the board prior to every board meeting. Discussions are held at the board meeting around the issues raised and any corrective actions taken. The clinical data is compared both internally and externally against the national clinical benchmarking data and is reported on quarterly. </w:t>
            </w:r>
          </w:p>
          <w:p w14:paraId="0FE28D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advisors at governance level ensure Māori have meaningful representation in order to have substantive input into organisational operational policies. CHT’s Māori Health Plan has a set of actions to address barriers to Māori accessing care and employment within CHT. One of the actions from the Māori Health plan is to develop meaningful relationships with kaumātua/kuia/koroua at governance, operational and service level. CHT have established a Māori working party to complement this action, including respected kaumātua. The board and executive team have attended cultural training to ensure they are able to demonstrate expertise in Te Tiriti o Waitangi, health equity and cultural safety. </w:t>
            </w:r>
          </w:p>
          <w:p w14:paraId="0152F9FF" w14:textId="77777777" w:rsidR="00000000" w:rsidRPr="00BE00C7" w:rsidRDefault="00000000" w:rsidP="00BE00C7">
            <w:pPr>
              <w:pStyle w:val="OutcomeDescription"/>
              <w:spacing w:before="120" w:after="120"/>
              <w:rPr>
                <w:rFonts w:cs="Arial"/>
                <w:lang w:eastAsia="en-NZ"/>
              </w:rPr>
            </w:pPr>
          </w:p>
        </w:tc>
      </w:tr>
      <w:tr w:rsidR="00220A20" w14:paraId="5DB1F884" w14:textId="77777777">
        <w:tc>
          <w:tcPr>
            <w:tcW w:w="0" w:type="auto"/>
          </w:tcPr>
          <w:p w14:paraId="1EBF67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FFD0E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A22B3E6" w14:textId="77777777" w:rsidR="00000000" w:rsidRPr="00BE00C7" w:rsidRDefault="00000000" w:rsidP="00BE00C7">
            <w:pPr>
              <w:pStyle w:val="OutcomeDescription"/>
              <w:spacing w:before="120" w:after="120"/>
              <w:rPr>
                <w:rFonts w:cs="Arial"/>
                <w:lang w:eastAsia="en-NZ"/>
              </w:rPr>
            </w:pPr>
          </w:p>
        </w:tc>
        <w:tc>
          <w:tcPr>
            <w:tcW w:w="0" w:type="auto"/>
          </w:tcPr>
          <w:p w14:paraId="405C3F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EF37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quality and risk management programme is in place that allows CHT Waiuku to track their progress against the organisation’s quality goals as outlined in the strategy map. Quality goals are documented and progress towards quality goals are reviewed regularly at staff meetings. The quality and risk management system includes performance monitoring through internal and external audits and through the collection of clinical indicator data for wounds, falls, infections, incidents, restraint, complaints, medication errors and staff injuries. The service actively looks for opportunities to improve through quality initiatives and analysis of clinical indicator data. The service is currently focussing on the following: falls reduction through staff training and development of strategies for individual residents who are identified as medium to high falls risk; reduction of pressure injuries through staff education, provision of new mattresses, purchasing of more resources including sensor mats and using holistic measures such as the replenish, energy and protein programme (REAP) to </w:t>
            </w:r>
            <w:r w:rsidRPr="00BE00C7">
              <w:rPr>
                <w:rFonts w:cs="Arial"/>
                <w:lang w:eastAsia="en-NZ"/>
              </w:rPr>
              <w:lastRenderedPageBreak/>
              <w:t>improve nutrition; and to increase CHT Waiuku’s profile in the local community.</w:t>
            </w:r>
          </w:p>
          <w:p w14:paraId="4D4220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are held monthly for healthcare assistants, registered nurses, activities staff and health and safety team and these include health safety and quality (including infection prevention). There are regular resident and family/whānau meetings and residents and family/whānau interviewed stated they could approach the care home manager and clinical coordinator at any time to raise concerns. Staff meetings include (but are not limited to): tabling the previous minutes, matters outstanding, incidents and accidents, clinical indicators as above, internal audit reports, human resources, education, compliments and complaints, policy updates, general business and actions going forward. </w:t>
            </w:r>
          </w:p>
          <w:p w14:paraId="7CD349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where indicated, to address service improvements, with evidence of progress and sign off when achieved. Quality data and trends in data are communicated to staff in the meetings. </w:t>
            </w:r>
          </w:p>
          <w:p w14:paraId="50AD98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2ECBE3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care home manager maintains oversight of the health and safety system and contractor management on site. Hazard identification forms and an up-to-date hazard register were sighted. Health and safety policies are implemented and monitored monthly at the staff meetings. There are regular manual handling training sessions for staff. In the event of a staff accident or incident, a debrief process is documented on the accident/incident form. There is timely completion of investigation and reporting following staff incidents and accidents. The internal audit schedule includes health and safety, maintenance, and environmental audits. </w:t>
            </w:r>
          </w:p>
          <w:p w14:paraId="5ED785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incidents and accidents are reported, collated and categorised. Ten incident forms were reviewed and evidenced immediate </w:t>
            </w:r>
            <w:r w:rsidRPr="00BE00C7">
              <w:rPr>
                <w:rFonts w:cs="Arial"/>
                <w:lang w:eastAsia="en-NZ"/>
              </w:rPr>
              <w:lastRenderedPageBreak/>
              <w:t>action taken and any follow-up action(s) required. Incident and accident data is collated monthly and analysed. Results are discussed at staff meetings and shift handover. Each event involving a resident reflected a clinical assessment and follow up by a registered nurse. The adverse event reporting policy is in accordance with the National adverse event reporting policy.</w:t>
            </w:r>
          </w:p>
          <w:p w14:paraId="0D34C964"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care home manager evidenced awareness of their requirement to notify relevant authorities in relation to essential notifications. There were section 31 reports to HealthCERT since the last audit due to registered nurse shortage (an enrolled nurse was on duty and the care home manager; a registered nurse, resides very close to the facility) There was one other Section 31 notification to HealthCERT since the last audit relating to a security issue in the car park. There have been four notifications to the Health Quality and Safety Commission since the last audit; two for falls with fracture and two for pressure injuries (one unstageable and one stage three). Since the last audit there have been no outbreaks of infection. The care home manager demonstrated their awareness of the requirements for reporting to Public Health.</w:t>
            </w:r>
          </w:p>
          <w:p w14:paraId="3D1EB27B" w14:textId="77777777" w:rsidR="00000000" w:rsidRPr="00BE00C7" w:rsidRDefault="00000000" w:rsidP="00BE00C7">
            <w:pPr>
              <w:pStyle w:val="OutcomeDescription"/>
              <w:spacing w:before="120" w:after="120"/>
              <w:rPr>
                <w:rFonts w:cs="Arial"/>
                <w:lang w:eastAsia="en-NZ"/>
              </w:rPr>
            </w:pPr>
          </w:p>
        </w:tc>
      </w:tr>
      <w:tr w:rsidR="00220A20" w14:paraId="2FFBF596" w14:textId="77777777">
        <w:tc>
          <w:tcPr>
            <w:tcW w:w="0" w:type="auto"/>
          </w:tcPr>
          <w:p w14:paraId="0F97C6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C93FD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46AB870" w14:textId="77777777" w:rsidR="00000000" w:rsidRPr="00BE00C7" w:rsidRDefault="00000000" w:rsidP="00BE00C7">
            <w:pPr>
              <w:pStyle w:val="OutcomeDescription"/>
              <w:spacing w:before="120" w:after="120"/>
              <w:rPr>
                <w:rFonts w:cs="Arial"/>
                <w:lang w:eastAsia="en-NZ"/>
              </w:rPr>
            </w:pPr>
          </w:p>
        </w:tc>
        <w:tc>
          <w:tcPr>
            <w:tcW w:w="0" w:type="auto"/>
          </w:tcPr>
          <w:p w14:paraId="6D3285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3CCB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care home manager and clinical coordinator are onsite five days per week and share after-hours on call. There is always a registered nurse on duty. The maintenance person is available for maintenance and property related calls. </w:t>
            </w:r>
          </w:p>
          <w:p w14:paraId="255AA3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days of the audit care staff were visible and attending to call bells in a timely manner, as confirmed by all residents and family/whānau interviewed. Staff interviewed stated overall, the staffing levels are satisfactory, and the care home manager and clinical coordinator provide good support. </w:t>
            </w:r>
          </w:p>
          <w:p w14:paraId="214C35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rosters showed any gaps in staffing due to absences were covered by casual or regular staff picking up extra shifts. Residents and family/whānau interviewed reported there are adequate staff numbers. </w:t>
            </w:r>
          </w:p>
          <w:p w14:paraId="03BFFE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annual training programme exceeds eight hours annually and is aligned with Ngā Paerewa NZS 8134:2021. There is an attendance register for each training session and a record of educational courses offered and completed, including: in-services; competency questionnaires; online learning; and external professional development. All senior healthcare assistants and registered nurses have current medication competencies. Registered nurses, senior healthcare assistants, activities staff, and kitchen staff have a current first aid certificate. </w:t>
            </w:r>
          </w:p>
          <w:p w14:paraId="778BD68A"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are encouraged to complete New Zealand Qualification Authority (NZQA) through Careerforce. There are 42 healthcare assistants in total and 39 have achieved NZQA level three or above.</w:t>
            </w:r>
          </w:p>
          <w:p w14:paraId="4AB27507"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related to specialised procedures or treatments including (but not limited to) infection control, wound management, medication, insulin competencies and management of syringe drivers. At the time of the audit there were eight registered nurses in addition to the care home manager and clinical coordinator. Seven have completed interRAI training. Staff have completed training that covers equality/diversity, Te Tiriti o Waitangi, Te Whare Tapa Whā, and a broad range of other subjects relevant to aged care nursing.</w:t>
            </w:r>
          </w:p>
          <w:p w14:paraId="3B4061FD" w14:textId="77777777" w:rsidR="00000000" w:rsidRPr="00BE00C7" w:rsidRDefault="00000000" w:rsidP="00BE00C7">
            <w:pPr>
              <w:pStyle w:val="OutcomeDescription"/>
              <w:spacing w:before="120" w:after="120"/>
              <w:rPr>
                <w:rFonts w:cs="Arial"/>
                <w:lang w:eastAsia="en-NZ"/>
              </w:rPr>
            </w:pPr>
          </w:p>
        </w:tc>
      </w:tr>
      <w:tr w:rsidR="00220A20" w14:paraId="35EEAFBE" w14:textId="77777777">
        <w:tc>
          <w:tcPr>
            <w:tcW w:w="0" w:type="auto"/>
          </w:tcPr>
          <w:p w14:paraId="70094A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F8341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9849123" w14:textId="77777777" w:rsidR="00000000" w:rsidRPr="00BE00C7" w:rsidRDefault="00000000" w:rsidP="00BE00C7">
            <w:pPr>
              <w:pStyle w:val="OutcomeDescription"/>
              <w:spacing w:before="120" w:after="120"/>
              <w:rPr>
                <w:rFonts w:cs="Arial"/>
                <w:lang w:eastAsia="en-NZ"/>
              </w:rPr>
            </w:pPr>
          </w:p>
        </w:tc>
        <w:tc>
          <w:tcPr>
            <w:tcW w:w="0" w:type="auto"/>
          </w:tcPr>
          <w:p w14:paraId="4DC0D1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30B5B1"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current annual practicing certificates was sighted and included all registered nurses, podiatrists, physiotherapist and general practitioners. The scope of practice for registered health professionals and healthcare assistants is validated prior to employment.</w:t>
            </w:r>
          </w:p>
          <w:p w14:paraId="5CB743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7DB7D7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were reviewed including a registered nurse, two healthcare assistants, the clinical coordinator and activities coordinator. The files included evidence of completed orientation, training and competencies, and professional qualifications on file where required. There are job descriptions in place for all positions that includes outcomes, accountability, </w:t>
            </w:r>
            <w:r w:rsidRPr="00BE00C7">
              <w:rPr>
                <w:rFonts w:cs="Arial"/>
                <w:lang w:eastAsia="en-NZ"/>
              </w:rPr>
              <w:lastRenderedPageBreak/>
              <w:t>responsibilities, authority, and functions to be achieved in each position.  All employee files reviewed who have worked for one year or more included evidence of annual performance appraisals.</w:t>
            </w:r>
          </w:p>
          <w:p w14:paraId="10D77D4D" w14:textId="77777777" w:rsidR="00000000" w:rsidRPr="00BE00C7" w:rsidRDefault="00000000" w:rsidP="00BE00C7">
            <w:pPr>
              <w:pStyle w:val="OutcomeDescription"/>
              <w:spacing w:before="120" w:after="120"/>
              <w:rPr>
                <w:rFonts w:cs="Arial"/>
                <w:lang w:eastAsia="en-NZ"/>
              </w:rPr>
            </w:pPr>
          </w:p>
        </w:tc>
      </w:tr>
      <w:tr w:rsidR="00220A20" w14:paraId="184EA56E" w14:textId="77777777">
        <w:tc>
          <w:tcPr>
            <w:tcW w:w="0" w:type="auto"/>
          </w:tcPr>
          <w:p w14:paraId="20D8CB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38006E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3A02CFE" w14:textId="77777777" w:rsidR="00000000" w:rsidRPr="00BE00C7" w:rsidRDefault="00000000" w:rsidP="00BE00C7">
            <w:pPr>
              <w:pStyle w:val="OutcomeDescription"/>
              <w:spacing w:before="120" w:after="120"/>
              <w:rPr>
                <w:rFonts w:cs="Arial"/>
                <w:lang w:eastAsia="en-NZ"/>
              </w:rPr>
            </w:pPr>
          </w:p>
        </w:tc>
        <w:tc>
          <w:tcPr>
            <w:tcW w:w="0" w:type="auto"/>
          </w:tcPr>
          <w:p w14:paraId="32EAC9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3AE9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two rest home level (including one YPD); and three hospital level.  Registered nurses are responsible for conducting all assessments and for the development of care plans. There was evidence of resident and family/whānau involvement in the interRAI assessments, long-term care plans reviewed and six monthly multi-disciplinary reviews. </w:t>
            </w:r>
          </w:p>
          <w:p w14:paraId="132ACC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care plan is completed within 24 hours of admission. Ongoing interRAI assessments have been completed in the timeframes required and all outcome scores were identified on the long-term care plans. InterRAI assessments are completed for all residents including YPD. Outcomes of the interRAI assessments formulate the basis of the long-term care plan.</w:t>
            </w:r>
          </w:p>
          <w:p w14:paraId="6BF914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have been completed within 21 days. Care plan interventions are resident centred and provide guidance to staff around all medical and non-medical requirements. There are policies and procedures for use of short-term care plans which are utilised for issues such as infections, weight loss, and wounds and are signed off when resolved or transferred to the long-term care plan. InterRAI re-assessments have been completed six monthly and earlier when changes occurred. Care plans are reviewed on a six-monthly basis or when there are changes in the status of residents. </w:t>
            </w:r>
          </w:p>
          <w:p w14:paraId="4D8FA9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contracts local general practitioners from the Medical Centre for onsite visits twice a week. They are available by phone when needed on other days of the week. Some residents can choose to remain with their own general practitioner. After hours residents are transported by ambulance to Middlemore Hospital if acutely unwell. </w:t>
            </w:r>
          </w:p>
          <w:p w14:paraId="1B6857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practitioner sees and examines the residents within two to five working days of admission and completes monthly to three-monthly reviews as needed. More frequent medical reviews were evidenced in files of residents with more complex conditions or acute changes to health status. The general practitioner was interviewed and stated staff are competent </w:t>
            </w:r>
            <w:r w:rsidRPr="00BE00C7">
              <w:rPr>
                <w:rFonts w:cs="Arial"/>
                <w:lang w:eastAsia="en-NZ"/>
              </w:rPr>
              <w:lastRenderedPageBreak/>
              <w:t>and communicate in a timely manner when there are changes in the health status of residents.</w:t>
            </w:r>
          </w:p>
          <w:p w14:paraId="0CF825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and a team approach is evident. A physiotherapist is onsite eight hours per week. A podiatrist visits regularly. </w:t>
            </w:r>
          </w:p>
          <w:p w14:paraId="26D575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could describe a verbal and written handover at the beginning of each shift that maintains a continuity of service delivery. Progress notes are written on every shift by healthcare assistants and the registered nurses document daily for hospital level residents and when there is an incident or changes in health status. </w:t>
            </w:r>
          </w:p>
          <w:p w14:paraId="661085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reported their needs and expectations are being met. When a resident’s condition changes, the staff alert the registered nurses who then assesses the resident and initiates a review with the general practitioner. Family/whānau stated they were notified of all changes to health, including infections, accident/incidents, general practitioner visits, medication changes and this was consistently documented in the resident files. </w:t>
            </w:r>
          </w:p>
          <w:p w14:paraId="22D2F2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a total of 15 wounds for eight residents including skin tears, chronic lesions, a surgical wound and two stage two pressure injuries. There are comprehensive policies and procedures to guide staff on assessment, management, monitoring progress and evaluation of wounds. Assessments and wound management plans including wound measurements and photographs were reviewed. Wound assessment, management, evaluation and wound monitoring occurred as planned in the sample of wounds reviewed. Healthcare assistants and registered nurses interviewed stated there are adequate clinical supplies and equipment provided including continence, wound care supplies and pressure injury prevention resources. </w:t>
            </w:r>
          </w:p>
          <w:p w14:paraId="11AB5E4D"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charts including vital signs, bowel, positioning, food and fluid intake and weight monitoring charts are utilised by staff according to the care plan. Neurological observations are completed as per the policy for unwitnessed falls or suspected head injuries. All incident reports reviewed evidenced timely nursing follow up.</w:t>
            </w:r>
          </w:p>
          <w:p w14:paraId="371897ED" w14:textId="77777777" w:rsidR="00000000" w:rsidRPr="00BE00C7" w:rsidRDefault="00000000" w:rsidP="00BE00C7">
            <w:pPr>
              <w:pStyle w:val="OutcomeDescription"/>
              <w:spacing w:before="120" w:after="120"/>
              <w:rPr>
                <w:rFonts w:cs="Arial"/>
                <w:lang w:eastAsia="en-NZ"/>
              </w:rPr>
            </w:pPr>
          </w:p>
          <w:p w14:paraId="097CEAF6" w14:textId="77777777" w:rsidR="00000000" w:rsidRPr="00BE00C7" w:rsidRDefault="00000000" w:rsidP="007D48E4">
            <w:pPr>
              <w:pStyle w:val="OutcomeDescription"/>
              <w:spacing w:before="120" w:after="120"/>
              <w:rPr>
                <w:rFonts w:cs="Arial"/>
                <w:lang w:eastAsia="en-NZ"/>
              </w:rPr>
            </w:pPr>
          </w:p>
        </w:tc>
      </w:tr>
      <w:tr w:rsidR="00220A20" w14:paraId="0F635B55" w14:textId="77777777">
        <w:tc>
          <w:tcPr>
            <w:tcW w:w="0" w:type="auto"/>
          </w:tcPr>
          <w:p w14:paraId="1C2D1A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94DE5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C648C1C" w14:textId="77777777" w:rsidR="00000000" w:rsidRPr="00BE00C7" w:rsidRDefault="00000000" w:rsidP="00BE00C7">
            <w:pPr>
              <w:pStyle w:val="OutcomeDescription"/>
              <w:spacing w:before="120" w:after="120"/>
              <w:rPr>
                <w:rFonts w:cs="Arial"/>
                <w:lang w:eastAsia="en-NZ"/>
              </w:rPr>
            </w:pPr>
          </w:p>
        </w:tc>
        <w:tc>
          <w:tcPr>
            <w:tcW w:w="0" w:type="auto"/>
          </w:tcPr>
          <w:p w14:paraId="085FBC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D157C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092105A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There is one medication room. Medicines were stored in a locked trolley and locked medication room. The medication refrigerator and medication room temperatures are monitored daily and are within an acceptable range. Liquid medications and eye drops are labelled with the date of opening. Unused and expired medications are returned to the pharmacy.</w:t>
            </w:r>
          </w:p>
          <w:p w14:paraId="52E2660E"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healthcare assistants who are required to pass an annual competency test and have ongoing training in medicine management. Medication errors are reported on incident forms and appropriate investigation and follow up is done.</w:t>
            </w:r>
          </w:p>
          <w:p w14:paraId="5271FC21"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Specific included instructions for individual residents are in the prescription. Staff were seen to be explaining medications to residents, so they understood what they were taking. Residents and family/whānau confirmed they are consulted about medication changes.</w:t>
            </w:r>
          </w:p>
          <w:p w14:paraId="79E25E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resident who self-administers inhaled medication. They are assessed for their competency three-monthly by the general practitioner. The inhaled medication is stored in the treatment room. There are no standing orders.</w:t>
            </w:r>
          </w:p>
          <w:p w14:paraId="7C3EC6F3" w14:textId="77777777" w:rsidR="00000000" w:rsidRPr="00BE00C7" w:rsidRDefault="00000000" w:rsidP="00BE00C7">
            <w:pPr>
              <w:pStyle w:val="OutcomeDescription"/>
              <w:spacing w:before="120" w:after="120"/>
              <w:rPr>
                <w:rFonts w:cs="Arial"/>
                <w:lang w:eastAsia="en-NZ"/>
              </w:rPr>
            </w:pPr>
          </w:p>
        </w:tc>
      </w:tr>
      <w:tr w:rsidR="00220A20" w14:paraId="6D1064E9" w14:textId="77777777">
        <w:tc>
          <w:tcPr>
            <w:tcW w:w="0" w:type="auto"/>
          </w:tcPr>
          <w:p w14:paraId="71B3738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C636C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w:t>
            </w:r>
            <w:r w:rsidRPr="00BE00C7">
              <w:rPr>
                <w:rFonts w:cs="Arial"/>
                <w:lang w:eastAsia="en-NZ"/>
              </w:rPr>
              <w:lastRenderedPageBreak/>
              <w:t>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D395F99" w14:textId="77777777" w:rsidR="00000000" w:rsidRPr="00BE00C7" w:rsidRDefault="00000000" w:rsidP="00BE00C7">
            <w:pPr>
              <w:pStyle w:val="OutcomeDescription"/>
              <w:spacing w:before="120" w:after="120"/>
              <w:rPr>
                <w:rFonts w:cs="Arial"/>
                <w:lang w:eastAsia="en-NZ"/>
              </w:rPr>
            </w:pPr>
          </w:p>
        </w:tc>
        <w:tc>
          <w:tcPr>
            <w:tcW w:w="0" w:type="auto"/>
          </w:tcPr>
          <w:p w14:paraId="7D1550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B7F8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w:t>
            </w:r>
            <w:r w:rsidRPr="00BE00C7">
              <w:rPr>
                <w:rFonts w:cs="Arial"/>
                <w:lang w:eastAsia="en-NZ"/>
              </w:rPr>
              <w:lastRenderedPageBreak/>
              <w:t>requirements. Copies of individual dietary preferences were available in the kitchen folder.</w:t>
            </w:r>
          </w:p>
          <w:p w14:paraId="6DCC65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to 7 April 2026. </w:t>
            </w:r>
          </w:p>
          <w:p w14:paraId="554FAF99" w14:textId="77777777" w:rsidR="00000000" w:rsidRPr="00BE00C7" w:rsidRDefault="00000000" w:rsidP="00BE00C7">
            <w:pPr>
              <w:pStyle w:val="OutcomeDescription"/>
              <w:spacing w:before="120" w:after="120"/>
              <w:rPr>
                <w:rFonts w:cs="Arial"/>
                <w:lang w:eastAsia="en-NZ"/>
              </w:rPr>
            </w:pPr>
          </w:p>
        </w:tc>
      </w:tr>
      <w:tr w:rsidR="00220A20" w14:paraId="7E26A3B7" w14:textId="77777777">
        <w:tc>
          <w:tcPr>
            <w:tcW w:w="0" w:type="auto"/>
          </w:tcPr>
          <w:p w14:paraId="28FC20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B8330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2E8FBD7" w14:textId="77777777" w:rsidR="00000000" w:rsidRPr="00BE00C7" w:rsidRDefault="00000000" w:rsidP="00BE00C7">
            <w:pPr>
              <w:pStyle w:val="OutcomeDescription"/>
              <w:spacing w:before="120" w:after="120"/>
              <w:rPr>
                <w:rFonts w:cs="Arial"/>
                <w:lang w:eastAsia="en-NZ"/>
              </w:rPr>
            </w:pPr>
          </w:p>
        </w:tc>
        <w:tc>
          <w:tcPr>
            <w:tcW w:w="0" w:type="auto"/>
          </w:tcPr>
          <w:p w14:paraId="5F1230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D9F209"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 otherwise staff transport residents to appointments.,</w:t>
            </w:r>
          </w:p>
          <w:p w14:paraId="5F2734EF" w14:textId="77777777" w:rsidR="00000000" w:rsidRPr="00BE00C7" w:rsidRDefault="00000000" w:rsidP="00BE00C7">
            <w:pPr>
              <w:pStyle w:val="OutcomeDescription"/>
              <w:spacing w:before="120" w:after="120"/>
              <w:rPr>
                <w:rFonts w:cs="Arial"/>
                <w:lang w:eastAsia="en-NZ"/>
              </w:rPr>
            </w:pPr>
          </w:p>
        </w:tc>
      </w:tr>
      <w:tr w:rsidR="00220A20" w14:paraId="34D0EAAF" w14:textId="77777777">
        <w:tc>
          <w:tcPr>
            <w:tcW w:w="0" w:type="auto"/>
          </w:tcPr>
          <w:p w14:paraId="2B639D1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278E4D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947BDC5" w14:textId="77777777" w:rsidR="00000000" w:rsidRPr="00BE00C7" w:rsidRDefault="00000000" w:rsidP="00BE00C7">
            <w:pPr>
              <w:pStyle w:val="OutcomeDescription"/>
              <w:spacing w:before="120" w:after="120"/>
              <w:rPr>
                <w:rFonts w:cs="Arial"/>
                <w:lang w:eastAsia="en-NZ"/>
              </w:rPr>
            </w:pPr>
          </w:p>
        </w:tc>
        <w:tc>
          <w:tcPr>
            <w:tcW w:w="0" w:type="auto"/>
          </w:tcPr>
          <w:p w14:paraId="7047FE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EAA1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to 19 September 2026. The physical environment supports the independence of the residents. Corridors have safety rails and promote safe mobility with the use of mobility aids. Residents were observed moving freely in their respective wings with mobility aids. There are comfortable looking lounges for communal gatherings and activities at the facility. Quiet spaces for residents and their family/whānau to utilise are available inside and in the internal courtyards. Residents are encouraged to decorate their bedrooms with personal, cultural and spiritual belongings as viewed on the day of audit.</w:t>
            </w:r>
          </w:p>
          <w:p w14:paraId="083AD9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maintenance schedule includes calibration and testing of clinical equipment, last completed in June 2025. Testing and tagging of all electrical appliances was completed from June to September 2025. Hot water temperatures are tested monthly and are maintained below 45 degrees Celsius.</w:t>
            </w:r>
          </w:p>
          <w:p w14:paraId="54BB69A6" w14:textId="77777777" w:rsidR="00000000" w:rsidRPr="00BE00C7" w:rsidRDefault="00000000" w:rsidP="00BE00C7">
            <w:pPr>
              <w:pStyle w:val="OutcomeDescription"/>
              <w:spacing w:before="120" w:after="120"/>
              <w:rPr>
                <w:rFonts w:cs="Arial"/>
                <w:lang w:eastAsia="en-NZ"/>
              </w:rPr>
            </w:pPr>
          </w:p>
        </w:tc>
      </w:tr>
      <w:tr w:rsidR="00220A20" w14:paraId="186D8FB6" w14:textId="77777777">
        <w:tc>
          <w:tcPr>
            <w:tcW w:w="0" w:type="auto"/>
          </w:tcPr>
          <w:p w14:paraId="4DC80C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E88C5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FFDBE8D" w14:textId="77777777" w:rsidR="00000000" w:rsidRPr="00BE00C7" w:rsidRDefault="00000000" w:rsidP="00BE00C7">
            <w:pPr>
              <w:pStyle w:val="OutcomeDescription"/>
              <w:spacing w:before="120" w:after="120"/>
              <w:rPr>
                <w:rFonts w:cs="Arial"/>
                <w:lang w:eastAsia="en-NZ"/>
              </w:rPr>
            </w:pPr>
          </w:p>
        </w:tc>
        <w:tc>
          <w:tcPr>
            <w:tcW w:w="0" w:type="auto"/>
          </w:tcPr>
          <w:p w14:paraId="3483EDB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43F5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its content and detail, is appropriate for the size, complexity and degree of risk associated with the service. CHT incorporates information on the Infection Prevention Services (Bug Control) website into the infection prevention and control programme. The programme has been approved by the board. The programme is linked into the electronic quality risk and incident reporting system. The infection prevention and control and the antimicrobial stewardship programmes are reviewed annually. The review for 2025 was sighted.</w:t>
            </w:r>
          </w:p>
          <w:p w14:paraId="7E3B7AA4"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w:t>
            </w:r>
          </w:p>
          <w:p w14:paraId="4ADCEC99" w14:textId="77777777" w:rsidR="00000000" w:rsidRPr="00BE00C7" w:rsidRDefault="00000000" w:rsidP="00BE00C7">
            <w:pPr>
              <w:pStyle w:val="OutcomeDescription"/>
              <w:spacing w:before="120" w:after="120"/>
              <w:rPr>
                <w:rFonts w:cs="Arial"/>
                <w:lang w:eastAsia="en-NZ"/>
              </w:rPr>
            </w:pPr>
          </w:p>
        </w:tc>
      </w:tr>
      <w:tr w:rsidR="00220A20" w14:paraId="11DCC231" w14:textId="77777777">
        <w:tc>
          <w:tcPr>
            <w:tcW w:w="0" w:type="auto"/>
          </w:tcPr>
          <w:p w14:paraId="3E2F02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C874E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DE48DF6" w14:textId="77777777" w:rsidR="00000000" w:rsidRPr="00BE00C7" w:rsidRDefault="00000000" w:rsidP="00BE00C7">
            <w:pPr>
              <w:pStyle w:val="OutcomeDescription"/>
              <w:spacing w:before="120" w:after="120"/>
              <w:rPr>
                <w:rFonts w:cs="Arial"/>
                <w:lang w:eastAsia="en-NZ"/>
              </w:rPr>
            </w:pPr>
          </w:p>
        </w:tc>
        <w:tc>
          <w:tcPr>
            <w:tcW w:w="0" w:type="auto"/>
          </w:tcPr>
          <w:p w14:paraId="242706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2CCC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on a monthly basis.  Infection control surveillance is discussed at monthly health safety and quality and staff meetings onsite and in CHT-wide infection prevention and control meetings monthly. Infection surveillance data is reported to the board in the monthly reports. Ethnicity data is included in infection surveillance.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healthcare acquired infection.</w:t>
            </w:r>
          </w:p>
          <w:p w14:paraId="39B3B720"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last audit there have been no outbreaks of infection.</w:t>
            </w:r>
          </w:p>
          <w:p w14:paraId="3E8510A8" w14:textId="77777777" w:rsidR="00000000" w:rsidRPr="00BE00C7" w:rsidRDefault="00000000" w:rsidP="00BE00C7">
            <w:pPr>
              <w:pStyle w:val="OutcomeDescription"/>
              <w:spacing w:before="120" w:after="120"/>
              <w:rPr>
                <w:rFonts w:cs="Arial"/>
                <w:lang w:eastAsia="en-NZ"/>
              </w:rPr>
            </w:pPr>
          </w:p>
        </w:tc>
      </w:tr>
      <w:tr w:rsidR="00220A20" w14:paraId="6F994E78" w14:textId="77777777">
        <w:tc>
          <w:tcPr>
            <w:tcW w:w="0" w:type="auto"/>
          </w:tcPr>
          <w:p w14:paraId="5D129E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E52BB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6E22DFE" w14:textId="77777777" w:rsidR="00000000" w:rsidRPr="00BE00C7" w:rsidRDefault="00000000" w:rsidP="00BE00C7">
            <w:pPr>
              <w:pStyle w:val="OutcomeDescription"/>
              <w:spacing w:before="120" w:after="120"/>
              <w:rPr>
                <w:rFonts w:cs="Arial"/>
                <w:lang w:eastAsia="en-NZ"/>
              </w:rPr>
            </w:pPr>
          </w:p>
        </w:tc>
        <w:tc>
          <w:tcPr>
            <w:tcW w:w="0" w:type="auto"/>
          </w:tcPr>
          <w:p w14:paraId="1E0B41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EC83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providing a restraint-free environment. This is supported by the governance board, management, and staff. CHT Waiuku has not used restraint since 2023.</w:t>
            </w:r>
          </w:p>
          <w:p w14:paraId="7C750964"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training and de-escalation strategies is completed as part of the mandatory training plan and orientation.</w:t>
            </w:r>
          </w:p>
          <w:p w14:paraId="30F62FEC" w14:textId="77777777" w:rsidR="00000000" w:rsidRPr="00BE00C7" w:rsidRDefault="00000000" w:rsidP="00BE00C7">
            <w:pPr>
              <w:pStyle w:val="OutcomeDescription"/>
              <w:spacing w:before="120" w:after="120"/>
              <w:rPr>
                <w:rFonts w:cs="Arial"/>
                <w:lang w:eastAsia="en-NZ"/>
              </w:rPr>
            </w:pPr>
          </w:p>
        </w:tc>
      </w:tr>
    </w:tbl>
    <w:p w14:paraId="67643459"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A3923C2" w14:textId="77777777" w:rsidR="00000000" w:rsidRDefault="00000000">
      <w:pPr>
        <w:pStyle w:val="Heading1"/>
        <w:rPr>
          <w:rFonts w:cs="Arial"/>
        </w:rPr>
      </w:pPr>
      <w:r>
        <w:rPr>
          <w:rFonts w:cs="Arial"/>
        </w:rPr>
        <w:lastRenderedPageBreak/>
        <w:t>Specific results for criterion where corrective actions are required</w:t>
      </w:r>
    </w:p>
    <w:p w14:paraId="4D1D92C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293E8A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F522AA2"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20A20" w14:paraId="74026547" w14:textId="77777777">
        <w:tc>
          <w:tcPr>
            <w:tcW w:w="0" w:type="auto"/>
          </w:tcPr>
          <w:p w14:paraId="0E3A776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AF458F8"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B05E575" w14:textId="77777777" w:rsidR="00000000" w:rsidRDefault="00000000">
      <w:pPr>
        <w:pStyle w:val="Heading1"/>
        <w:rPr>
          <w:rFonts w:cs="Arial"/>
        </w:rPr>
      </w:pPr>
      <w:r>
        <w:rPr>
          <w:rFonts w:cs="Arial"/>
        </w:rPr>
        <w:lastRenderedPageBreak/>
        <w:t>Specific results for criterion where a continuous improvement has been recorded</w:t>
      </w:r>
    </w:p>
    <w:p w14:paraId="1C40784C"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053B75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6ACE27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20A20" w14:paraId="2A854D56" w14:textId="77777777">
        <w:tc>
          <w:tcPr>
            <w:tcW w:w="0" w:type="auto"/>
          </w:tcPr>
          <w:p w14:paraId="4177C31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6F4A43F"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24DF41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283A9" w14:textId="77777777" w:rsidR="00ED1264" w:rsidRDefault="00ED1264">
      <w:r>
        <w:separator/>
      </w:r>
    </w:p>
  </w:endnote>
  <w:endnote w:type="continuationSeparator" w:id="0">
    <w:p w14:paraId="4081B29A" w14:textId="77777777" w:rsidR="00ED1264" w:rsidRDefault="00ED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B1F7" w14:textId="77777777" w:rsidR="00000000" w:rsidRDefault="00000000">
    <w:pPr>
      <w:pStyle w:val="Footer"/>
    </w:pPr>
  </w:p>
  <w:p w14:paraId="1FB31A9D" w14:textId="77777777" w:rsidR="00000000" w:rsidRDefault="00000000"/>
  <w:p w14:paraId="3510B042"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654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Waiuku Hospital and Rest Home</w:t>
    </w:r>
    <w:bookmarkEnd w:id="59"/>
    <w:r>
      <w:rPr>
        <w:rFonts w:cs="Arial"/>
        <w:sz w:val="16"/>
        <w:szCs w:val="20"/>
      </w:rPr>
      <w:tab/>
      <w:t xml:space="preserve">Date of Audit: </w:t>
    </w:r>
    <w:bookmarkStart w:id="60" w:name="AuditStartDate1"/>
    <w:r>
      <w:rPr>
        <w:rFonts w:cs="Arial"/>
        <w:sz w:val="16"/>
        <w:szCs w:val="20"/>
      </w:rPr>
      <w:t>27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F279C4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874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E69DF" w14:textId="77777777" w:rsidR="00ED1264" w:rsidRDefault="00ED1264">
      <w:r>
        <w:separator/>
      </w:r>
    </w:p>
  </w:footnote>
  <w:footnote w:type="continuationSeparator" w:id="0">
    <w:p w14:paraId="4AEBF08E" w14:textId="77777777" w:rsidR="00ED1264" w:rsidRDefault="00ED1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EB99" w14:textId="77777777" w:rsidR="00000000" w:rsidRDefault="00000000">
    <w:pPr>
      <w:pStyle w:val="Header"/>
    </w:pPr>
  </w:p>
  <w:p w14:paraId="428D1005"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C65D" w14:textId="77777777" w:rsidR="00000000" w:rsidRDefault="00000000">
    <w:pPr>
      <w:pStyle w:val="Header"/>
    </w:pPr>
  </w:p>
  <w:p w14:paraId="49D5AF1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EF9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356E2C8">
      <w:start w:val="1"/>
      <w:numFmt w:val="decimal"/>
      <w:lvlText w:val="%1."/>
      <w:lvlJc w:val="left"/>
      <w:pPr>
        <w:ind w:left="360" w:hanging="360"/>
      </w:pPr>
    </w:lvl>
    <w:lvl w:ilvl="1" w:tplc="B7B2A120" w:tentative="1">
      <w:start w:val="1"/>
      <w:numFmt w:val="lowerLetter"/>
      <w:lvlText w:val="%2."/>
      <w:lvlJc w:val="left"/>
      <w:pPr>
        <w:ind w:left="1080" w:hanging="360"/>
      </w:pPr>
    </w:lvl>
    <w:lvl w:ilvl="2" w:tplc="B586600E" w:tentative="1">
      <w:start w:val="1"/>
      <w:numFmt w:val="lowerRoman"/>
      <w:lvlText w:val="%3."/>
      <w:lvlJc w:val="right"/>
      <w:pPr>
        <w:ind w:left="1800" w:hanging="180"/>
      </w:pPr>
    </w:lvl>
    <w:lvl w:ilvl="3" w:tplc="528C21C6" w:tentative="1">
      <w:start w:val="1"/>
      <w:numFmt w:val="decimal"/>
      <w:lvlText w:val="%4."/>
      <w:lvlJc w:val="left"/>
      <w:pPr>
        <w:ind w:left="2520" w:hanging="360"/>
      </w:pPr>
    </w:lvl>
    <w:lvl w:ilvl="4" w:tplc="06264E88" w:tentative="1">
      <w:start w:val="1"/>
      <w:numFmt w:val="lowerLetter"/>
      <w:lvlText w:val="%5."/>
      <w:lvlJc w:val="left"/>
      <w:pPr>
        <w:ind w:left="3240" w:hanging="360"/>
      </w:pPr>
    </w:lvl>
    <w:lvl w:ilvl="5" w:tplc="1FCA08B8" w:tentative="1">
      <w:start w:val="1"/>
      <w:numFmt w:val="lowerRoman"/>
      <w:lvlText w:val="%6."/>
      <w:lvlJc w:val="right"/>
      <w:pPr>
        <w:ind w:left="3960" w:hanging="180"/>
      </w:pPr>
    </w:lvl>
    <w:lvl w:ilvl="6" w:tplc="E2F42A08" w:tentative="1">
      <w:start w:val="1"/>
      <w:numFmt w:val="decimal"/>
      <w:lvlText w:val="%7."/>
      <w:lvlJc w:val="left"/>
      <w:pPr>
        <w:ind w:left="4680" w:hanging="360"/>
      </w:pPr>
    </w:lvl>
    <w:lvl w:ilvl="7" w:tplc="ED9ABD6E" w:tentative="1">
      <w:start w:val="1"/>
      <w:numFmt w:val="lowerLetter"/>
      <w:lvlText w:val="%8."/>
      <w:lvlJc w:val="left"/>
      <w:pPr>
        <w:ind w:left="5400" w:hanging="360"/>
      </w:pPr>
    </w:lvl>
    <w:lvl w:ilvl="8" w:tplc="DD20D2B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4E0897A">
      <w:start w:val="1"/>
      <w:numFmt w:val="bullet"/>
      <w:lvlText w:val=""/>
      <w:lvlJc w:val="left"/>
      <w:pPr>
        <w:ind w:left="720" w:hanging="360"/>
      </w:pPr>
      <w:rPr>
        <w:rFonts w:ascii="Symbol" w:hAnsi="Symbol" w:hint="default"/>
      </w:rPr>
    </w:lvl>
    <w:lvl w:ilvl="1" w:tplc="A612AB3A" w:tentative="1">
      <w:start w:val="1"/>
      <w:numFmt w:val="bullet"/>
      <w:lvlText w:val="o"/>
      <w:lvlJc w:val="left"/>
      <w:pPr>
        <w:ind w:left="1440" w:hanging="360"/>
      </w:pPr>
      <w:rPr>
        <w:rFonts w:ascii="Courier New" w:hAnsi="Courier New" w:cs="Courier New" w:hint="default"/>
      </w:rPr>
    </w:lvl>
    <w:lvl w:ilvl="2" w:tplc="80B40BCE" w:tentative="1">
      <w:start w:val="1"/>
      <w:numFmt w:val="bullet"/>
      <w:lvlText w:val=""/>
      <w:lvlJc w:val="left"/>
      <w:pPr>
        <w:ind w:left="2160" w:hanging="360"/>
      </w:pPr>
      <w:rPr>
        <w:rFonts w:ascii="Wingdings" w:hAnsi="Wingdings" w:hint="default"/>
      </w:rPr>
    </w:lvl>
    <w:lvl w:ilvl="3" w:tplc="3C4456DC" w:tentative="1">
      <w:start w:val="1"/>
      <w:numFmt w:val="bullet"/>
      <w:lvlText w:val=""/>
      <w:lvlJc w:val="left"/>
      <w:pPr>
        <w:ind w:left="2880" w:hanging="360"/>
      </w:pPr>
      <w:rPr>
        <w:rFonts w:ascii="Symbol" w:hAnsi="Symbol" w:hint="default"/>
      </w:rPr>
    </w:lvl>
    <w:lvl w:ilvl="4" w:tplc="8F9CE746" w:tentative="1">
      <w:start w:val="1"/>
      <w:numFmt w:val="bullet"/>
      <w:lvlText w:val="o"/>
      <w:lvlJc w:val="left"/>
      <w:pPr>
        <w:ind w:left="3600" w:hanging="360"/>
      </w:pPr>
      <w:rPr>
        <w:rFonts w:ascii="Courier New" w:hAnsi="Courier New" w:cs="Courier New" w:hint="default"/>
      </w:rPr>
    </w:lvl>
    <w:lvl w:ilvl="5" w:tplc="195668E6" w:tentative="1">
      <w:start w:val="1"/>
      <w:numFmt w:val="bullet"/>
      <w:lvlText w:val=""/>
      <w:lvlJc w:val="left"/>
      <w:pPr>
        <w:ind w:left="4320" w:hanging="360"/>
      </w:pPr>
      <w:rPr>
        <w:rFonts w:ascii="Wingdings" w:hAnsi="Wingdings" w:hint="default"/>
      </w:rPr>
    </w:lvl>
    <w:lvl w:ilvl="6" w:tplc="CBFE7F06" w:tentative="1">
      <w:start w:val="1"/>
      <w:numFmt w:val="bullet"/>
      <w:lvlText w:val=""/>
      <w:lvlJc w:val="left"/>
      <w:pPr>
        <w:ind w:left="5040" w:hanging="360"/>
      </w:pPr>
      <w:rPr>
        <w:rFonts w:ascii="Symbol" w:hAnsi="Symbol" w:hint="default"/>
      </w:rPr>
    </w:lvl>
    <w:lvl w:ilvl="7" w:tplc="7AE4F034" w:tentative="1">
      <w:start w:val="1"/>
      <w:numFmt w:val="bullet"/>
      <w:lvlText w:val="o"/>
      <w:lvlJc w:val="left"/>
      <w:pPr>
        <w:ind w:left="5760" w:hanging="360"/>
      </w:pPr>
      <w:rPr>
        <w:rFonts w:ascii="Courier New" w:hAnsi="Courier New" w:cs="Courier New" w:hint="default"/>
      </w:rPr>
    </w:lvl>
    <w:lvl w:ilvl="8" w:tplc="A53A1300" w:tentative="1">
      <w:start w:val="1"/>
      <w:numFmt w:val="bullet"/>
      <w:lvlText w:val=""/>
      <w:lvlJc w:val="left"/>
      <w:pPr>
        <w:ind w:left="6480" w:hanging="360"/>
      </w:pPr>
      <w:rPr>
        <w:rFonts w:ascii="Wingdings" w:hAnsi="Wingdings" w:hint="default"/>
      </w:rPr>
    </w:lvl>
  </w:abstractNum>
  <w:num w:numId="1" w16cid:durableId="1016537516">
    <w:abstractNumId w:val="1"/>
  </w:num>
  <w:num w:numId="2" w16cid:durableId="81075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20"/>
    <w:rsid w:val="00220A20"/>
    <w:rsid w:val="00453D30"/>
    <w:rsid w:val="007D48E4"/>
    <w:rsid w:val="00C74317"/>
    <w:rsid w:val="00ED12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40D5F"/>
  <w15:docId w15:val="{25BD9D48-4B4C-4519-B340-B14A83CD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7485</Words>
  <Characters>42969</Characters>
  <Application>Microsoft Office Word</Application>
  <DocSecurity>0</DocSecurity>
  <Lines>914</Lines>
  <Paragraphs>293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2026-03-04T03:58:00Z</dcterms:created>
  <dcterms:modified xsi:type="dcterms:W3CDTF">2026-03-04T04:00:00Z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