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F6E20" w14:textId="77777777" w:rsidR="00000000" w:rsidRDefault="00000000">
      <w:pPr>
        <w:pStyle w:val="Heading1"/>
        <w:rPr>
          <w:rFonts w:cs="Arial"/>
        </w:rPr>
      </w:pPr>
      <w:bookmarkStart w:id="0" w:name="PRMS_RIName"/>
      <w:r>
        <w:rPr>
          <w:rFonts w:cs="Arial"/>
        </w:rPr>
        <w:t>Metlifecare Retirement Villages Limited - Parkside Village</w:t>
      </w:r>
      <w:bookmarkEnd w:id="0"/>
    </w:p>
    <w:p w14:paraId="76F08296" w14:textId="77777777" w:rsidR="00000000" w:rsidRDefault="00000000">
      <w:pPr>
        <w:pStyle w:val="Heading2"/>
        <w:spacing w:after="0"/>
        <w:rPr>
          <w:rFonts w:cs="Arial"/>
        </w:rPr>
      </w:pPr>
      <w:r>
        <w:rPr>
          <w:rFonts w:cs="Arial"/>
        </w:rPr>
        <w:t>Introduction</w:t>
      </w:r>
    </w:p>
    <w:p w14:paraId="03CEA0D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8FD24C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277F95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FA5A12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02321A4" w14:textId="77777777" w:rsidR="00000000" w:rsidRDefault="00000000">
      <w:pPr>
        <w:spacing w:before="240" w:after="240"/>
        <w:rPr>
          <w:rFonts w:cs="Arial"/>
          <w:lang w:eastAsia="en-NZ"/>
        </w:rPr>
      </w:pPr>
      <w:r>
        <w:rPr>
          <w:rFonts w:cs="Arial"/>
          <w:lang w:eastAsia="en-NZ"/>
        </w:rPr>
        <w:t>The specifics of this audit included:</w:t>
      </w:r>
    </w:p>
    <w:p w14:paraId="4ECE625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E9EEA8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11976DB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Parkside Village</w:t>
      </w:r>
      <w:bookmarkEnd w:id="5"/>
    </w:p>
    <w:p w14:paraId="795811C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2AF613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December 2025</w:t>
      </w:r>
      <w:bookmarkEnd w:id="7"/>
      <w:r w:rsidRPr="009418D4">
        <w:rPr>
          <w:rFonts w:cs="Arial"/>
        </w:rPr>
        <w:tab/>
        <w:t xml:space="preserve">End date: </w:t>
      </w:r>
      <w:bookmarkStart w:id="8" w:name="AuditEndDate"/>
      <w:r>
        <w:rPr>
          <w:rFonts w:cs="Arial"/>
        </w:rPr>
        <w:t>19 December 2025</w:t>
      </w:r>
      <w:bookmarkEnd w:id="8"/>
    </w:p>
    <w:p w14:paraId="5D30D43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previous audit documented 60 beds; 48 dual service beds including three double rooms and 12 secure dementia beds. The service advised that the rooms would only be used for related couples. This audit has reduced the bed numbers to 45 dual service beds as the provided stated three double rooms are for couples only. This reduces total bed numbers to 45 dual service and 12 secure dementia unit beds.</w:t>
      </w:r>
    </w:p>
    <w:bookmarkEnd w:id="9"/>
    <w:p w14:paraId="354B2BE3" w14:textId="77777777" w:rsidR="002B2A0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1FDF636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7F457C1" w14:textId="77777777" w:rsidR="00000000" w:rsidRDefault="00000000">
      <w:pPr>
        <w:pStyle w:val="Heading1"/>
        <w:rPr>
          <w:rFonts w:cs="Arial"/>
        </w:rPr>
      </w:pPr>
      <w:r>
        <w:rPr>
          <w:rFonts w:cs="Arial"/>
        </w:rPr>
        <w:lastRenderedPageBreak/>
        <w:t>Executive summary of the audit</w:t>
      </w:r>
    </w:p>
    <w:p w14:paraId="53D766F2" w14:textId="77777777" w:rsidR="00000000" w:rsidRDefault="00000000">
      <w:pPr>
        <w:pStyle w:val="Heading2"/>
        <w:rPr>
          <w:rFonts w:cs="Arial"/>
        </w:rPr>
      </w:pPr>
      <w:r>
        <w:rPr>
          <w:rFonts w:cs="Arial"/>
        </w:rPr>
        <w:t>Introduction</w:t>
      </w:r>
    </w:p>
    <w:p w14:paraId="099537F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C90E7B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E15D09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5EFEF6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0C0CF6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FE1CC6F"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46C774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0286DB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A0571D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B2A03" w14:paraId="7B4C808A" w14:textId="77777777">
        <w:trPr>
          <w:cantSplit/>
          <w:tblHeader/>
        </w:trPr>
        <w:tc>
          <w:tcPr>
            <w:tcW w:w="1260" w:type="dxa"/>
            <w:tcBorders>
              <w:bottom w:val="single" w:sz="4" w:space="0" w:color="000000"/>
            </w:tcBorders>
            <w:vAlign w:val="center"/>
          </w:tcPr>
          <w:p w14:paraId="6DED7B6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AA41BF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4D2EFF7" w14:textId="77777777" w:rsidR="00000000" w:rsidRDefault="00000000">
            <w:pPr>
              <w:spacing w:before="60" w:after="60"/>
              <w:rPr>
                <w:rFonts w:eastAsia="Calibri"/>
                <w:b/>
                <w:szCs w:val="24"/>
              </w:rPr>
            </w:pPr>
            <w:r>
              <w:rPr>
                <w:rFonts w:eastAsia="Calibri"/>
                <w:b/>
                <w:szCs w:val="24"/>
              </w:rPr>
              <w:t>Definition</w:t>
            </w:r>
          </w:p>
        </w:tc>
      </w:tr>
      <w:tr w:rsidR="002B2A03" w14:paraId="05C65A43" w14:textId="77777777">
        <w:trPr>
          <w:cantSplit/>
          <w:trHeight w:val="964"/>
        </w:trPr>
        <w:tc>
          <w:tcPr>
            <w:tcW w:w="1260" w:type="dxa"/>
            <w:tcBorders>
              <w:bottom w:val="single" w:sz="4" w:space="0" w:color="000000"/>
            </w:tcBorders>
            <w:shd w:val="clear" w:color="0066FF" w:fill="0000FF"/>
            <w:vAlign w:val="center"/>
          </w:tcPr>
          <w:p w14:paraId="40EC159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C05D5A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6E2CC5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B2A03" w14:paraId="397C5BFE" w14:textId="77777777">
        <w:trPr>
          <w:cantSplit/>
          <w:trHeight w:val="964"/>
        </w:trPr>
        <w:tc>
          <w:tcPr>
            <w:tcW w:w="1260" w:type="dxa"/>
            <w:shd w:val="clear" w:color="33CC33" w:fill="00FF00"/>
            <w:vAlign w:val="center"/>
          </w:tcPr>
          <w:p w14:paraId="25816D58" w14:textId="77777777" w:rsidR="00000000" w:rsidRDefault="00000000">
            <w:pPr>
              <w:spacing w:before="60" w:after="60"/>
              <w:rPr>
                <w:rFonts w:eastAsia="Calibri"/>
                <w:szCs w:val="24"/>
              </w:rPr>
            </w:pPr>
          </w:p>
        </w:tc>
        <w:tc>
          <w:tcPr>
            <w:tcW w:w="7095" w:type="dxa"/>
            <w:shd w:val="clear" w:color="auto" w:fill="auto"/>
            <w:vAlign w:val="center"/>
          </w:tcPr>
          <w:p w14:paraId="714C9AD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2DDFE9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B2A03" w14:paraId="138D6DF6" w14:textId="77777777">
        <w:trPr>
          <w:cantSplit/>
          <w:trHeight w:val="964"/>
        </w:trPr>
        <w:tc>
          <w:tcPr>
            <w:tcW w:w="1260" w:type="dxa"/>
            <w:tcBorders>
              <w:bottom w:val="single" w:sz="4" w:space="0" w:color="000000"/>
            </w:tcBorders>
            <w:shd w:val="clear" w:color="auto" w:fill="FFFF00"/>
            <w:vAlign w:val="center"/>
          </w:tcPr>
          <w:p w14:paraId="72E1EC26" w14:textId="77777777" w:rsidR="00000000" w:rsidRDefault="00000000">
            <w:pPr>
              <w:spacing w:before="60" w:after="60"/>
              <w:rPr>
                <w:rFonts w:eastAsia="Calibri"/>
                <w:szCs w:val="24"/>
              </w:rPr>
            </w:pPr>
          </w:p>
        </w:tc>
        <w:tc>
          <w:tcPr>
            <w:tcW w:w="7095" w:type="dxa"/>
            <w:shd w:val="clear" w:color="auto" w:fill="auto"/>
            <w:vAlign w:val="center"/>
          </w:tcPr>
          <w:p w14:paraId="602D559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638FEA2"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B2A03" w14:paraId="44A7F712" w14:textId="77777777">
        <w:trPr>
          <w:cantSplit/>
          <w:trHeight w:val="964"/>
        </w:trPr>
        <w:tc>
          <w:tcPr>
            <w:tcW w:w="1260" w:type="dxa"/>
            <w:tcBorders>
              <w:bottom w:val="single" w:sz="4" w:space="0" w:color="000000"/>
            </w:tcBorders>
            <w:shd w:val="clear" w:color="auto" w:fill="FFC800"/>
            <w:vAlign w:val="center"/>
          </w:tcPr>
          <w:p w14:paraId="33C0396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067FA3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FF7E8B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B2A03" w14:paraId="6CFD7B71" w14:textId="77777777">
        <w:trPr>
          <w:cantSplit/>
          <w:trHeight w:val="964"/>
        </w:trPr>
        <w:tc>
          <w:tcPr>
            <w:tcW w:w="1260" w:type="dxa"/>
            <w:shd w:val="clear" w:color="auto" w:fill="FF0000"/>
            <w:vAlign w:val="center"/>
          </w:tcPr>
          <w:p w14:paraId="7ABE3CA9" w14:textId="77777777" w:rsidR="00000000" w:rsidRDefault="00000000">
            <w:pPr>
              <w:spacing w:before="60" w:after="60"/>
              <w:rPr>
                <w:rFonts w:eastAsia="Calibri"/>
                <w:szCs w:val="24"/>
              </w:rPr>
            </w:pPr>
          </w:p>
        </w:tc>
        <w:tc>
          <w:tcPr>
            <w:tcW w:w="7095" w:type="dxa"/>
            <w:shd w:val="clear" w:color="auto" w:fill="auto"/>
            <w:vAlign w:val="center"/>
          </w:tcPr>
          <w:p w14:paraId="6F2A186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CF70EB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37597E2" w14:textId="77777777" w:rsidR="00000000" w:rsidRDefault="00000000">
      <w:pPr>
        <w:pStyle w:val="Heading2"/>
        <w:spacing w:after="0"/>
        <w:rPr>
          <w:rFonts w:cs="Arial"/>
        </w:rPr>
      </w:pPr>
      <w:r>
        <w:rPr>
          <w:rFonts w:cs="Arial"/>
        </w:rPr>
        <w:t>General overview of the audit</w:t>
      </w:r>
    </w:p>
    <w:p w14:paraId="6150A06D" w14:textId="77777777" w:rsidR="00000000" w:rsidRDefault="00000000">
      <w:pPr>
        <w:spacing w:before="240" w:line="276" w:lineRule="auto"/>
        <w:rPr>
          <w:rFonts w:eastAsia="Calibri"/>
        </w:rPr>
      </w:pPr>
      <w:bookmarkStart w:id="13" w:name="GeneralOverview"/>
      <w:r w:rsidRPr="00A4268A">
        <w:rPr>
          <w:rFonts w:eastAsia="Calibri"/>
        </w:rPr>
        <w:t xml:space="preserve">Parkside Village is owned and operated by Metlifecare Retirement Villages Limited (Metlifecare). The facility is part of a well-established village in Auckland. The service provides hospital (medical and geriatric), and rest home levels of care for up to 45 residents in the care facility. There is also a 12-bed secure memory support unit (dementia unit). On the day of the audit there was a total of 53 residents across the service.  </w:t>
      </w:r>
    </w:p>
    <w:p w14:paraId="6D2761F1" w14:textId="77777777" w:rsidR="002B2A03"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 </w:t>
      </w:r>
    </w:p>
    <w:p w14:paraId="1AE54D6B" w14:textId="77777777" w:rsidR="002B2A03" w:rsidRPr="00A4268A" w:rsidRDefault="00000000">
      <w:pPr>
        <w:spacing w:before="240" w:line="276" w:lineRule="auto"/>
        <w:rPr>
          <w:rFonts w:eastAsia="Calibri"/>
        </w:rPr>
      </w:pPr>
      <w:r w:rsidRPr="00A4268A">
        <w:rPr>
          <w:rFonts w:eastAsia="Calibri"/>
        </w:rPr>
        <w:t xml:space="preserve">The nurse manager is a registered nurse and is supported by a village manager and regional clinical manager. </w:t>
      </w:r>
    </w:p>
    <w:p w14:paraId="69D7C6E1" w14:textId="77777777" w:rsidR="002B2A03" w:rsidRPr="00A4268A" w:rsidRDefault="00000000">
      <w:pPr>
        <w:spacing w:before="240" w:line="276" w:lineRule="auto"/>
        <w:rPr>
          <w:rFonts w:eastAsia="Calibri"/>
        </w:rPr>
      </w:pPr>
      <w:r w:rsidRPr="00A4268A">
        <w:rPr>
          <w:rFonts w:eastAsia="Calibri"/>
        </w:rPr>
        <w:t>The certification audit has identified the service meets the Standard. A continuous improvement rating is awarded at this audit for the decrease in urinary tract infections (UTIs) within Parkside Village.</w:t>
      </w:r>
    </w:p>
    <w:bookmarkEnd w:id="13"/>
    <w:p w14:paraId="15F58ABF" w14:textId="77777777" w:rsidR="002B2A03" w:rsidRPr="00A4268A" w:rsidRDefault="002B2A03">
      <w:pPr>
        <w:spacing w:before="240" w:line="276" w:lineRule="auto"/>
        <w:rPr>
          <w:rFonts w:eastAsia="Calibri"/>
        </w:rPr>
      </w:pPr>
    </w:p>
    <w:p w14:paraId="07D86F2C"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2A03" w14:paraId="236C94B7" w14:textId="77777777" w:rsidTr="00A4268A">
        <w:trPr>
          <w:cantSplit/>
        </w:trPr>
        <w:tc>
          <w:tcPr>
            <w:tcW w:w="10206" w:type="dxa"/>
            <w:vAlign w:val="center"/>
          </w:tcPr>
          <w:p w14:paraId="152D9DC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20B07B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C335C8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970B214"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791F617" w14:textId="77777777" w:rsidR="00000000" w:rsidRDefault="00000000">
      <w:pPr>
        <w:spacing w:before="240" w:line="276" w:lineRule="auto"/>
        <w:rPr>
          <w:rFonts w:eastAsia="Calibri"/>
        </w:rPr>
      </w:pPr>
      <w:bookmarkStart w:id="16" w:name="ConsumerRights"/>
      <w:r w:rsidRPr="00A4268A">
        <w:rPr>
          <w:rFonts w:eastAsia="Calibri"/>
        </w:rPr>
        <w:t>Parkside Village provides an environment that supports residents’ rights and safe care. Staff demonstrated an understanding of residents' rights and obligations. There is a Māori health plan and a Pacific health plan. The service aims to provide high-quality and effective services and care for residents.</w:t>
      </w:r>
    </w:p>
    <w:p w14:paraId="559AA061" w14:textId="77777777" w:rsidR="002B2A03"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Parkside Village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280782C8" w14:textId="77777777" w:rsidR="002B2A03"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 processes are implemented, and complaints and concerns are actively managed and well-documented.</w:t>
      </w:r>
    </w:p>
    <w:bookmarkEnd w:id="16"/>
    <w:p w14:paraId="4330E874" w14:textId="77777777" w:rsidR="002B2A03" w:rsidRPr="00A4268A" w:rsidRDefault="002B2A03">
      <w:pPr>
        <w:spacing w:before="240" w:line="276" w:lineRule="auto"/>
        <w:rPr>
          <w:rFonts w:eastAsia="Calibri"/>
        </w:rPr>
      </w:pPr>
    </w:p>
    <w:p w14:paraId="4652940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2A03" w14:paraId="4C201495" w14:textId="77777777" w:rsidTr="00A4268A">
        <w:trPr>
          <w:cantSplit/>
        </w:trPr>
        <w:tc>
          <w:tcPr>
            <w:tcW w:w="10206" w:type="dxa"/>
            <w:vAlign w:val="center"/>
          </w:tcPr>
          <w:p w14:paraId="69052A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630008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A91F2E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05C2666F" w14:textId="77777777" w:rsidR="00000000" w:rsidRDefault="00000000">
      <w:pPr>
        <w:spacing w:before="240" w:line="276" w:lineRule="auto"/>
        <w:rPr>
          <w:rFonts w:eastAsia="Calibri"/>
        </w:rPr>
      </w:pPr>
      <w:bookmarkStart w:id="19" w:name="OrganisationalManagement"/>
      <w:r w:rsidRPr="00A4268A">
        <w:rPr>
          <w:rFonts w:eastAsia="Calibri"/>
        </w:rPr>
        <w:t xml:space="preserve">Parkside Village is operated by Metlifecare. The business plan includes a mission statement and operational and clinical objectives. The service has effective quality and risk management systems in place that takes a risk-based approach, and these systems meet </w:t>
      </w:r>
      <w:r w:rsidRPr="00A4268A">
        <w:rPr>
          <w:rFonts w:eastAsia="Calibri"/>
        </w:rPr>
        <w:lastRenderedPageBreak/>
        <w:t xml:space="preserve">the needs of residents and their staff. Quality improvement projects are implemented. Internal audits, meetings, and collation of data are all documented as taking place as scheduled, with corrective actions as indicated. </w:t>
      </w:r>
    </w:p>
    <w:p w14:paraId="0DE05CAF" w14:textId="77777777" w:rsidR="002B2A03"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are collated at facility level, reported to the head of health and safety, and general manager clinical and risk and a consolidated report and analysis of all Metlifecare facilities is then provided to the Board.</w:t>
      </w:r>
    </w:p>
    <w:p w14:paraId="73506D6D" w14:textId="77777777" w:rsidR="002B2A03"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w:t>
      </w:r>
    </w:p>
    <w:p w14:paraId="6F82F637" w14:textId="77777777" w:rsidR="002B2A03"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0E2C937F" w14:textId="77777777" w:rsidR="002B2A03" w:rsidRPr="00A4268A" w:rsidRDefault="002B2A03">
      <w:pPr>
        <w:spacing w:before="240" w:line="276" w:lineRule="auto"/>
        <w:rPr>
          <w:rFonts w:eastAsia="Calibri"/>
        </w:rPr>
      </w:pPr>
    </w:p>
    <w:p w14:paraId="5F2317D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2A03" w14:paraId="0E9796BE" w14:textId="77777777" w:rsidTr="00A4268A">
        <w:trPr>
          <w:cantSplit/>
        </w:trPr>
        <w:tc>
          <w:tcPr>
            <w:tcW w:w="10206" w:type="dxa"/>
            <w:vAlign w:val="center"/>
          </w:tcPr>
          <w:p w14:paraId="6055C55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58012E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D61737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87EA9D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family/whānau and consultation occurs regarding entry criteria and service provision. Information is provided in accessible formats, as required. Registered nurses assess residents on admission. InterRAI assessments and risk assessments are used to identify residents’ needs, and long-term care plans are developed and implemented. The general practitioner completes a medical assessment on admission and reviews occur thereafter on a regular basis. Handovers between shifts guide continuity of care and teamwork is encouraged.</w:t>
      </w:r>
    </w:p>
    <w:p w14:paraId="5E45E356" w14:textId="77777777" w:rsidR="002B2A03" w:rsidRPr="00A4268A" w:rsidRDefault="00000000" w:rsidP="00621629">
      <w:pPr>
        <w:spacing w:before="240" w:line="276" w:lineRule="auto"/>
        <w:rPr>
          <w:rFonts w:eastAsia="Calibri"/>
        </w:rPr>
      </w:pPr>
      <w:r w:rsidRPr="00A4268A">
        <w:rPr>
          <w:rFonts w:eastAsia="Calibri"/>
        </w:rPr>
        <w:lastRenderedPageBreak/>
        <w:t>The activity programme is provided by a social coordinator (diversional therapist), who provides a programme with a variety of individual and group activities and maintains resident links with the community. Activities are adapted to encourage sensory stimulation, and residents can participate in a range of activities that are appropriate to their cognitive and physical capabilities.</w:t>
      </w:r>
    </w:p>
    <w:p w14:paraId="3A2F325C" w14:textId="77777777" w:rsidR="002B2A03"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3FABBE47" w14:textId="77777777" w:rsidR="002B2A03" w:rsidRPr="00A4268A" w:rsidRDefault="00000000" w:rsidP="00621629">
      <w:pPr>
        <w:spacing w:before="240" w:line="276" w:lineRule="auto"/>
        <w:rPr>
          <w:rFonts w:eastAsia="Calibri"/>
        </w:rPr>
      </w:pPr>
      <w:r w:rsidRPr="00A4268A">
        <w:rPr>
          <w:rFonts w:eastAsia="Calibri"/>
        </w:rPr>
        <w:t xml:space="preserve">The food service meets the nutritional needs of the residents. All meals are prepared on site. The service has a current food control plan. The organisational dietitian reviews the menu plans. Residents and family/whānau confirmed satisfaction with meals provided. </w:t>
      </w:r>
    </w:p>
    <w:p w14:paraId="3AAF6EE1" w14:textId="77777777" w:rsidR="002B2A03" w:rsidRPr="00A4268A" w:rsidRDefault="00000000" w:rsidP="00621629">
      <w:pPr>
        <w:spacing w:before="240" w:line="276" w:lineRule="auto"/>
        <w:rPr>
          <w:rFonts w:eastAsia="Calibri"/>
        </w:rPr>
      </w:pPr>
      <w:r w:rsidRPr="00A4268A">
        <w:rPr>
          <w:rFonts w:eastAsia="Calibri"/>
        </w:rPr>
        <w:t>Discharge or transfer is managed in a planned and coordinated manner.</w:t>
      </w:r>
    </w:p>
    <w:bookmarkEnd w:id="22"/>
    <w:p w14:paraId="773D7358" w14:textId="77777777" w:rsidR="002B2A03" w:rsidRPr="00A4268A" w:rsidRDefault="002B2A03" w:rsidP="00621629">
      <w:pPr>
        <w:spacing w:before="240" w:line="276" w:lineRule="auto"/>
        <w:rPr>
          <w:rFonts w:eastAsia="Calibri"/>
        </w:rPr>
      </w:pPr>
    </w:p>
    <w:p w14:paraId="0B7EED5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2A03" w14:paraId="4FA0985B" w14:textId="77777777" w:rsidTr="00A4268A">
        <w:trPr>
          <w:cantSplit/>
        </w:trPr>
        <w:tc>
          <w:tcPr>
            <w:tcW w:w="10206" w:type="dxa"/>
            <w:vAlign w:val="center"/>
          </w:tcPr>
          <w:p w14:paraId="1F64959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0CBEAB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9F964E5"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F01BBDD"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for the rest home and hospital and another for the secure dementia unit. The care centre is across two floors with the hospital beds allocated on the ground floor and the rest home beds allocated on the first floor. There are three double rooms suitable for couples allocated on the ground floor. There is lift access and stairwell access between the floors .</w:t>
      </w:r>
    </w:p>
    <w:p w14:paraId="60910133" w14:textId="77777777" w:rsidR="002B2A03" w:rsidRPr="00A4268A" w:rsidRDefault="00000000">
      <w:pPr>
        <w:spacing w:before="240" w:line="276" w:lineRule="auto"/>
        <w:rPr>
          <w:rFonts w:eastAsia="Calibri"/>
        </w:rPr>
      </w:pPr>
      <w:r w:rsidRPr="00A4268A">
        <w:rPr>
          <w:rFonts w:eastAsia="Calibri"/>
        </w:rPr>
        <w:t xml:space="preserve">Rooms are spacious to provide personal care. Residents can freely mobilise within the communal areas, with safe access to the outdoors, seating, and shade. The dementia unit is secure. There is adequate space throughout the facility for residents to move around freely with mobility aids. All communal areas and resident rooms have natural light. </w:t>
      </w:r>
    </w:p>
    <w:p w14:paraId="35E7DB4B" w14:textId="77777777" w:rsidR="002B2A03" w:rsidRPr="00A4268A" w:rsidRDefault="00000000">
      <w:pPr>
        <w:spacing w:before="240" w:line="276" w:lineRule="auto"/>
        <w:rPr>
          <w:rFonts w:eastAsia="Calibri"/>
        </w:rPr>
      </w:pPr>
      <w:r w:rsidRPr="00A4268A">
        <w:rPr>
          <w:rFonts w:eastAsia="Calibri"/>
        </w:rPr>
        <w:t>There is a preventative and reactive maintenance plan implemented.</w:t>
      </w:r>
    </w:p>
    <w:p w14:paraId="1AD496F4" w14:textId="77777777" w:rsidR="002B2A03" w:rsidRPr="00A4268A" w:rsidRDefault="00000000">
      <w:pPr>
        <w:spacing w:before="240" w:line="276" w:lineRule="auto"/>
        <w:rPr>
          <w:rFonts w:eastAsia="Calibri"/>
        </w:rPr>
      </w:pPr>
      <w:r w:rsidRPr="00A4268A">
        <w:rPr>
          <w:rFonts w:eastAsia="Calibri"/>
        </w:rPr>
        <w:lastRenderedPageBreak/>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first aid is always on duty. The appropriate security measures are undertaken.</w:t>
      </w:r>
    </w:p>
    <w:bookmarkEnd w:id="25"/>
    <w:p w14:paraId="68AFC5C9" w14:textId="77777777" w:rsidR="002B2A03" w:rsidRPr="00A4268A" w:rsidRDefault="002B2A03">
      <w:pPr>
        <w:spacing w:before="240" w:line="276" w:lineRule="auto"/>
        <w:rPr>
          <w:rFonts w:eastAsia="Calibri"/>
        </w:rPr>
      </w:pPr>
    </w:p>
    <w:p w14:paraId="3A43A43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2A03" w14:paraId="44978132" w14:textId="77777777" w:rsidTr="00A4268A">
        <w:trPr>
          <w:cantSplit/>
        </w:trPr>
        <w:tc>
          <w:tcPr>
            <w:tcW w:w="10206" w:type="dxa"/>
            <w:vAlign w:val="center"/>
          </w:tcPr>
          <w:p w14:paraId="5000611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998D01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675144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34424BF"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68427519" w14:textId="77777777" w:rsidR="002B2A03"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58932563" w14:textId="77777777" w:rsidR="002B2A03" w:rsidRPr="00A4268A" w:rsidRDefault="00000000">
      <w:pPr>
        <w:spacing w:before="240" w:line="276" w:lineRule="auto"/>
        <w:rPr>
          <w:rFonts w:eastAsia="Calibri"/>
        </w:rPr>
      </w:pPr>
      <w:r w:rsidRPr="00A4268A">
        <w:rPr>
          <w:rFonts w:eastAsia="Calibri"/>
        </w:rPr>
        <w:t xml:space="preserve">The service has a robust pandemic and outbreak management plan in place. There is a sufficient supply of protective equipment. The internal audit system monitors for a safe environment. There have been no outbreaks since the previous audit. </w:t>
      </w:r>
    </w:p>
    <w:p w14:paraId="200E27A0" w14:textId="77777777" w:rsidR="002B2A03" w:rsidRPr="00A4268A" w:rsidRDefault="00000000">
      <w:pPr>
        <w:spacing w:before="240" w:line="276" w:lineRule="auto"/>
        <w:rPr>
          <w:rFonts w:eastAsia="Calibri"/>
        </w:rPr>
      </w:pPr>
      <w:r w:rsidRPr="00A4268A">
        <w:rPr>
          <w:rFonts w:eastAsia="Calibri"/>
        </w:rPr>
        <w:lastRenderedPageBreak/>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5A12E4BD" w14:textId="77777777" w:rsidR="002B2A03" w:rsidRPr="00A4268A" w:rsidRDefault="002B2A03">
      <w:pPr>
        <w:spacing w:before="240" w:line="276" w:lineRule="auto"/>
        <w:rPr>
          <w:rFonts w:eastAsia="Calibri"/>
        </w:rPr>
      </w:pPr>
    </w:p>
    <w:p w14:paraId="21DE08A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B2A03" w14:paraId="3B41EA6B" w14:textId="77777777" w:rsidTr="00A4268A">
        <w:trPr>
          <w:cantSplit/>
        </w:trPr>
        <w:tc>
          <w:tcPr>
            <w:tcW w:w="10206" w:type="dxa"/>
            <w:vAlign w:val="center"/>
          </w:tcPr>
          <w:p w14:paraId="5DFF521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6FC877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0E5643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ACAE84E" w14:textId="77777777" w:rsidR="00000000" w:rsidRDefault="00000000">
      <w:pPr>
        <w:spacing w:before="240" w:line="276" w:lineRule="auto"/>
        <w:rPr>
          <w:rFonts w:eastAsia="Calibri"/>
        </w:rPr>
      </w:pPr>
      <w:bookmarkStart w:id="31" w:name="InfectionPreventionAndControl"/>
      <w:r w:rsidRPr="00A4268A">
        <w:rPr>
          <w:rFonts w:eastAsia="Calibri"/>
        </w:rPr>
        <w:t xml:space="preserve">Metlifecare has a documented commitment to eliminate restraint in all their facilities. Restraint policies and procedures are in place. Restraint is overseen by the restraint coordinator. At the time of the audit there were no residents using restraint. Maintaining a restraint-free environment is included as part of the education and training plan. The service considers least restrictive practices, implementing de-escalation techniques and alternative interventions, and only uses an approved restraint as the last resort. </w:t>
      </w:r>
    </w:p>
    <w:p w14:paraId="053EE596" w14:textId="77777777" w:rsidR="002B2A03" w:rsidRPr="00A4268A" w:rsidRDefault="00000000">
      <w:pPr>
        <w:spacing w:before="240" w:line="276" w:lineRule="auto"/>
        <w:rPr>
          <w:rFonts w:eastAsia="Calibri"/>
        </w:rPr>
      </w:pPr>
      <w:r w:rsidRPr="00A4268A">
        <w:rPr>
          <w:rFonts w:eastAsia="Calibri"/>
        </w:rPr>
        <w:t>Restraint is an agenda item at quality and staff meetings.</w:t>
      </w:r>
    </w:p>
    <w:bookmarkEnd w:id="31"/>
    <w:p w14:paraId="58FA58AC" w14:textId="77777777" w:rsidR="002B2A03" w:rsidRPr="00A4268A" w:rsidRDefault="002B2A03">
      <w:pPr>
        <w:spacing w:before="240" w:line="276" w:lineRule="auto"/>
        <w:rPr>
          <w:rFonts w:eastAsia="Calibri"/>
        </w:rPr>
      </w:pPr>
    </w:p>
    <w:p w14:paraId="1728ACA2" w14:textId="77777777" w:rsidR="00000000" w:rsidRDefault="00000000" w:rsidP="000E6E02">
      <w:pPr>
        <w:pStyle w:val="Heading2"/>
        <w:spacing w:before="0"/>
        <w:rPr>
          <w:rFonts w:cs="Arial"/>
        </w:rPr>
      </w:pPr>
      <w:r>
        <w:rPr>
          <w:rFonts w:cs="Arial"/>
        </w:rPr>
        <w:lastRenderedPageBreak/>
        <w:t>Summary of attainment</w:t>
      </w:r>
    </w:p>
    <w:p w14:paraId="0E7376C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B2A03" w14:paraId="553A0592" w14:textId="77777777">
        <w:tc>
          <w:tcPr>
            <w:tcW w:w="1384" w:type="dxa"/>
            <w:vAlign w:val="center"/>
          </w:tcPr>
          <w:p w14:paraId="7EA0856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2AF42B" w14:textId="77777777" w:rsidR="00000000" w:rsidRDefault="00000000">
            <w:pPr>
              <w:keepNext/>
              <w:spacing w:before="60" w:after="60"/>
              <w:jc w:val="center"/>
              <w:rPr>
                <w:rFonts w:cs="Arial"/>
                <w:b/>
                <w:sz w:val="20"/>
                <w:szCs w:val="20"/>
              </w:rPr>
            </w:pPr>
            <w:r>
              <w:rPr>
                <w:rFonts w:cs="Arial"/>
                <w:b/>
                <w:sz w:val="20"/>
                <w:szCs w:val="20"/>
              </w:rPr>
              <w:t>Continuous Improvement</w:t>
            </w:r>
          </w:p>
          <w:p w14:paraId="5DE60C8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D7BA16F" w14:textId="77777777" w:rsidR="00000000" w:rsidRDefault="00000000">
            <w:pPr>
              <w:keepNext/>
              <w:spacing w:before="60" w:after="60"/>
              <w:jc w:val="center"/>
              <w:rPr>
                <w:rFonts w:cs="Arial"/>
                <w:b/>
                <w:sz w:val="20"/>
                <w:szCs w:val="20"/>
              </w:rPr>
            </w:pPr>
            <w:r>
              <w:rPr>
                <w:rFonts w:cs="Arial"/>
                <w:b/>
                <w:sz w:val="20"/>
                <w:szCs w:val="20"/>
              </w:rPr>
              <w:t>Fully Attained</w:t>
            </w:r>
          </w:p>
          <w:p w14:paraId="6AED0BF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2F1117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538037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0EA6C3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C45337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5D5629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634BB7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009627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312F74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9A4168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7006546" w14:textId="77777777" w:rsidR="00000000" w:rsidRDefault="00000000">
            <w:pPr>
              <w:keepNext/>
              <w:spacing w:before="60" w:after="60"/>
              <w:jc w:val="center"/>
              <w:rPr>
                <w:rFonts w:cs="Arial"/>
                <w:b/>
                <w:sz w:val="20"/>
                <w:szCs w:val="20"/>
              </w:rPr>
            </w:pPr>
            <w:r>
              <w:rPr>
                <w:rFonts w:cs="Arial"/>
                <w:b/>
                <w:sz w:val="20"/>
                <w:szCs w:val="20"/>
              </w:rPr>
              <w:t>(PA Critical)</w:t>
            </w:r>
          </w:p>
        </w:tc>
      </w:tr>
      <w:tr w:rsidR="002B2A03" w14:paraId="27CC6CA0" w14:textId="77777777">
        <w:tc>
          <w:tcPr>
            <w:tcW w:w="1384" w:type="dxa"/>
            <w:vAlign w:val="center"/>
          </w:tcPr>
          <w:p w14:paraId="2DF4956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B1417F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CE905A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428A88B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7ACE05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E26C14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FD23EB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FBD2F4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B2A03" w14:paraId="6BF1A179" w14:textId="77777777">
        <w:tc>
          <w:tcPr>
            <w:tcW w:w="1384" w:type="dxa"/>
            <w:vAlign w:val="center"/>
          </w:tcPr>
          <w:p w14:paraId="686FECD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8DD250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46E3721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1E9C945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7F3284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65D8D8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E0C3F01"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6D9C89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FCC7D85"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B2A03" w14:paraId="5076E1C3" w14:textId="77777777">
        <w:tc>
          <w:tcPr>
            <w:tcW w:w="1384" w:type="dxa"/>
            <w:vAlign w:val="center"/>
          </w:tcPr>
          <w:p w14:paraId="52F813C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21BCFE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003882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28AA1E6" w14:textId="77777777" w:rsidR="00000000" w:rsidRDefault="00000000">
            <w:pPr>
              <w:keepNext/>
              <w:spacing w:before="60" w:after="60"/>
              <w:jc w:val="center"/>
              <w:rPr>
                <w:rFonts w:cs="Arial"/>
                <w:b/>
                <w:sz w:val="20"/>
                <w:szCs w:val="20"/>
              </w:rPr>
            </w:pPr>
            <w:r>
              <w:rPr>
                <w:rFonts w:cs="Arial"/>
                <w:b/>
                <w:sz w:val="20"/>
                <w:szCs w:val="20"/>
              </w:rPr>
              <w:t>Unattained Low Risk</w:t>
            </w:r>
          </w:p>
          <w:p w14:paraId="0B71BFB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5D463B7" w14:textId="77777777" w:rsidR="00000000" w:rsidRDefault="00000000">
            <w:pPr>
              <w:keepNext/>
              <w:spacing w:before="60" w:after="60"/>
              <w:jc w:val="center"/>
              <w:rPr>
                <w:rFonts w:cs="Arial"/>
                <w:b/>
                <w:sz w:val="20"/>
                <w:szCs w:val="20"/>
              </w:rPr>
            </w:pPr>
            <w:r>
              <w:rPr>
                <w:rFonts w:cs="Arial"/>
                <w:b/>
                <w:sz w:val="20"/>
                <w:szCs w:val="20"/>
              </w:rPr>
              <w:t>Unattained Moderate Risk</w:t>
            </w:r>
          </w:p>
          <w:p w14:paraId="6002189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B76C3D5" w14:textId="77777777" w:rsidR="00000000" w:rsidRDefault="00000000">
            <w:pPr>
              <w:keepNext/>
              <w:spacing w:before="60" w:after="60"/>
              <w:jc w:val="center"/>
              <w:rPr>
                <w:rFonts w:cs="Arial"/>
                <w:b/>
                <w:sz w:val="20"/>
                <w:szCs w:val="20"/>
              </w:rPr>
            </w:pPr>
            <w:r>
              <w:rPr>
                <w:rFonts w:cs="Arial"/>
                <w:b/>
                <w:sz w:val="20"/>
                <w:szCs w:val="20"/>
              </w:rPr>
              <w:t>Unattained High Risk</w:t>
            </w:r>
          </w:p>
          <w:p w14:paraId="26438DD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8A4FADA" w14:textId="77777777" w:rsidR="00000000" w:rsidRDefault="00000000">
            <w:pPr>
              <w:keepNext/>
              <w:spacing w:before="60" w:after="60"/>
              <w:jc w:val="center"/>
              <w:rPr>
                <w:rFonts w:cs="Arial"/>
                <w:b/>
                <w:sz w:val="20"/>
                <w:szCs w:val="20"/>
              </w:rPr>
            </w:pPr>
            <w:r>
              <w:rPr>
                <w:rFonts w:cs="Arial"/>
                <w:b/>
                <w:sz w:val="20"/>
                <w:szCs w:val="20"/>
              </w:rPr>
              <w:t>Unattained Critical Risk</w:t>
            </w:r>
          </w:p>
          <w:p w14:paraId="3C3821D6" w14:textId="77777777" w:rsidR="00000000" w:rsidRDefault="00000000">
            <w:pPr>
              <w:keepNext/>
              <w:spacing w:before="60" w:after="60"/>
              <w:jc w:val="center"/>
              <w:rPr>
                <w:rFonts w:cs="Arial"/>
                <w:b/>
                <w:sz w:val="20"/>
                <w:szCs w:val="20"/>
              </w:rPr>
            </w:pPr>
            <w:r>
              <w:rPr>
                <w:rFonts w:cs="Arial"/>
                <w:b/>
                <w:sz w:val="20"/>
                <w:szCs w:val="20"/>
              </w:rPr>
              <w:t>(UA Critical)</w:t>
            </w:r>
          </w:p>
        </w:tc>
      </w:tr>
      <w:tr w:rsidR="002B2A03" w14:paraId="2BA6735E" w14:textId="77777777">
        <w:tc>
          <w:tcPr>
            <w:tcW w:w="1384" w:type="dxa"/>
            <w:vAlign w:val="center"/>
          </w:tcPr>
          <w:p w14:paraId="7BBFD99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A0A86D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0E2AC3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2F5548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8B7BE3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C0A212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B2A03" w14:paraId="47F537EF" w14:textId="77777777">
        <w:tc>
          <w:tcPr>
            <w:tcW w:w="1384" w:type="dxa"/>
            <w:vAlign w:val="center"/>
          </w:tcPr>
          <w:p w14:paraId="2BA4986B"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4780E5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CCB3F2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41A3D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D363FB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536876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56FAA9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7F0F3E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1C96E2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792F54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2B2A03" w14:paraId="07B3CBDD" w14:textId="77777777">
        <w:tc>
          <w:tcPr>
            <w:tcW w:w="0" w:type="auto"/>
          </w:tcPr>
          <w:p w14:paraId="4BD97AD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14A823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72585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B2A03" w14:paraId="2EB01130" w14:textId="77777777">
        <w:tc>
          <w:tcPr>
            <w:tcW w:w="0" w:type="auto"/>
          </w:tcPr>
          <w:p w14:paraId="17A090F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5E6FA21"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9166AA8" w14:textId="77777777" w:rsidR="00000000" w:rsidRPr="00BE00C7" w:rsidRDefault="00000000" w:rsidP="00BE00C7">
            <w:pPr>
              <w:pStyle w:val="OutcomeDescription"/>
              <w:spacing w:before="120" w:after="120"/>
              <w:rPr>
                <w:rFonts w:cs="Arial"/>
                <w:lang w:eastAsia="en-NZ"/>
              </w:rPr>
            </w:pPr>
          </w:p>
        </w:tc>
        <w:tc>
          <w:tcPr>
            <w:tcW w:w="0" w:type="auto"/>
          </w:tcPr>
          <w:p w14:paraId="3C0658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6B79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Metlifecare is committed to respecting the self-determination, cultural values, and beliefs of Māori residents and family/whānau, and the resident care plans include a Māori health care plan based on Te Whare Tapa Whā. Links are established with local Māori community members in the region. Cultural assessments are in place and are completed for residents who identify as Māori (when required). </w:t>
            </w:r>
          </w:p>
          <w:p w14:paraId="680DF6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strategic direction, mission and values support strategies to increase Māori capacity by employing and recruiting Māori staff at Parkside Village. Parkside Village business plan and cultural responsiveness policy documents a commitment and responsiveness to a culturally diverse workforce. At the time of the audit, there were staff members who identified as Māori. </w:t>
            </w:r>
          </w:p>
          <w:p w14:paraId="7AACDBC0"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 is supporting Māori staff to succeed in the workplace, the Māori health plan documents workforce inclusion strategies. Residents and family/whānau are involved in providing input into the resident’s care planning, their activities, and their dietary needs. There were residents who identified as Māori at the time of the audit.</w:t>
            </w:r>
          </w:p>
          <w:p w14:paraId="547741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16 staff (nine caregivers including one house lead, three </w:t>
            </w:r>
            <w:r w:rsidRPr="00BE00C7">
              <w:rPr>
                <w:rFonts w:cs="Arial"/>
                <w:lang w:eastAsia="en-NZ"/>
              </w:rPr>
              <w:lastRenderedPageBreak/>
              <w:t>registered nurses [RNs],one senior registered nurse, maintenance manager, a diversional therapist (DT)  and a domestic aide [cleaner/laundry]) and four  managers (nurse manager, village manager, national food compliance development manager, and regional clinical manager) explained how they provide high-quality, equitable and effective services.</w:t>
            </w:r>
          </w:p>
          <w:p w14:paraId="7E0C0887" w14:textId="77777777" w:rsidR="00000000" w:rsidRPr="00BE00C7" w:rsidRDefault="00000000" w:rsidP="00BE00C7">
            <w:pPr>
              <w:pStyle w:val="OutcomeDescription"/>
              <w:spacing w:before="120" w:after="120"/>
              <w:rPr>
                <w:rFonts w:cs="Arial"/>
                <w:lang w:eastAsia="en-NZ"/>
              </w:rPr>
            </w:pPr>
          </w:p>
        </w:tc>
      </w:tr>
      <w:tr w:rsidR="002B2A03" w14:paraId="0B1F5B3A" w14:textId="77777777">
        <w:tc>
          <w:tcPr>
            <w:tcW w:w="0" w:type="auto"/>
          </w:tcPr>
          <w:p w14:paraId="339038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EE2CC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DC976BF" w14:textId="77777777" w:rsidR="00000000" w:rsidRPr="00BE00C7" w:rsidRDefault="00000000" w:rsidP="00BE00C7">
            <w:pPr>
              <w:pStyle w:val="OutcomeDescription"/>
              <w:spacing w:before="120" w:after="120"/>
              <w:rPr>
                <w:rFonts w:cs="Arial"/>
                <w:lang w:eastAsia="en-NZ"/>
              </w:rPr>
            </w:pPr>
          </w:p>
        </w:tc>
        <w:tc>
          <w:tcPr>
            <w:tcW w:w="0" w:type="auto"/>
          </w:tcPr>
          <w:p w14:paraId="54DD4E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1D8C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describes the commitment to appropriate care for Pacific residents of Parkside Village. The Pacific care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There are Metlifecare cultural champions that represent Pacific staff and residents and ensure they have a voice. </w:t>
            </w:r>
          </w:p>
          <w:p w14:paraId="0DA849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identifying as Pasifika at the time of the audit. The nurse manager confirmed that family/whānau are encouraged to be involved in all aspects of care, particularly in nursing and medical decisions, and recognition of cultural needs. </w:t>
            </w:r>
          </w:p>
          <w:p w14:paraId="0C2B386B" w14:textId="77777777" w:rsidR="00000000" w:rsidRPr="00BE00C7" w:rsidRDefault="00000000" w:rsidP="00BE00C7">
            <w:pPr>
              <w:pStyle w:val="OutcomeDescription"/>
              <w:spacing w:before="120" w:after="120"/>
              <w:rPr>
                <w:rFonts w:cs="Arial"/>
                <w:lang w:eastAsia="en-NZ"/>
              </w:rPr>
            </w:pPr>
            <w:r w:rsidRPr="00BE00C7">
              <w:rPr>
                <w:rFonts w:cs="Arial"/>
                <w:lang w:eastAsia="en-NZ"/>
              </w:rPr>
              <w:t>Parkside Village partners with their Pacific employees, to ensure connectivity within the region to increase knowledge, awareness and understanding of the needs of Pacific people and celebrating cultural activities. The Health and Disability Commissioner’s (HDC) Code of Health and Disability Services Consumer Rights (the Code) is accessible in a range of languages.</w:t>
            </w:r>
          </w:p>
          <w:p w14:paraId="71201B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confirmed ways Parkside Village increases the capacity and capability of the Pacific workforce, as described in the business plan. There were staff who identify as Pasifika.</w:t>
            </w:r>
          </w:p>
          <w:p w14:paraId="77D03F75" w14:textId="77777777" w:rsidR="00000000" w:rsidRPr="00BE00C7" w:rsidRDefault="00000000" w:rsidP="00BE00C7">
            <w:pPr>
              <w:pStyle w:val="OutcomeDescription"/>
              <w:spacing w:before="120" w:after="120"/>
              <w:rPr>
                <w:rFonts w:cs="Arial"/>
                <w:lang w:eastAsia="en-NZ"/>
              </w:rPr>
            </w:pPr>
          </w:p>
        </w:tc>
      </w:tr>
      <w:tr w:rsidR="002B2A03" w14:paraId="22EBDE08" w14:textId="77777777">
        <w:tc>
          <w:tcPr>
            <w:tcW w:w="0" w:type="auto"/>
          </w:tcPr>
          <w:p w14:paraId="4CFB6C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48F9E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w:t>
            </w:r>
            <w:r w:rsidRPr="00BE00C7">
              <w:rPr>
                <w:rFonts w:cs="Arial"/>
                <w:lang w:eastAsia="en-NZ"/>
              </w:rPr>
              <w:lastRenderedPageBreak/>
              <w:t>determination).</w:t>
            </w:r>
            <w:r w:rsidRPr="00BE00C7">
              <w:rPr>
                <w:rFonts w:cs="Arial"/>
                <w:lang w:eastAsia="en-NZ"/>
              </w:rPr>
              <w:br/>
              <w:t>As service providers: We provide services and support to people in a way that upholds their rights and complies with legal requirements.</w:t>
            </w:r>
          </w:p>
          <w:p w14:paraId="74D03B6A" w14:textId="77777777" w:rsidR="00000000" w:rsidRPr="00BE00C7" w:rsidRDefault="00000000" w:rsidP="00BE00C7">
            <w:pPr>
              <w:pStyle w:val="OutcomeDescription"/>
              <w:spacing w:before="120" w:after="120"/>
              <w:rPr>
                <w:rFonts w:cs="Arial"/>
                <w:lang w:eastAsia="en-NZ"/>
              </w:rPr>
            </w:pPr>
          </w:p>
        </w:tc>
        <w:tc>
          <w:tcPr>
            <w:tcW w:w="0" w:type="auto"/>
          </w:tcPr>
          <w:p w14:paraId="73844B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50EF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nurse manager and/or senior registered nurse discuss aspects of the Code with residents and their family/whānau on admission. The Code is displayed </w:t>
            </w:r>
            <w:r w:rsidRPr="00BE00C7">
              <w:rPr>
                <w:rFonts w:cs="Arial"/>
                <w:lang w:eastAsia="en-NZ"/>
              </w:rPr>
              <w:lastRenderedPageBreak/>
              <w:t>in multiple locations in English, and te reo Māori.</w:t>
            </w:r>
          </w:p>
          <w:p w14:paraId="7D01BDEB"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also invited to attend. Residents and family/whānau interviewed reported that the service is upholding the residents’ rights. Interactions observed between staff and residents during the audit were respectful. Staff complete Code of Rights training at orientation.</w:t>
            </w:r>
          </w:p>
          <w:p w14:paraId="46DFE33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are available at the entrance to the facility and in the entry pack of information provided to residents and their family/whānau. There are links to spiritual supports. Interdenominational church services are held monthly, and these are well attended by residents. Staff have completed cultural training, which includes Māori rights, implementation of Te Tiriti o Waitangi, Māori model of care, and health equity. The service recognises Māori mana motuhake, which reflects in the Parkside Village business and quality plan for 2024-2025 and the Māori health plan. Regular cultural safety audits are completed as part of the annual internal audit schedule.</w:t>
            </w:r>
          </w:p>
          <w:p w14:paraId="161BD4B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w:t>
            </w:r>
          </w:p>
          <w:p w14:paraId="44BBA1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seven residents (four rest home and three hospital level) and five family/whānau (two hospital level, three dementia) confirm that individual cultural beliefs and values are respected. </w:t>
            </w:r>
          </w:p>
          <w:p w14:paraId="6D244159" w14:textId="77777777" w:rsidR="00000000" w:rsidRPr="00BE00C7" w:rsidRDefault="00000000" w:rsidP="00BE00C7">
            <w:pPr>
              <w:pStyle w:val="OutcomeDescription"/>
              <w:spacing w:before="120" w:after="120"/>
              <w:rPr>
                <w:rFonts w:cs="Arial"/>
                <w:lang w:eastAsia="en-NZ"/>
              </w:rPr>
            </w:pPr>
          </w:p>
        </w:tc>
      </w:tr>
      <w:tr w:rsidR="002B2A03" w14:paraId="3D88851E" w14:textId="77777777">
        <w:tc>
          <w:tcPr>
            <w:tcW w:w="0" w:type="auto"/>
          </w:tcPr>
          <w:p w14:paraId="4DB1A5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32931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E691B15" w14:textId="77777777" w:rsidR="00000000" w:rsidRPr="00BE00C7" w:rsidRDefault="00000000" w:rsidP="00BE00C7">
            <w:pPr>
              <w:pStyle w:val="OutcomeDescription"/>
              <w:spacing w:before="120" w:after="120"/>
              <w:rPr>
                <w:rFonts w:cs="Arial"/>
                <w:lang w:eastAsia="en-NZ"/>
              </w:rPr>
            </w:pPr>
          </w:p>
        </w:tc>
        <w:tc>
          <w:tcPr>
            <w:tcW w:w="0" w:type="auto"/>
          </w:tcPr>
          <w:p w14:paraId="3140CD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1E04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how they support residents to choose what they want to do. Residents interviewed stated they have choice, they are treated with respect, and they participate in decision making. Residents are supported to make decisions about whether they would like family/whānau members to be involved in their care or other forms of support. Residents have control over their choice and personal matters, including choice over activities they participate in and who they socialise with. </w:t>
            </w:r>
          </w:p>
          <w:p w14:paraId="00A6B4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Metlifecare annual training plan demonstrates training that is 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spoken to in a courteous manner. </w:t>
            </w:r>
          </w:p>
          <w:p w14:paraId="165F91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privacy; this was confirmed by a married couple who were interviewed. Residents and family/whānau interviewed were positive about the service in relation to their values and beliefs being considered and met. Care plans reviewed evidence the independence of residents is respected and is encouraged. Family/whānau interviewed stated that they enjoy coming and going as they please to visit their family member. </w:t>
            </w:r>
          </w:p>
          <w:p w14:paraId="6B65E59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document resident’s preferred names. Values and beliefs information is gathered on admission with family involvement and is integrated into the activity assessment and `know me in my world’ booklet and in the residents' care plans. Spiritual needs are identified, church services are held, and spiritual support is available. A spirituality policy is in place. Satisfaction surveys evidenced resident satisfaction in relation to upholding residents’ spiritual and cultural needs.</w:t>
            </w:r>
          </w:p>
          <w:p w14:paraId="3F2665A1"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celebrated, and staff are encouraged and supported with correct pronunciation. A tikanga Māori flip chart is available for staff to use and te reo Māori resources are available on the education platform. Cultural training is provided annually and covers Te Tiriti o Waitangi, health equity, Māori models of care, and tikanga Māori. Cultural days are celebrated and the activities programme meets tāngata whaikaha social needs and enable their participation in te ao Māori.</w:t>
            </w:r>
          </w:p>
          <w:p w14:paraId="3F15AC87" w14:textId="77777777" w:rsidR="00000000" w:rsidRPr="00BE00C7" w:rsidRDefault="00000000" w:rsidP="00BE00C7">
            <w:pPr>
              <w:pStyle w:val="OutcomeDescription"/>
              <w:spacing w:before="120" w:after="120"/>
              <w:rPr>
                <w:rFonts w:cs="Arial"/>
                <w:lang w:eastAsia="en-NZ"/>
              </w:rPr>
            </w:pPr>
          </w:p>
        </w:tc>
      </w:tr>
      <w:tr w:rsidR="002B2A03" w14:paraId="0A892C98" w14:textId="77777777">
        <w:tc>
          <w:tcPr>
            <w:tcW w:w="0" w:type="auto"/>
          </w:tcPr>
          <w:p w14:paraId="3967B4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A7437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w:t>
            </w:r>
            <w:r w:rsidRPr="00BE00C7">
              <w:rPr>
                <w:rFonts w:cs="Arial"/>
                <w:lang w:eastAsia="en-NZ"/>
              </w:rPr>
              <w:lastRenderedPageBreak/>
              <w:t>services for Māori, so they feel safe and are protected from abuse.</w:t>
            </w:r>
            <w:r w:rsidRPr="00BE00C7">
              <w:rPr>
                <w:rFonts w:cs="Arial"/>
                <w:lang w:eastAsia="en-NZ"/>
              </w:rPr>
              <w:br/>
              <w:t>As service providers: We ensure the people using our services are safe and protected from abuse.</w:t>
            </w:r>
          </w:p>
          <w:p w14:paraId="3781702E" w14:textId="77777777" w:rsidR="00000000" w:rsidRPr="00BE00C7" w:rsidRDefault="00000000" w:rsidP="00BE00C7">
            <w:pPr>
              <w:pStyle w:val="OutcomeDescription"/>
              <w:spacing w:before="120" w:after="120"/>
              <w:rPr>
                <w:rFonts w:cs="Arial"/>
                <w:lang w:eastAsia="en-NZ"/>
              </w:rPr>
            </w:pPr>
          </w:p>
        </w:tc>
        <w:tc>
          <w:tcPr>
            <w:tcW w:w="0" w:type="auto"/>
          </w:tcPr>
          <w:p w14:paraId="7BB970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1505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Parkside Village policies document actions taken to prevent any form of institutional racism, discrimination, coercion, harassment, or any other exploitation. </w:t>
            </w:r>
            <w:r w:rsidRPr="00BE00C7">
              <w:rPr>
                <w:rFonts w:cs="Arial"/>
                <w:lang w:eastAsia="en-NZ"/>
              </w:rPr>
              <w:lastRenderedPageBreak/>
              <w:t>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policy provides guidance on how to address elimination of discrimination, harassment, and bullying. All staff are held responsible for creating a positive, inclusive and a safe working environment. Cultural diversity is acknowledged, and staff are educated on systemic racism, the understanding of injustices/bias and the code of ethics. Metlifecare strategic direction, mission and values includes a commitment to abolish institutional racism.</w:t>
            </w:r>
          </w:p>
          <w:p w14:paraId="0590F6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253FA0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vetting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Professional boundaries and code of ethics are covered as part of orientation. A holistic strength-based model of care is implemented and is evident throughout all areas of the service. </w:t>
            </w:r>
          </w:p>
          <w:p w14:paraId="150C0E31" w14:textId="77777777" w:rsidR="00000000" w:rsidRPr="00BE00C7" w:rsidRDefault="00000000" w:rsidP="00BE00C7">
            <w:pPr>
              <w:pStyle w:val="OutcomeDescription"/>
              <w:spacing w:before="120" w:after="120"/>
              <w:rPr>
                <w:rFonts w:cs="Arial"/>
                <w:lang w:eastAsia="en-NZ"/>
              </w:rPr>
            </w:pPr>
          </w:p>
        </w:tc>
      </w:tr>
      <w:tr w:rsidR="002B2A03" w14:paraId="54BF2E85" w14:textId="77777777">
        <w:tc>
          <w:tcPr>
            <w:tcW w:w="0" w:type="auto"/>
          </w:tcPr>
          <w:p w14:paraId="4B807E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B928E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062A89A" w14:textId="77777777" w:rsidR="00000000" w:rsidRPr="00BE00C7" w:rsidRDefault="00000000" w:rsidP="00BE00C7">
            <w:pPr>
              <w:pStyle w:val="OutcomeDescription"/>
              <w:spacing w:before="120" w:after="120"/>
              <w:rPr>
                <w:rFonts w:cs="Arial"/>
                <w:lang w:eastAsia="en-NZ"/>
              </w:rPr>
            </w:pPr>
          </w:p>
        </w:tc>
        <w:tc>
          <w:tcPr>
            <w:tcW w:w="0" w:type="auto"/>
          </w:tcPr>
          <w:p w14:paraId="43EB13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535E9C"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Monthly resident meetings identify feedback from residents and consequent follow up by the service. Residents are also supported by their EPOA (enduring power of attorney) to develop their goals in their care journey.</w:t>
            </w:r>
          </w:p>
          <w:p w14:paraId="15614F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family/next of kin of any accident/incident that occurs. All correspondence with family/whānau is documented in the progress notes and corresponding </w:t>
            </w:r>
            <w:r w:rsidRPr="00BE00C7">
              <w:rPr>
                <w:rFonts w:cs="Arial"/>
                <w:lang w:eastAsia="en-NZ"/>
              </w:rPr>
              <w:lastRenderedPageBreak/>
              <w:t xml:space="preserve">accident/ incident forms. A sample of accident/incident forms reviewed identified family/whānau have been informed. This was also confirmed through interviews with family/whānau. </w:t>
            </w:r>
          </w:p>
          <w:p w14:paraId="5133D0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encouraged through general feedback, multidisciplinary/ care planning meetings, surveys and meetings. There is a resident advocate available for the residents and the contact details are accessible to staff and residents or family/whānau. Regular newsletters and activity calendars are provided in large-print format. </w:t>
            </w:r>
          </w:p>
          <w:p w14:paraId="4BD7258C"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7C858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The delivery of care includes a multidisciplinary team and residents and family/whānau provide consent and are communicated with regarding services involved. The nurse manager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There is a site-specific cultural champion available to support residents. </w:t>
            </w:r>
          </w:p>
          <w:p w14:paraId="7BE9D5E2" w14:textId="77777777" w:rsidR="00000000" w:rsidRPr="00BE00C7" w:rsidRDefault="00000000" w:rsidP="00BE00C7">
            <w:pPr>
              <w:pStyle w:val="OutcomeDescription"/>
              <w:spacing w:before="120" w:after="120"/>
              <w:rPr>
                <w:rFonts w:cs="Arial"/>
                <w:lang w:eastAsia="en-NZ"/>
              </w:rPr>
            </w:pPr>
          </w:p>
        </w:tc>
      </w:tr>
      <w:tr w:rsidR="002B2A03" w14:paraId="65FD68F0" w14:textId="77777777">
        <w:tc>
          <w:tcPr>
            <w:tcW w:w="0" w:type="auto"/>
          </w:tcPr>
          <w:p w14:paraId="456882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5520F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4828A498" w14:textId="77777777" w:rsidR="00000000" w:rsidRPr="00BE00C7" w:rsidRDefault="00000000" w:rsidP="00BE00C7">
            <w:pPr>
              <w:pStyle w:val="OutcomeDescription"/>
              <w:spacing w:before="120" w:after="120"/>
              <w:rPr>
                <w:rFonts w:cs="Arial"/>
                <w:lang w:eastAsia="en-NZ"/>
              </w:rPr>
            </w:pPr>
          </w:p>
        </w:tc>
        <w:tc>
          <w:tcPr>
            <w:tcW w:w="0" w:type="auto"/>
          </w:tcPr>
          <w:p w14:paraId="5A3F3C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1124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outings. Residents and family/whānau interviewed could describe what informed consent was and knew they had the right to choose. </w:t>
            </w:r>
          </w:p>
          <w:p w14:paraId="77B3B7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w:t>
            </w:r>
            <w:r w:rsidRPr="00BE00C7">
              <w:rPr>
                <w:rFonts w:cs="Arial"/>
                <w:lang w:eastAsia="en-NZ"/>
              </w:rPr>
              <w:lastRenderedPageBreak/>
              <w:t xml:space="preserve">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consent. </w:t>
            </w:r>
          </w:p>
          <w:p w14:paraId="4486E2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were on resident files where applicable. Where an EPOA has been activated, an activation letter and incapacity assessment were on file. Residents in the dementia unit whose files were reviewed, had activation letters on file. </w:t>
            </w:r>
          </w:p>
          <w:p w14:paraId="059FFEC4" w14:textId="77777777" w:rsidR="00000000" w:rsidRPr="00BE00C7" w:rsidRDefault="00000000" w:rsidP="00BE00C7">
            <w:pPr>
              <w:pStyle w:val="OutcomeDescription"/>
              <w:spacing w:before="120" w:after="120"/>
              <w:rPr>
                <w:rFonts w:cs="Arial"/>
                <w:lang w:eastAsia="en-NZ"/>
              </w:rPr>
            </w:pPr>
          </w:p>
        </w:tc>
      </w:tr>
      <w:tr w:rsidR="002B2A03" w14:paraId="4831DA79" w14:textId="77777777">
        <w:tc>
          <w:tcPr>
            <w:tcW w:w="0" w:type="auto"/>
          </w:tcPr>
          <w:p w14:paraId="45AFA0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DB965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C81E300" w14:textId="77777777" w:rsidR="00000000" w:rsidRPr="00BE00C7" w:rsidRDefault="00000000" w:rsidP="00BE00C7">
            <w:pPr>
              <w:pStyle w:val="OutcomeDescription"/>
              <w:spacing w:before="120" w:after="120"/>
              <w:rPr>
                <w:rFonts w:cs="Arial"/>
                <w:lang w:eastAsia="en-NZ"/>
              </w:rPr>
            </w:pPr>
          </w:p>
        </w:tc>
        <w:tc>
          <w:tcPr>
            <w:tcW w:w="0" w:type="auto"/>
          </w:tcPr>
          <w:p w14:paraId="2DEE45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FC6C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nurse manager maintains a record of all complaints, both verbal and written, by using a complaint register. This register is held electronically. </w:t>
            </w:r>
          </w:p>
          <w:p w14:paraId="76E15C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five complaints documented since the opening of the care facility. All complaints except two are in the process of being resolved. Documentation including follow-up letters and resolution demonstrates that complaints are being managed in accordance with guidelines set by the Health and Disability Commissioner (HDC). There were no trends identified.</w:t>
            </w:r>
          </w:p>
          <w:p w14:paraId="3EAC0A32"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Complaints logged include an investigation, follow up, and replies to the satisfaction of the complainant. Staff are informed of complaints (and any subsequent corrective actions) in the staff, registered nurse/ quality meetings (meeting minutes sighted). Higher risk complaints are managed with the support of the regional clinical manager and head of clinical. There were no complaints received from external agencies.</w:t>
            </w:r>
          </w:p>
          <w:p w14:paraId="690FFB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complaint forms, resident meetings, one on one with management, or through the website. During interviews with family/whānau, they confirmed the nurse manager is </w:t>
            </w:r>
            <w:r w:rsidRPr="00BE00C7">
              <w:rPr>
                <w:rFonts w:cs="Arial"/>
                <w:lang w:eastAsia="en-NZ"/>
              </w:rPr>
              <w:lastRenderedPageBreak/>
              <w:t>available to listen to concerns and acts promptly on issues raised. Residents and family/whānau making a complaint can involve an independent support person in the process if they choose. Information about support resources for Māori is available to staff to assist Māori residents in the complaints process, when required. The complaints management procedure ensures Māori residents are supported to ensure an equitable complaints process. The nurse manager acknowledged the understanding that for Māori, there is a preference for face-to-face communication.</w:t>
            </w:r>
          </w:p>
          <w:p w14:paraId="25304773" w14:textId="77777777" w:rsidR="00000000" w:rsidRPr="00BE00C7" w:rsidRDefault="00000000" w:rsidP="00BE00C7">
            <w:pPr>
              <w:pStyle w:val="OutcomeDescription"/>
              <w:spacing w:before="120" w:after="120"/>
              <w:rPr>
                <w:rFonts w:cs="Arial"/>
                <w:lang w:eastAsia="en-NZ"/>
              </w:rPr>
            </w:pPr>
          </w:p>
        </w:tc>
      </w:tr>
      <w:tr w:rsidR="002B2A03" w14:paraId="25573442" w14:textId="77777777">
        <w:tc>
          <w:tcPr>
            <w:tcW w:w="0" w:type="auto"/>
          </w:tcPr>
          <w:p w14:paraId="3B9729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126A3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26A5E0F" w14:textId="77777777" w:rsidR="00000000" w:rsidRPr="00BE00C7" w:rsidRDefault="00000000" w:rsidP="00BE00C7">
            <w:pPr>
              <w:pStyle w:val="OutcomeDescription"/>
              <w:spacing w:before="120" w:after="120"/>
              <w:rPr>
                <w:rFonts w:cs="Arial"/>
                <w:lang w:eastAsia="en-NZ"/>
              </w:rPr>
            </w:pPr>
          </w:p>
        </w:tc>
        <w:tc>
          <w:tcPr>
            <w:tcW w:w="0" w:type="auto"/>
          </w:tcPr>
          <w:p w14:paraId="35A745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1F80F3" w14:textId="77777777" w:rsidR="00000000" w:rsidRPr="00BE00C7" w:rsidRDefault="00000000" w:rsidP="00BE00C7">
            <w:pPr>
              <w:pStyle w:val="OutcomeDescription"/>
              <w:spacing w:before="120" w:after="120"/>
              <w:rPr>
                <w:rFonts w:cs="Arial"/>
                <w:lang w:eastAsia="en-NZ"/>
              </w:rPr>
            </w:pPr>
            <w:r w:rsidRPr="00BE00C7">
              <w:rPr>
                <w:rFonts w:cs="Arial"/>
                <w:lang w:eastAsia="en-NZ"/>
              </w:rPr>
              <w:t>Parkside Village is owned by the Metlifecare Retirement Villages Limited group. The care facility is part of an established retirement village. The facility is certified to provide hospital (medical and geriatric) and rest home level of care for up to 45 residents across two levels: 34 beds dual-purpose beds and 11 rest home level of care. There were three rooms previously identified as suitable for couples. All rooms were single occupancy on the days of the audit. There is also a 12-bed secure dementia unit.</w:t>
            </w:r>
          </w:p>
          <w:p w14:paraId="6CA2CB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41 residents in the care facility, including 30 hospital residents, 11 rest home residents, and 12 residents in the secure dementia unit. All residents were funded through the age-related resident agreement (ARRC). </w:t>
            </w:r>
          </w:p>
          <w:p w14:paraId="3C52F8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in the process of building a new 59 bed care facility that will open mid-2026 and all residents will transition to the new care facility. </w:t>
            </w:r>
          </w:p>
          <w:p w14:paraId="561D9C50" w14:textId="77777777" w:rsidR="00000000" w:rsidRPr="00BE00C7" w:rsidRDefault="00000000" w:rsidP="00BE00C7">
            <w:pPr>
              <w:pStyle w:val="OutcomeDescription"/>
              <w:spacing w:before="120" w:after="120"/>
              <w:rPr>
                <w:rFonts w:cs="Arial"/>
                <w:lang w:eastAsia="en-NZ"/>
              </w:rPr>
            </w:pPr>
            <w:r w:rsidRPr="00BE00C7">
              <w:rPr>
                <w:rFonts w:cs="Arial"/>
                <w:lang w:eastAsia="en-NZ"/>
              </w:rPr>
              <w:t>Metlifecare’s strategic direction describes the vision, values, and objectives of Metlifecare aged care facilities. The overarching Metlifecare strategic direction has clear business goals to support their philosophy of empowering residents through a resident directed care model. The Parkside Village business and quality plan for 2024-2025 is reviewed quarterly, as evidenced in the monthly reporting. The business plan describes specific and measurable goals. These site-specific goals relate to business and quality of service delivery and include medication optimisation, quality palliative care, and cultural safety.</w:t>
            </w:r>
          </w:p>
          <w:p w14:paraId="49029C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clinical manager confirmed the governance structure. The </w:t>
            </w:r>
            <w:r w:rsidRPr="00BE00C7">
              <w:rPr>
                <w:rFonts w:cs="Arial"/>
                <w:lang w:eastAsia="en-NZ"/>
              </w:rPr>
              <w:lastRenderedPageBreak/>
              <w:t>Governance Board consists of five directors and the chairperson, each with their own expertise. A Māori plan is actioned at Board level. There is an external organisation that provides cultural advice to the Board on any issues requiring cultural oversight and direction. The Board meets quarterly and receive monthly reports from the senior executive team (chief financial officer, general manager operations, general manager clinical and risk, general manager sales and marketing, general manager people, general manager property and chief information officer).</w:t>
            </w:r>
          </w:p>
          <w:p w14:paraId="043E9D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terms of reference for the Metlifecare governance body adheres to a documented agreed terms and reference. The Board and the executive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w:t>
            </w:r>
          </w:p>
          <w:p w14:paraId="7122BF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Metlifecare executive team is responsible for service operations. The weekly and monthly reporting structure informs the Board of operational matters across the organisation. Ethnicity data is captured electronically at facility level. Ethnicity data is then analysed and reported in terms of opportunities for addressing inequalities, improving health equity, and outcomes for all residents.</w:t>
            </w:r>
          </w:p>
          <w:p w14:paraId="5D22B7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reflects a leadership commitment to collaborate with Māori, aligns with the Ministry of Health strategies, and addresses barriers to equitable service delivery. The working practices at Parkside Village are holistic in nature, and inclusive of cultural identity and spirituality. The organisation respects the connection to family/whānau and the wider community to improved health outcomes for Māori and tāngata whaikaha. There are structured opportunities (six-monthly surveys, resident meetings) for family/whānau to provide feedback, to participate in the planning, and implementation of service delivery. </w:t>
            </w:r>
          </w:p>
          <w:p w14:paraId="17ECAD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four regional clinical managers, head of clinical, a clinical quality specialist (oversees clinical projects), and an infection prevention and antimicrobial specialist who support the Metlifecare facilities. Clinical governance is overseen by the organisation’s clinical governance group (CGG) and clinical subcommittee, which include resident advocates and cultural advisors. The CGG oversee the </w:t>
            </w:r>
            <w:r w:rsidRPr="00BE00C7">
              <w:rPr>
                <w:rFonts w:cs="Arial"/>
                <w:lang w:eastAsia="en-NZ"/>
              </w:rPr>
              <w:lastRenderedPageBreak/>
              <w:t>development of the clinical policies, ensuring compliance and foster a culture of continuous clinical improvement. The general manager of clinical and risk (a geriatrician physician) and head of clinical oversee the activities of the CGG. The clinical subcommittee is dedicated with overseeing clinical risk, outcomes and continuous improvement activities and reports to the Board.</w:t>
            </w:r>
          </w:p>
          <w:p w14:paraId="6DD94D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a registered nurse and has been in the role for two and a half years and been with Metlifecare for six years. The nurse manager is supported by a senior registered nurse, a village manager (a registered nurse) who provides operational support, and a regional clinical manager who provides clinical support and oversees other Metlifecare care facilities in the region. The village manager has been employed in their role at Parkside Village since May 2025 but has experience in village and operational roles within Metlifecare. There are fortnightly documented clinical reports to the regional clinical manager and weekly operational reports to the regional operations manager. </w:t>
            </w:r>
          </w:p>
          <w:p w14:paraId="44845FAC" w14:textId="77777777" w:rsidR="00000000" w:rsidRPr="00BE00C7" w:rsidRDefault="00000000" w:rsidP="00BE00C7">
            <w:pPr>
              <w:pStyle w:val="OutcomeDescription"/>
              <w:spacing w:before="120" w:after="120"/>
              <w:rPr>
                <w:rFonts w:cs="Arial"/>
                <w:lang w:eastAsia="en-NZ"/>
              </w:rPr>
            </w:pPr>
          </w:p>
        </w:tc>
      </w:tr>
      <w:tr w:rsidR="002B2A03" w14:paraId="221BB2FB" w14:textId="77777777">
        <w:tc>
          <w:tcPr>
            <w:tcW w:w="0" w:type="auto"/>
          </w:tcPr>
          <w:p w14:paraId="1D7C9B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06A0B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F41920D" w14:textId="77777777" w:rsidR="00000000" w:rsidRPr="00BE00C7" w:rsidRDefault="00000000" w:rsidP="00BE00C7">
            <w:pPr>
              <w:pStyle w:val="OutcomeDescription"/>
              <w:spacing w:before="120" w:after="120"/>
              <w:rPr>
                <w:rFonts w:cs="Arial"/>
                <w:lang w:eastAsia="en-NZ"/>
              </w:rPr>
            </w:pPr>
          </w:p>
        </w:tc>
        <w:tc>
          <w:tcPr>
            <w:tcW w:w="0" w:type="auto"/>
          </w:tcPr>
          <w:p w14:paraId="618CAB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A9AD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the resident management system, electronic medication system and policies and procedures are fully embedded and implemented. Parkside Village is implementing their documented quality and risk management programme. Quality and risk management systems include performance monitoring through internal audits and through the collection of clinical indicator data (eg, falls, medication errors, infections, skin integrity/tears, complaints and restraints).</w:t>
            </w:r>
          </w:p>
          <w:p w14:paraId="44798E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(e.g., staff quality meeting, registered nurse quality meeting, health and safety meeting, head of department meeting, and restraint meeting) provide an avenue for discussions in relation to (but not limited to): quality data; health and safety; infection control/pandemic strategies; complaints received (if any); cultural compliance; internal audit compliance; staffing; and education. Clinical effectiveness and the provision of a safe environment is regularly reviewed through the completion of internal audits. </w:t>
            </w:r>
          </w:p>
          <w:p w14:paraId="065358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recorded where indicated. Quality data and trends in data are posted on a quality noticeboard, located in </w:t>
            </w:r>
            <w:r w:rsidRPr="00BE00C7">
              <w:rPr>
                <w:rFonts w:cs="Arial"/>
                <w:lang w:eastAsia="en-NZ"/>
              </w:rPr>
              <w:lastRenderedPageBreak/>
              <w:t>the staff room. Quality data analysis including benchmarking, feedback through residents’ meetings, and complaints management provides an avenue for critical analysis of work practices to ensure health equity. The nurse manager confirmed the facility’s focus the last two years was to embed Metlifecare’s project to decrease urinary tract infections (UTIs) project. A continuous improvement rating is awarded at this audit for the decrease in UTIs within Parkside Village (link 5.4.4).</w:t>
            </w:r>
          </w:p>
          <w:p w14:paraId="4686C1CE"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in the quality system to ensure staff can deliver high-quality health care for Māori; this is evident through the annual cultural safety audit completed. Tāngata whaikaha, with the support from a resident advocate, have meaningful representation through the resident meetings and six-monthly multidisciplinary meetings.</w:t>
            </w:r>
          </w:p>
          <w:p w14:paraId="3AC5C9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resident and family/whānau survey is conducted by an independent external company. The results of the June 2025 resident and family/whānau satisfaction survey evidence an overall satisfaction rate of 80.4 percent. The residents, family/whānau and staff received the results. The nurse manager completed a corrective action plan to improve the activities programme across the service. </w:t>
            </w:r>
          </w:p>
          <w:p w14:paraId="50D174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governance group. New policies or changes to policy are communicated and discussed with staff and available on the intranet. </w:t>
            </w:r>
          </w:p>
          <w:p w14:paraId="0E6E086C"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and health and safety manual are in place. There is a health and safety committee and monthly health and safety meetings led by the nurse manager. The hazard and risk register is reviewed at regular intervals at the health and safety meeting (monthly). There are processes implemented to manage the noise and dust from the adjacent construction site where the new care facility is being built.</w:t>
            </w:r>
          </w:p>
          <w:p w14:paraId="2E45CF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incidents, hazards and other health and safety issues are discussed at various meetings, collated at facility level, and reported to the head of health and safety. A consolidated report of the analysis of data across the facilities are provided to the general manager clinical </w:t>
            </w:r>
            <w:r w:rsidRPr="00BE00C7">
              <w:rPr>
                <w:rFonts w:cs="Arial"/>
                <w:lang w:eastAsia="en-NZ"/>
              </w:rPr>
              <w:lastRenderedPageBreak/>
              <w:t xml:space="preserve">and risk, who reports to the Board. </w:t>
            </w:r>
          </w:p>
          <w:p w14:paraId="472812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and include a severity rating. There is a process to escalate incidents and accident that are deemed to be level one or two in severity with appropriate review and follow up by the CGG as needed. Incident and accident data is collated monthly and analysed. A summary is provided against each clinical indicator. Benchmarking occurs on a national level against other Metlifecare facilities and other aged care organisations. Ethnicity data is linked to benchmarking data to provide for health equity through critical analysis of organisational practices. The electronic resident management system escalates alerts to Metlifecare senior team members depending on the risk level. Results are discussed in meetings and at handover. A sample of incident/accident reports and six-monthly incident reporting internal audit results were reviewed and evidence appropriate and timely follow up, investigations and communication to family/whānau. Opportunities to minimise future risks are identified by the nurse manager, in consultation with registered nurses and caregivers. </w:t>
            </w:r>
          </w:p>
          <w:p w14:paraId="674D7B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nurse manager and regional clinical manager reflected their awareness of their requirement to notify relevant authorities in relation to essential notifications. HealthCERT notifications have been completed appropriately since the last audit, including the change of village manager. Notifications have been completed for events that required notification to the Health Quality and Safety Commission. </w:t>
            </w:r>
          </w:p>
          <w:p w14:paraId="2280DD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since the last audit.</w:t>
            </w:r>
          </w:p>
          <w:p w14:paraId="44AFAA0E" w14:textId="77777777" w:rsidR="00000000" w:rsidRPr="00BE00C7" w:rsidRDefault="00000000" w:rsidP="00BE00C7">
            <w:pPr>
              <w:pStyle w:val="OutcomeDescription"/>
              <w:spacing w:before="120" w:after="120"/>
              <w:rPr>
                <w:rFonts w:cs="Arial"/>
                <w:lang w:eastAsia="en-NZ"/>
              </w:rPr>
            </w:pPr>
          </w:p>
        </w:tc>
      </w:tr>
      <w:tr w:rsidR="002B2A03" w14:paraId="5C31649D" w14:textId="77777777">
        <w:tc>
          <w:tcPr>
            <w:tcW w:w="0" w:type="auto"/>
          </w:tcPr>
          <w:p w14:paraId="1BADFD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CD4D2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managed to deliver effective person-centred and whānau-centred </w:t>
            </w:r>
            <w:r w:rsidRPr="00BE00C7">
              <w:rPr>
                <w:rFonts w:cs="Arial"/>
                <w:lang w:eastAsia="en-NZ"/>
              </w:rPr>
              <w:lastRenderedPageBreak/>
              <w:t>services.</w:t>
            </w:r>
          </w:p>
          <w:p w14:paraId="0BA7C6F6" w14:textId="77777777" w:rsidR="00000000" w:rsidRPr="00BE00C7" w:rsidRDefault="00000000" w:rsidP="00BE00C7">
            <w:pPr>
              <w:pStyle w:val="OutcomeDescription"/>
              <w:spacing w:before="120" w:after="120"/>
              <w:rPr>
                <w:rFonts w:cs="Arial"/>
                <w:lang w:eastAsia="en-NZ"/>
              </w:rPr>
            </w:pPr>
          </w:p>
        </w:tc>
        <w:tc>
          <w:tcPr>
            <w:tcW w:w="0" w:type="auto"/>
          </w:tcPr>
          <w:p w14:paraId="3E887F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9974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acuity and clinical staffing ratio policy that describes rostering, staffing and rationale. The roster provides sufficient and appropriate cover for the effective delivery of clinically safe care and support to residents. There is 24/7 RN cover with at least two RNs on the morning and the afternoon shift, and an RN during the night shift. There is a RN allocated Monday to Fridays to the dementia unit ,with a full-time enrolled nurse (EN) on afternoon and one full time enrolled nurse on night .At any other time when a RN or EN is not working in the </w:t>
            </w:r>
            <w:r w:rsidRPr="00BE00C7">
              <w:rPr>
                <w:rFonts w:cs="Arial"/>
                <w:lang w:eastAsia="en-NZ"/>
              </w:rPr>
              <w:lastRenderedPageBreak/>
              <w:t>dementia unit a house lead (medication competent caregiver) is allocated to lead the shift.</w:t>
            </w:r>
          </w:p>
          <w:p w14:paraId="3B1A93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RNs are supported by sufficient caregivers on each shift. There are no staff vacancies at present.</w:t>
            </w:r>
          </w:p>
          <w:p w14:paraId="058C38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reported staffing is adequate and the workload is manageable. There are enough staff allocated to cover the care facility. There is a Metlifecare internal casual staff pool (Metflex) to assist with roster cover. The nurse manager stated other agency staff are used when necessary. </w:t>
            </w:r>
          </w:p>
          <w:p w14:paraId="6F56DD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is supported by caregivers who are medication competent. The senior registered nurse provides direct clinical oversight on the floor and works with the registered nurses. </w:t>
            </w:r>
          </w:p>
          <w:p w14:paraId="727B25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 reviewed were fully covered and backfilled when staff were absent on short notice. Residents and family/whānau interviewed confirmed their care requirements are attended to in a timely manner. The call bell reports reviewed confirm timely attendance to residents’ needs. Meeting minutes evidence staff and residents are informed when staffing levels change.</w:t>
            </w:r>
          </w:p>
          <w:p w14:paraId="7967ED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works full time (Monday to Friday). In the absence of the nurse manager, the senior registered nurse will oversee the service. There is an after-hours on-call roster for clinical support.</w:t>
            </w:r>
          </w:p>
          <w:p w14:paraId="230918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training. External training opportunities for care staff include training through Health New Zealand and the hospice. </w:t>
            </w:r>
          </w:p>
          <w:p w14:paraId="2EEB43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Metlifecare learning and development team (including a Careerforce assessor) who support staff training. Staff are encouraged to participate in learning opportunities that provide them with up-to-date information on Māori health outcomes and disparities, and health equity. Staff confirmed that they are provided with resources during their cultural training and sharing information. </w:t>
            </w:r>
          </w:p>
          <w:p w14:paraId="128C04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supports and encourages caregivers to obtain a New Zealand Qualification Authority (NZQA) qualification. Twenty-seven caregivers are employed, and twenty-six hold a National Certificate in Health and Wellbeing level three or above. Ten of the 27 caregivers are allocated to also work in the secure dementia unit; seven have completed the required dementia training modules and three are enrolled to complete within the required timeframe.</w:t>
            </w:r>
          </w:p>
          <w:p w14:paraId="2082EE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comprehensive library with resources on the intranet. Metlifecare supports all employees to transition through the NZQA Certificate in Health and Wellbeing. An annual in-service programme is implemented, and all compulsory topics are included. A training policy is being implemented. All staff are required to complete competency assessments as part of their orientation. Additional RN specific competencies include syringe driver, wound competency and interRAI assessment competency. All RNs have attended in-service training, which included a range of clinical topics specific to the current residents, medication optimisation and deprescribing, palliative care, diabetic management, and dementia care. There are nine RNs and two ENs, all RNs have interRAI competency.</w:t>
            </w:r>
          </w:p>
          <w:p w14:paraId="59FE2D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required to complete competencies at orientation. Annual competencies include restraint, moving and handling, 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w:t>
            </w:r>
          </w:p>
          <w:p w14:paraId="072E67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(peak performance objective settings). Signage supporting organisational counselling programmes are posted in visible staff locations. Interviews with staff confirmed that they feel supported by their managers.</w:t>
            </w:r>
          </w:p>
          <w:p w14:paraId="1A44CB21" w14:textId="77777777" w:rsidR="00000000" w:rsidRPr="00BE00C7" w:rsidRDefault="00000000" w:rsidP="00BE00C7">
            <w:pPr>
              <w:pStyle w:val="OutcomeDescription"/>
              <w:spacing w:before="120" w:after="120"/>
              <w:rPr>
                <w:rFonts w:cs="Arial"/>
                <w:lang w:eastAsia="en-NZ"/>
              </w:rPr>
            </w:pPr>
          </w:p>
        </w:tc>
      </w:tr>
      <w:tr w:rsidR="002B2A03" w14:paraId="7DA1C5FB" w14:textId="77777777">
        <w:tc>
          <w:tcPr>
            <w:tcW w:w="0" w:type="auto"/>
          </w:tcPr>
          <w:p w14:paraId="6DEDBA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41E1D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24ECA68" w14:textId="77777777" w:rsidR="00000000" w:rsidRPr="00BE00C7" w:rsidRDefault="00000000" w:rsidP="00BE00C7">
            <w:pPr>
              <w:pStyle w:val="OutcomeDescription"/>
              <w:spacing w:before="120" w:after="120"/>
              <w:rPr>
                <w:rFonts w:cs="Arial"/>
                <w:lang w:eastAsia="en-NZ"/>
              </w:rPr>
            </w:pPr>
          </w:p>
        </w:tc>
        <w:tc>
          <w:tcPr>
            <w:tcW w:w="0" w:type="auto"/>
          </w:tcPr>
          <w:p w14:paraId="43B7C3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D24A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recruitment processes are managed by the Metlifecare recruitment team on an electronic human resources system (Meteor). Seven staff files reviewed (two registered nurses, including senior registered nurse, the diversional therapist [DT], domestic aide and three caregivers) evidenced implementation of the recruitment process, employment contracts, police vetting checks, and evidence of a completed 12-week orientation workbook. There are job descriptions in place for all positions that includes outcomes, accountability, responsibilities, and functions to be achieved in each position.</w:t>
            </w:r>
          </w:p>
          <w:p w14:paraId="4D8F5861"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peak performance (appraisal) objectives are set at the beginning of the financial year, and performance is measured against the objectives and completed at the end of each financial year. All staff files reviewed had a completed peak performance objective evaluation completed.</w:t>
            </w:r>
          </w:p>
          <w:p w14:paraId="0F3E55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RNs and caregivers to provide a culturally safe environment for Māori. </w:t>
            </w:r>
          </w:p>
          <w:p w14:paraId="655E69C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720C63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is documented. Any staff on a return-to-work programme following injuries are managed by an external company. </w:t>
            </w:r>
          </w:p>
          <w:p w14:paraId="6060D394" w14:textId="77777777" w:rsidR="00000000" w:rsidRPr="00BE00C7" w:rsidRDefault="00000000" w:rsidP="00BE00C7">
            <w:pPr>
              <w:pStyle w:val="OutcomeDescription"/>
              <w:spacing w:before="120" w:after="120"/>
              <w:rPr>
                <w:rFonts w:cs="Arial"/>
                <w:lang w:eastAsia="en-NZ"/>
              </w:rPr>
            </w:pPr>
          </w:p>
        </w:tc>
      </w:tr>
      <w:tr w:rsidR="002B2A03" w14:paraId="47A62C89" w14:textId="77777777">
        <w:tc>
          <w:tcPr>
            <w:tcW w:w="0" w:type="auto"/>
          </w:tcPr>
          <w:p w14:paraId="423519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0A2521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w:t>
            </w:r>
            <w:r w:rsidRPr="00BE00C7">
              <w:rPr>
                <w:rFonts w:cs="Arial"/>
                <w:lang w:eastAsia="en-NZ"/>
              </w:rPr>
              <w:lastRenderedPageBreak/>
              <w:t>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D873BA2" w14:textId="77777777" w:rsidR="00000000" w:rsidRPr="00BE00C7" w:rsidRDefault="00000000" w:rsidP="00BE00C7">
            <w:pPr>
              <w:pStyle w:val="OutcomeDescription"/>
              <w:spacing w:before="120" w:after="120"/>
              <w:rPr>
                <w:rFonts w:cs="Arial"/>
                <w:lang w:eastAsia="en-NZ"/>
              </w:rPr>
            </w:pPr>
          </w:p>
        </w:tc>
        <w:tc>
          <w:tcPr>
            <w:tcW w:w="0" w:type="auto"/>
          </w:tcPr>
          <w:p w14:paraId="580787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D899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and archived as per policy. Electronic information is regularly backed-up using cloud-based technology and password protected. There is a documented Metlifecare disaster management </w:t>
            </w:r>
            <w:r w:rsidRPr="00BE00C7">
              <w:rPr>
                <w:rFonts w:cs="Arial"/>
                <w:lang w:eastAsia="en-NZ"/>
              </w:rPr>
              <w:lastRenderedPageBreak/>
              <w:t>plan in case of information systems failure.</w:t>
            </w:r>
          </w:p>
          <w:p w14:paraId="178DE4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 service integration. Records are uniquely identifiable, legible, and timely. Signatures that are documented include the name and designation of the service provider. Hardcopy documents are uploaded to the electronic system and securely destroyed.</w:t>
            </w:r>
          </w:p>
          <w:p w14:paraId="397C9AF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village manager and the nurse manager shares the privacy officer role and there is a pathway of communication and approval to release health information. The service is not responsible for National Health Index registration.</w:t>
            </w:r>
          </w:p>
          <w:p w14:paraId="7C50ED22" w14:textId="77777777" w:rsidR="00000000" w:rsidRPr="00BE00C7" w:rsidRDefault="00000000" w:rsidP="00BE00C7">
            <w:pPr>
              <w:pStyle w:val="OutcomeDescription"/>
              <w:spacing w:before="120" w:after="120"/>
              <w:rPr>
                <w:rFonts w:cs="Arial"/>
                <w:lang w:eastAsia="en-NZ"/>
              </w:rPr>
            </w:pPr>
          </w:p>
        </w:tc>
      </w:tr>
      <w:tr w:rsidR="002B2A03" w14:paraId="5EC45328" w14:textId="77777777">
        <w:tc>
          <w:tcPr>
            <w:tcW w:w="0" w:type="auto"/>
          </w:tcPr>
          <w:p w14:paraId="4D074E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C6B94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63425CA" w14:textId="77777777" w:rsidR="00000000" w:rsidRPr="00BE00C7" w:rsidRDefault="00000000" w:rsidP="00BE00C7">
            <w:pPr>
              <w:pStyle w:val="OutcomeDescription"/>
              <w:spacing w:before="120" w:after="120"/>
              <w:rPr>
                <w:rFonts w:cs="Arial"/>
                <w:lang w:eastAsia="en-NZ"/>
              </w:rPr>
            </w:pPr>
          </w:p>
        </w:tc>
        <w:tc>
          <w:tcPr>
            <w:tcW w:w="0" w:type="auto"/>
          </w:tcPr>
          <w:p w14:paraId="099A87E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5C9A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Eight admission agreements reviewed align with all service requirements. Exclusions from the service are included in the admission agreement. Family/whānau interviewed stated that they have received the information pack and received sufficient information prior to and on entry to the service. Admission criteria is based on the assessed need of the resident and the contracts under which the service operates. The nurse manager and RNs are available to answer any questions regarding the admission process, and give timely updates should entry to the service be delayed. </w:t>
            </w:r>
          </w:p>
          <w:p w14:paraId="63A8F4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The resident would be declined entry if not within the scope of the service, or if a bed was not available. When residents are declined access to the service, residents and their family/whānau, the referring agency, and general practitioner (GP) are informed of the decline to entry and the reason for decline is documented. Family/whanau are provided with alternative options and </w:t>
            </w:r>
            <w:r w:rsidRPr="00BE00C7">
              <w:rPr>
                <w:rFonts w:cs="Arial"/>
                <w:lang w:eastAsia="en-NZ"/>
              </w:rPr>
              <w:lastRenderedPageBreak/>
              <w:t>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Parkside Village is committed to recognising and celebrating tāngata whenua (iwi) in a meaningful way through partnership, educational programmes, and liaison with local Māori services.</w:t>
            </w:r>
          </w:p>
          <w:p w14:paraId="63C2CE34" w14:textId="77777777" w:rsidR="00000000" w:rsidRPr="00BE00C7" w:rsidRDefault="00000000" w:rsidP="00BE00C7">
            <w:pPr>
              <w:pStyle w:val="OutcomeDescription"/>
              <w:spacing w:before="120" w:after="120"/>
              <w:rPr>
                <w:rFonts w:cs="Arial"/>
                <w:lang w:eastAsia="en-NZ"/>
              </w:rPr>
            </w:pPr>
          </w:p>
          <w:p w14:paraId="436D9A46" w14:textId="77777777" w:rsidR="00000000" w:rsidRPr="00BE00C7" w:rsidRDefault="00000000" w:rsidP="00BE00C7">
            <w:pPr>
              <w:pStyle w:val="OutcomeDescription"/>
              <w:spacing w:before="120" w:after="120"/>
              <w:rPr>
                <w:rFonts w:cs="Arial"/>
                <w:lang w:eastAsia="en-NZ"/>
              </w:rPr>
            </w:pPr>
          </w:p>
        </w:tc>
      </w:tr>
      <w:tr w:rsidR="002B2A03" w14:paraId="0BBD19E9" w14:textId="77777777">
        <w:tc>
          <w:tcPr>
            <w:tcW w:w="0" w:type="auto"/>
          </w:tcPr>
          <w:p w14:paraId="2CB71C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7D39E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C78ECB6" w14:textId="77777777" w:rsidR="00000000" w:rsidRPr="00BE00C7" w:rsidRDefault="00000000" w:rsidP="00BE00C7">
            <w:pPr>
              <w:pStyle w:val="OutcomeDescription"/>
              <w:spacing w:before="120" w:after="120"/>
              <w:rPr>
                <w:rFonts w:cs="Arial"/>
                <w:lang w:eastAsia="en-NZ"/>
              </w:rPr>
            </w:pPr>
          </w:p>
        </w:tc>
        <w:tc>
          <w:tcPr>
            <w:tcW w:w="0" w:type="auto"/>
          </w:tcPr>
          <w:p w14:paraId="261DEF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82F5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electronic resident files were reviewed: three rest home level, three hospital level, and two dementia level care residents. Registered nurses are responsible for all residents’ assessments, care planning and evaluation of care. There is evidence of resident and family/whānau involvement in the interRAI assessments and long-term care plans. </w:t>
            </w:r>
          </w:p>
          <w:p w14:paraId="6C1254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completed within required timeframes (including the resident on respite care). All interRAI assessments, re-assessments, care plan development and reviews have been completed within the contractual required timeframes for all long-term residents. </w:t>
            </w:r>
          </w:p>
          <w:p w14:paraId="163BA4EB" w14:textId="77777777" w:rsidR="00000000" w:rsidRPr="00BE00C7" w:rsidRDefault="00000000" w:rsidP="00BE00C7">
            <w:pPr>
              <w:pStyle w:val="OutcomeDescription"/>
              <w:spacing w:before="120" w:after="120"/>
              <w:rPr>
                <w:rFonts w:cs="Arial"/>
                <w:lang w:eastAsia="en-NZ"/>
              </w:rPr>
            </w:pPr>
            <w:r w:rsidRPr="00BE00C7">
              <w:rPr>
                <w:rFonts w:cs="Arial"/>
                <w:lang w:eastAsia="en-NZ"/>
              </w:rPr>
              <w:t>A suite of risk assessments is available on the electronic system. They are completed in detail to inform the care plan for residents who do not require an interRAI assessment (respite care). The assessments include (but not limited to), falls risk; skin; mood; pressure risk; nutrition; continence; communication; rest and sleep activities; mobility; and pain. Appropriate risk assessments are conducted on admission. A cultural assessment has been implemented for all residents. For the resident files reviewed, the outcomes from assessments and risk assessments were reflected in the care plans.</w:t>
            </w:r>
          </w:p>
          <w:p w14:paraId="09328E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plans identify resident focussed goals, recognise Te Whare Tapa Whā, Fonofale, Te Vaka and reflect a person-centred model of care. The care plans identify key assessed risks, including medical risks, and interventions were reflective of interRAI assessments, described in sufficient detail to address assessed needs. Te Ara Whakapiri principles </w:t>
            </w:r>
            <w:r w:rsidRPr="00BE00C7">
              <w:rPr>
                <w:rFonts w:cs="Arial"/>
                <w:lang w:eastAsia="en-NZ"/>
              </w:rPr>
              <w:lastRenderedPageBreak/>
              <w:t>are used in end-of-life care.</w:t>
            </w:r>
          </w:p>
          <w:p w14:paraId="738382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Other available information, such as discharge summaries, medical and allied health notes, and consultation with resident and family/whānau or significant others form the basis of the long-term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are documented. </w:t>
            </w:r>
          </w:p>
          <w:p w14:paraId="1723BBF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had been assessed by a GP within five working days of admission. The GP reviews the residents at least three-monthly or earlier if required. The contracted GPs visit twice per week or more if required. There are appropriate arrangements in place for after-hours support. The GP (interviewed) was very complimentary of the care, communication, and the quality of the service provided. The GP has remote access to the medication charts.</w:t>
            </w:r>
          </w:p>
          <w:p w14:paraId="50EE27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Specialist referrals are initiated as needed. Allied health interventions were documented and integrated into care plans. A podiatrist and an organisational dietitian visit regularly. A speech language therapist, hospice nurse, and wound care nurse specialist are available as required through Health New Zealand. The physiotherapist visits the facility for four hours per day, twice a week. </w:t>
            </w:r>
          </w:p>
          <w:p w14:paraId="5B65AC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could describe a verbal and written handover at the beginning of each duty that maintains a continuity of service delivery. This was witnessed in the secure dementia unit, with staff utilising an electronic dictation system that transcribes the spoken word in to written notes which can then be shared with all relevant staff electronically. Caregivers complete task lists and complete progress notes on every shift. When changes occur with the residents’ health, these are reflected in the electronic progress notes to provide an evolving picture of the residents’ journey. Registered nurses document at least daily for hospital level and at least weekly and as necessary for rest home level care residents. There is regular documented input from the GP and allied health professionals. Residents interviewed reported their needs and expectations were being met. When a resident’s condition alters, the registered nurse initiates a review with the GP. The electronic progress notes reviewed provided </w:t>
            </w:r>
            <w:r w:rsidRPr="00BE00C7">
              <w:rPr>
                <w:rFonts w:cs="Arial"/>
                <w:lang w:eastAsia="en-NZ"/>
              </w:rPr>
              <w:lastRenderedPageBreak/>
              <w:t xml:space="preserve">evidence that family/whānau have been notified of changes to health, including infections, accident/incidents, GP visit, medication changes, and any changes to health status. This was confirmed through the interviews with family/whānau. </w:t>
            </w:r>
          </w:p>
          <w:p w14:paraId="66847A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thirteen wounds across the service, including lesions, skin tears, and one stage 2 pressure injury. Assessments and wound management plans, including wound measurements and photographs were reviewed. An electronic wound register has been fully maintained. Wound assessment, wound management, evaluation forms and wound monitoring occurred as planned in the sample of wounds reviewed. There have been education sessions held around wound care and pressure injury prevention and management. </w:t>
            </w:r>
          </w:p>
          <w:p w14:paraId="03642B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stated there are adequate clinical supplies and equipment provided, including continence products, wound care supplies and pressure injury prevention resources. These were sighted during the audit. There is access to a continence specialist when required. </w:t>
            </w:r>
          </w:p>
          <w:p w14:paraId="34D82F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weight; food and fluid; turning charts; blood sugar levels; and toileting regime. Monitoring charts had been completed as scheduled. Neurological observations have routinely and comprehensively been completed for unwitnessed falls as part of post falls management. </w:t>
            </w:r>
          </w:p>
          <w:p w14:paraId="64B2048F" w14:textId="77777777" w:rsidR="00000000" w:rsidRPr="00BE00C7" w:rsidRDefault="00000000" w:rsidP="00BE00C7">
            <w:pPr>
              <w:pStyle w:val="OutcomeDescription"/>
              <w:spacing w:before="120" w:after="120"/>
              <w:rPr>
                <w:rFonts w:cs="Arial"/>
                <w:lang w:eastAsia="en-NZ"/>
              </w:rPr>
            </w:pPr>
            <w:r w:rsidRPr="00BE00C7">
              <w:rPr>
                <w:rFonts w:cs="Arial"/>
                <w:lang w:eastAsia="en-NZ"/>
              </w:rPr>
              <w:t>Evaluations are scheduled and completed at the time of the interRAI re-assessment. Evaluations documented the progression towards goals. Written evaluations reviewed identify if the resident goals had been met or unmet. Long-term care plans have been updated following the six-monthly care conferences (multidisciplinary meeting [MDT]) and to reflect the interRAI reassessment, or sooner when changes have occurred. Family/whānau are invited to attend the care conferences when care plans are reviewed.</w:t>
            </w:r>
          </w:p>
          <w:p w14:paraId="43A428C6" w14:textId="26BACC34" w:rsidR="00000000" w:rsidRPr="00BE00C7" w:rsidRDefault="00000000" w:rsidP="00014446">
            <w:pPr>
              <w:pStyle w:val="OutcomeDescription"/>
              <w:spacing w:before="120" w:after="120"/>
              <w:rPr>
                <w:rFonts w:cs="Arial"/>
                <w:lang w:eastAsia="en-NZ"/>
              </w:rPr>
            </w:pPr>
            <w:r w:rsidRPr="00BE00C7">
              <w:rPr>
                <w:rFonts w:cs="Arial"/>
                <w:lang w:eastAsia="en-NZ"/>
              </w:rPr>
              <w:t>Short-term issues such as infections, weight loss, and wounds are addressed in an electronic short-term care plan and closed off when resolved or transferred to the long- term care plan.</w:t>
            </w:r>
          </w:p>
        </w:tc>
      </w:tr>
      <w:tr w:rsidR="002B2A03" w14:paraId="404E414F" w14:textId="77777777">
        <w:tc>
          <w:tcPr>
            <w:tcW w:w="0" w:type="auto"/>
          </w:tcPr>
          <w:p w14:paraId="7097BB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7F8CF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F4A295E" w14:textId="77777777" w:rsidR="00000000" w:rsidRPr="00BE00C7" w:rsidRDefault="00000000" w:rsidP="00BE00C7">
            <w:pPr>
              <w:pStyle w:val="OutcomeDescription"/>
              <w:spacing w:before="120" w:after="120"/>
              <w:rPr>
                <w:rFonts w:cs="Arial"/>
                <w:lang w:eastAsia="en-NZ"/>
              </w:rPr>
            </w:pPr>
          </w:p>
        </w:tc>
        <w:tc>
          <w:tcPr>
            <w:tcW w:w="0" w:type="auto"/>
          </w:tcPr>
          <w:p w14:paraId="0B21F9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6121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activities programme is implemented by a diversional therapist (DT) who works Monday to Friday (40 hours per week), an activities assistant (Wednesday, Friday, Saturday, and Sunday), an activities supervisor in the dementia unit (Monday to Friday), and volunteers. All volunteers are inducted to the service. Activities are provided over seven days and caregivers can access resources to assist with activities after hours. The monthly activities programme is displayed on a noticeboard in the communal area and on individual resident noticeboards. Daily and weekly activities are also written in larger font on whiteboards for those residents with impaired vision.</w:t>
            </w:r>
          </w:p>
          <w:p w14:paraId="764619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provides variety in the content and includes a range of activities which incorporate education, leisure, cultural, spiritual and community events. Individual activity assessments and plans identify individual interests and consider the person’s identity. Individual and group activities reflected residents’ goals and interest, ordinary patterns of life, and included normal community activities. Each resident has a `know me in my world` booklet, (or ‘know me, don’t change me’ in dementia) which is in English and te reo Māori, and identifies residents’ needs based on Te Whare Tapa Whā model. The residents’ activity needs are reviewed six-monthly at the same time as the care plans and contribute to the formal six-monthly multidisciplinary review process.</w:t>
            </w:r>
          </w:p>
          <w:p w14:paraId="7A4B3241"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memory care (dementia) unit, the activities team and caregivers ensure a seven day a week programme is implemented. Engagement activities for residents in the memory care unit are tailored to meet the needs of the residents. There are 24-hour resident activity plans, which include strategies for distraction and de-escalation. Activities are offered at times when residents are most physically active and/or restless.</w:t>
            </w:r>
          </w:p>
          <w:p w14:paraId="31D3F3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resident ladies group, book club, and men’s group. Opportunities for Māori and whānau to participate in te ao Māori are available through links with local iwi, and local schools visiting cultural groups. Māori language week, and Matariki are celebrated. The service provides service content in both English and te reo Māori. </w:t>
            </w:r>
          </w:p>
          <w:p w14:paraId="2B42B9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those residents who choose not to take part in the programme, one on one visits from the DT, activities staff, or volunteers (including pet therapy) occur regularly. An outing is organised weekly and regular visits from community visitors occur. There are outings, such as for </w:t>
            </w:r>
            <w:r w:rsidRPr="00BE00C7">
              <w:rPr>
                <w:rFonts w:cs="Arial"/>
                <w:lang w:eastAsia="en-NZ"/>
              </w:rPr>
              <w:lastRenderedPageBreak/>
              <w:t xml:space="preserve">shopping, coffee, lunch, beach visits, and scenic drives. The service has implemented Wednesday family van trips, reflecting individual preferences and allowing residents to spend quality time with their loved ones outside the facility. Church services are held weekly. </w:t>
            </w:r>
          </w:p>
          <w:p w14:paraId="39DBBF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majority of residents and their family/whānau reported satisfaction with the activities provided. Over the course of the audit, residents were observed engaging and enjoying a variety of activities. Regular resident meetings are held and provide opportunities for feedback and suggestions for the activity programme.</w:t>
            </w:r>
          </w:p>
          <w:p w14:paraId="3E40356C" w14:textId="77777777" w:rsidR="00000000" w:rsidRPr="00BE00C7" w:rsidRDefault="00000000" w:rsidP="00BE00C7">
            <w:pPr>
              <w:pStyle w:val="OutcomeDescription"/>
              <w:spacing w:before="120" w:after="120"/>
              <w:rPr>
                <w:rFonts w:cs="Arial"/>
                <w:lang w:eastAsia="en-NZ"/>
              </w:rPr>
            </w:pPr>
          </w:p>
        </w:tc>
      </w:tr>
      <w:tr w:rsidR="002B2A03" w14:paraId="2A626428" w14:textId="77777777">
        <w:tc>
          <w:tcPr>
            <w:tcW w:w="0" w:type="auto"/>
          </w:tcPr>
          <w:p w14:paraId="152C3B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CFB57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15BDE40" w14:textId="77777777" w:rsidR="00000000" w:rsidRPr="00BE00C7" w:rsidRDefault="00000000" w:rsidP="00BE00C7">
            <w:pPr>
              <w:pStyle w:val="OutcomeDescription"/>
              <w:spacing w:before="120" w:after="120"/>
              <w:rPr>
                <w:rFonts w:cs="Arial"/>
                <w:lang w:eastAsia="en-NZ"/>
              </w:rPr>
            </w:pPr>
          </w:p>
        </w:tc>
        <w:tc>
          <w:tcPr>
            <w:tcW w:w="0" w:type="auto"/>
          </w:tcPr>
          <w:p w14:paraId="2C69FF0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69E8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identifies all aspects of medicine management in line with relevant legislation and guidelines. Safe medicine management using an electronic system was observed on the day of audit. Prescribing practices are in line with legislation, protocols, and guidelines. The required documented three-monthly reviews by the GP provided evidence of assessment to reduce polypharmacy where indicated. Resident allergies and sensitivities have been recorded on the sixteen electronic medication charts reviewed, and all medication charts have current photo identification. </w:t>
            </w:r>
          </w:p>
          <w:p w14:paraId="6F0AE2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pharmacy pre-packaged medicines that are checked by the registered nurse on delivery to the facility. All stock medications sighted were within current use by dates. A system is in place for returning expired or unwanted medication to the contracted pharmacy. The medication refrigerator temperatures and medication room temperatures are monitored daily and are within accepted limits.</w:t>
            </w:r>
          </w:p>
          <w:p w14:paraId="0F8E15F7"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stored securely in accordance with requirements. The staff observed administering medication, demonstrated knowledge and at interview demonstrated clear understanding of their roles and responsibilities related to each stage of medication management. The medication administration process complied with the medicine administration policies and procedures. The registered nurses oversee the use of all pro re nata (PRN) medicines and review documentation regarding the effectiveness on the electronic medication management system and in the progress notes. Current medication competencies were evident in staff files.</w:t>
            </w:r>
          </w:p>
          <w:p w14:paraId="58ED5C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Education for residents regarding their medications occurs on a one-to-one basis by the registered nurses. Medication information for residents and family/whānau can be accessed online as needed.</w:t>
            </w:r>
          </w:p>
          <w:p w14:paraId="24F334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policy that guides the process when residents are assessed as competent to self-administer medications. At the time of the audit, there were no residents self-administering medication; however, appropriate systems for assessment, and safe storage were available should it be required. There are no vaccines stored on site, and no standing orders are used.</w:t>
            </w:r>
          </w:p>
          <w:p w14:paraId="212671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describes the consideration of over-the-counter medications and supplements when prescribing occurs and access to traditional Māori remedies are facilitated when required. Interviews with the registered nurses confirmed that where over the counter or alternative medications were being used, they were added to the medication chart by the GP, following discussion with the resident and/or their family/whānau.</w:t>
            </w:r>
          </w:p>
          <w:p w14:paraId="5AE8A72E" w14:textId="77777777" w:rsidR="00000000" w:rsidRPr="00BE00C7" w:rsidRDefault="00000000" w:rsidP="00BE00C7">
            <w:pPr>
              <w:pStyle w:val="OutcomeDescription"/>
              <w:spacing w:before="120" w:after="120"/>
              <w:rPr>
                <w:rFonts w:cs="Arial"/>
                <w:lang w:eastAsia="en-NZ"/>
              </w:rPr>
            </w:pPr>
          </w:p>
        </w:tc>
      </w:tr>
      <w:tr w:rsidR="002B2A03" w14:paraId="24D81603" w14:textId="77777777">
        <w:tc>
          <w:tcPr>
            <w:tcW w:w="0" w:type="auto"/>
          </w:tcPr>
          <w:p w14:paraId="1BA921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26BBD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A4FE4C1" w14:textId="77777777" w:rsidR="00000000" w:rsidRPr="00BE00C7" w:rsidRDefault="00000000" w:rsidP="00BE00C7">
            <w:pPr>
              <w:pStyle w:val="OutcomeDescription"/>
              <w:spacing w:before="120" w:after="120"/>
              <w:rPr>
                <w:rFonts w:cs="Arial"/>
                <w:lang w:eastAsia="en-NZ"/>
              </w:rPr>
            </w:pPr>
          </w:p>
        </w:tc>
        <w:tc>
          <w:tcPr>
            <w:tcW w:w="0" w:type="auto"/>
          </w:tcPr>
          <w:p w14:paraId="2607A3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0E67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kitchen manager (qualified chef) who manages the kitchen team. Food is prepared and cooked on site. </w:t>
            </w:r>
          </w:p>
          <w:p w14:paraId="599CDBE5" w14:textId="77777777" w:rsidR="00000000" w:rsidRPr="00BE00C7" w:rsidRDefault="00000000" w:rsidP="00BE00C7">
            <w:pPr>
              <w:pStyle w:val="OutcomeDescription"/>
              <w:spacing w:before="120" w:after="120"/>
              <w:rPr>
                <w:rFonts w:cs="Arial"/>
                <w:lang w:eastAsia="en-NZ"/>
              </w:rPr>
            </w:pPr>
            <w:r w:rsidRPr="00BE00C7">
              <w:rPr>
                <w:rFonts w:cs="Arial"/>
                <w:lang w:eastAsia="en-NZ"/>
              </w:rPr>
              <w:t>A nutritional assessment for each resident is undertaken by the registered nurses on admission to identify the resident’s dietary requirements and preferences. The nutritional profiles are communicated to the kitchen staff and updated when a resident’s dietary needs change. Diets are modified as needed and the food compliance and development manager interviewed confirmed awareness of the dietary needs, likes, dislikes and cultural needs of residents. These are accommodated in daily meal planning. For residents who identify as Māori, information is gathered regarding nutritional needs and preferences during the initial assessment and during the development of their individual Māori care plan.</w:t>
            </w:r>
          </w:p>
          <w:p w14:paraId="71ACB6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is transported in a heated scan box from the village centre kitchen to the care home, and plated and served by the caregivers. There is a dining room in each area; however, residents can choose to eat in their rooms if they prefer. A lunch meal was observed, and the dining </w:t>
            </w:r>
            <w:r w:rsidRPr="00BE00C7">
              <w:rPr>
                <w:rFonts w:cs="Arial"/>
                <w:lang w:eastAsia="en-NZ"/>
              </w:rPr>
              <w:lastRenderedPageBreak/>
              <w:t>experience and environment was safe and pleasurable.</w:t>
            </w:r>
          </w:p>
          <w:p w14:paraId="09E27C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temperature of food served is taken and recorded. Residents were observed to be given sufficient time to eat their meal, and assistance was provided when necessary. The food service is provided in line with recognised nutritional guidelines for older people. The seasonal menu has been developed by the food compliance and development manager (registered nutritionist), and an external dietitian is available as required. There is a current food control plan. The kitchen staff have relevant food handling and infection control training. The kitchen was observed to be clean, and the cleaning schedules sighted. All aspects of food procurement, production, preparation, storage, delivery, and disposal sighted at the time of the audit comply with current legislation and guidelines. The kitchen manager is responsible for purchasing the food to meet the requirements of the menu plans. Food is stored appropriately in fridges and freezers. Temperatures of fridges and freezers are monitored. Dry food supplies are stored in the pantry and rotation of stock occurs. All dry stock containers are labelled and dated.</w:t>
            </w:r>
          </w:p>
          <w:p w14:paraId="50D514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interview, the food compliance and development manager was familiar with the concepts of tapu and noa. They discussed occasions where the service has provided culturally appropriate meal services. Culturally specific menu options are identified on the menu and includes cultural selections appropriate for Māori and Pasifika. </w:t>
            </w:r>
          </w:p>
          <w:p w14:paraId="197B441A"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and feedback on the menu and food provided is sought at the residents’ meetings (family/whānau invited) and in the annual residents’ survey. The satisfaction survey evidence satisfaction related to the food services.</w:t>
            </w:r>
          </w:p>
          <w:p w14:paraId="28F046C7" w14:textId="77777777" w:rsidR="00000000" w:rsidRPr="00BE00C7" w:rsidRDefault="00000000" w:rsidP="00BE00C7">
            <w:pPr>
              <w:pStyle w:val="OutcomeDescription"/>
              <w:spacing w:before="120" w:after="120"/>
              <w:rPr>
                <w:rFonts w:cs="Arial"/>
                <w:lang w:eastAsia="en-NZ"/>
              </w:rPr>
            </w:pPr>
          </w:p>
        </w:tc>
      </w:tr>
      <w:tr w:rsidR="002B2A03" w14:paraId="11E45922" w14:textId="77777777">
        <w:tc>
          <w:tcPr>
            <w:tcW w:w="0" w:type="auto"/>
          </w:tcPr>
          <w:p w14:paraId="10D143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7096B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w:t>
            </w:r>
            <w:r w:rsidRPr="00BE00C7">
              <w:rPr>
                <w:rFonts w:cs="Arial"/>
                <w:lang w:eastAsia="en-NZ"/>
              </w:rPr>
              <w:lastRenderedPageBreak/>
              <w:t>experience consistency and continuity when leaving our services. We work alongside each person and whānau to provide and coordinate a supported transition of care or support.</w:t>
            </w:r>
          </w:p>
          <w:p w14:paraId="4F71131D" w14:textId="77777777" w:rsidR="00000000" w:rsidRPr="00BE00C7" w:rsidRDefault="00000000" w:rsidP="00BE00C7">
            <w:pPr>
              <w:pStyle w:val="OutcomeDescription"/>
              <w:spacing w:before="120" w:after="120"/>
              <w:rPr>
                <w:rFonts w:cs="Arial"/>
                <w:lang w:eastAsia="en-NZ"/>
              </w:rPr>
            </w:pPr>
          </w:p>
        </w:tc>
        <w:tc>
          <w:tcPr>
            <w:tcW w:w="0" w:type="auto"/>
          </w:tcPr>
          <w:p w14:paraId="3FF70D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C0BE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policy that guides discharges and transfers between services. Discharges or transfers are managed in a planned and coordinated manner and includes ongoing consultation with residents and family/whānau. The service facilitates access to other medical and non-medical services. Residents and family/whānau are advised of options to access other health and disability services, social support or Kaupapa Māori agencies, if indicated or requested.</w:t>
            </w:r>
          </w:p>
          <w:p w14:paraId="145DED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needed, referrals are sent to ensure other health services, </w:t>
            </w:r>
            <w:r w:rsidRPr="00BE00C7">
              <w:rPr>
                <w:rFonts w:cs="Arial"/>
                <w:lang w:eastAsia="en-NZ"/>
              </w:rPr>
              <w:lastRenderedPageBreak/>
              <w:t>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725CA96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RNs, and review of residents’ files confirmed there is open communication between services, the resident and the family/whānau. Relevant information is documented and communicated to health providers. A verbal handover is provided to ensure a smooth transfer process.</w:t>
            </w:r>
          </w:p>
          <w:p w14:paraId="67DC84ED" w14:textId="77777777" w:rsidR="00000000" w:rsidRPr="00BE00C7" w:rsidRDefault="00000000" w:rsidP="00BE00C7">
            <w:pPr>
              <w:pStyle w:val="OutcomeDescription"/>
              <w:spacing w:before="120" w:after="120"/>
              <w:rPr>
                <w:rFonts w:cs="Arial"/>
                <w:lang w:eastAsia="en-NZ"/>
              </w:rPr>
            </w:pPr>
          </w:p>
        </w:tc>
      </w:tr>
      <w:tr w:rsidR="002B2A03" w14:paraId="7A2E6A78" w14:textId="77777777">
        <w:tc>
          <w:tcPr>
            <w:tcW w:w="0" w:type="auto"/>
          </w:tcPr>
          <w:p w14:paraId="003C29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1F0EC7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51468C2" w14:textId="77777777" w:rsidR="00000000" w:rsidRPr="00BE00C7" w:rsidRDefault="00000000" w:rsidP="00BE00C7">
            <w:pPr>
              <w:pStyle w:val="OutcomeDescription"/>
              <w:spacing w:before="120" w:after="120"/>
              <w:rPr>
                <w:rFonts w:cs="Arial"/>
                <w:lang w:eastAsia="en-NZ"/>
              </w:rPr>
            </w:pPr>
          </w:p>
        </w:tc>
        <w:tc>
          <w:tcPr>
            <w:tcW w:w="0" w:type="auto"/>
          </w:tcPr>
          <w:p w14:paraId="4B0395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890E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building warrant of fitness for both the rest home and hospital building and one for the secure dementia building; the environment is inclusive of peoples’ cultures and supports cultural practices. There is a full-time maintenance manager responsible for implementing the annual organisational maintenance programme. Maintenance requests are logged through the electronic platform and followed up in a timely manner. There is an annual maintenance plan that includes electrical test and tag of equipment, call bell checks, calibration of medical equipment, monthly testing of hot water temperatures, and appropriate pest control management. Essential contractors such as plumbers and electricians are available as required. Checking and calibration of medical equipment, hoists and scales is completed annually and was current. Hot water temperatures are monitored and managed within 45 degrees Celsius. </w:t>
            </w:r>
          </w:p>
          <w:p w14:paraId="1BF982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sufficient space for residents to mobilise using mobility aids. The external area is well maintained. Residents have access to safely designed external areas that have seating and shade. Staff stated they had sufficient equipment to safely deliver the cares, as outlined in the resident care plans. All care suites are of an appropriate size to allow care to be provided and for the safe use and manoeuvring of mobility aids, including those required by hospital level care residents. Residents are encouraged to personalise their rooms. All residents in the main building share bathroom facilities, and there are separate toilets for staff and visitors. Toilets and showers have privacy systems in place. </w:t>
            </w:r>
          </w:p>
          <w:p w14:paraId="4E10F5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memory support unit (dementia level) is a 12-bed secure unit, that has a dining room/kitchen area and a big lounge for activities. The living spaces are homelike. There is a quieter smaller lounge/whānau room available. There are accessible, secure outdoor areas with raised garden beds, and walking paths. On the day of the audit, the activities supervisor was observed to be interacting and entertaining several residents in the memory care unit.</w:t>
            </w:r>
          </w:p>
          <w:p w14:paraId="7BAC7F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confirmed their privacy is assured when staff are undertaking personal cares. The communal areas include lounge/diners (for activities), which are easily and safely accessible for residents. Future refurbishment plans have been discussed with Māori representatives, in order to ensure their aspirations and identity are included. </w:t>
            </w:r>
          </w:p>
          <w:p w14:paraId="23AFB28B" w14:textId="77777777" w:rsidR="00000000" w:rsidRPr="00BE00C7" w:rsidRDefault="00000000" w:rsidP="00BE00C7">
            <w:pPr>
              <w:pStyle w:val="OutcomeDescription"/>
              <w:spacing w:before="120" w:after="120"/>
              <w:rPr>
                <w:rFonts w:cs="Arial"/>
                <w:lang w:eastAsia="en-NZ"/>
              </w:rPr>
            </w:pPr>
            <w:r w:rsidRPr="00BE00C7">
              <w:rPr>
                <w:rFonts w:cs="Arial"/>
                <w:lang w:eastAsia="en-NZ"/>
              </w:rPr>
              <w:t>General living, communal areas, and all resident rooms are appropriately heated and ventilated. All rooms have external windows that open, allowing plenty of natural sunlight. The temperature was a good ambient temperature on the day of the audit. All corridors have safety rails that promote safe mobility. Corridors are spacious and residents were observed moving freely around the areas with mobility aids where required. All outdoor areas are well maintained, seating and shade is available, accessible, and safe for residents’ use.</w:t>
            </w:r>
          </w:p>
          <w:p w14:paraId="266134AC" w14:textId="77777777" w:rsidR="00000000" w:rsidRPr="00BE00C7" w:rsidRDefault="00000000" w:rsidP="00BE00C7">
            <w:pPr>
              <w:pStyle w:val="OutcomeDescription"/>
              <w:spacing w:before="120" w:after="120"/>
              <w:rPr>
                <w:rFonts w:cs="Arial"/>
                <w:lang w:eastAsia="en-NZ"/>
              </w:rPr>
            </w:pPr>
          </w:p>
        </w:tc>
      </w:tr>
      <w:tr w:rsidR="002B2A03" w14:paraId="5610561C" w14:textId="77777777">
        <w:tc>
          <w:tcPr>
            <w:tcW w:w="0" w:type="auto"/>
          </w:tcPr>
          <w:p w14:paraId="61B782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81404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30A7324" w14:textId="77777777" w:rsidR="00000000" w:rsidRPr="00BE00C7" w:rsidRDefault="00000000" w:rsidP="00BE00C7">
            <w:pPr>
              <w:pStyle w:val="OutcomeDescription"/>
              <w:spacing w:before="120" w:after="120"/>
              <w:rPr>
                <w:rFonts w:cs="Arial"/>
                <w:lang w:eastAsia="en-NZ"/>
              </w:rPr>
            </w:pPr>
          </w:p>
        </w:tc>
        <w:tc>
          <w:tcPr>
            <w:tcW w:w="0" w:type="auto"/>
          </w:tcPr>
          <w:p w14:paraId="12EFE7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7F8F54"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The emergency planning includes business continuity plans in case of an emergency/disaster. A fire evacuation scheme is in place that has been approved by the New Zealand Fire Service (24 October 2002). A fire evacuation drill was completed in the last six months (25 November 2025). There are emergency management plans in place to ensure health, civil defence and other emergencies are included. Staff received the appropriate training at orientation and annually to effectively respond to identified emergency and security situations.</w:t>
            </w:r>
          </w:p>
          <w:p w14:paraId="70AA46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Civil defence supplies (sighted) are stored centrally and checked at regular intervals. There is back-up emergency lighting available. There are adequate supplies in the event of a civil defence emergency, including water stores to provide residents and staff with three litres per day, for a minimum of three days. A BBQ and gas cooktops in the kitchen are available for alternate cooking supplies. The service has solar power (dementia unit), battery backups, and a memorandum of understanding with a local hire supplier for a mobile generator, in case of a sustained power outage. A minimum of one staff member trained in first aid is available 24/7. There are call bells in the residents’ rooms, toilets, bathrooms, and lounge/dining room areas. Sensor mats, and bed sensors are used for fall prevention management. Residents were observed to have their call bells near to them. Residents and family/whānau interviewed confirmed that call bells are answered in a timely manner.</w:t>
            </w:r>
          </w:p>
          <w:p w14:paraId="4F5CDDA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easily identifiable and there is a sign in process to identify visitors and contractors. The building is secure after hours. Staff complete security checks at night, and the service has a security patrol overnight to check the exterior of the building and surrounds.</w:t>
            </w:r>
          </w:p>
          <w:p w14:paraId="38B01487" w14:textId="77777777" w:rsidR="00000000" w:rsidRPr="00BE00C7" w:rsidRDefault="00000000" w:rsidP="00BE00C7">
            <w:pPr>
              <w:pStyle w:val="OutcomeDescription"/>
              <w:spacing w:before="120" w:after="120"/>
              <w:rPr>
                <w:rFonts w:cs="Arial"/>
                <w:lang w:eastAsia="en-NZ"/>
              </w:rPr>
            </w:pPr>
          </w:p>
        </w:tc>
      </w:tr>
      <w:tr w:rsidR="002B2A03" w14:paraId="07515D71" w14:textId="77777777">
        <w:tc>
          <w:tcPr>
            <w:tcW w:w="0" w:type="auto"/>
          </w:tcPr>
          <w:p w14:paraId="4BC44C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4B9E2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A2DF083" w14:textId="77777777" w:rsidR="00000000" w:rsidRPr="00BE00C7" w:rsidRDefault="00000000" w:rsidP="00BE00C7">
            <w:pPr>
              <w:pStyle w:val="OutcomeDescription"/>
              <w:spacing w:before="120" w:after="120"/>
              <w:rPr>
                <w:rFonts w:cs="Arial"/>
                <w:lang w:eastAsia="en-NZ"/>
              </w:rPr>
            </w:pPr>
          </w:p>
        </w:tc>
        <w:tc>
          <w:tcPr>
            <w:tcW w:w="0" w:type="auto"/>
          </w:tcPr>
          <w:p w14:paraId="3F70AC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988AB1"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and antimicrobial stewardship (AMS) are an integral part of Parkside Village business and quality plan to ensure an environment that minimises the risk of infection to residents, staff, and visitors. A Metlifecare Infection Prevention and Control annual plan for Parkside Village for 2024-2025 is being implemented and reviewed quarterly. The infection control programme, its content and detail, is appropriate for the size, complexity and degree of risk associated with the service. Infection control is linked into the electronic quality risk and incident reporting system.</w:t>
            </w:r>
          </w:p>
          <w:p w14:paraId="570D90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Expertise in infection control and AMS can be accessed through Metlifecare’s support office, Public Health, and Health New Zealand. Clinical indicators, including infection rates, are thoroughly assessed at the clinical management team (CMT) meetings, attended by nurse managers/business care managers and senior nurses/assistant care managers. These meetings are chaired by the head of clinical and the outcomes are reported at each clinical governance group (CGG) </w:t>
            </w:r>
            <w:r w:rsidRPr="00BE00C7">
              <w:rPr>
                <w:rFonts w:cs="Arial"/>
                <w:lang w:eastAsia="en-NZ"/>
              </w:rPr>
              <w:lastRenderedPageBreak/>
              <w:t>meeting.</w:t>
            </w:r>
          </w:p>
          <w:p w14:paraId="3E7137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data is also benchmarked with other Metlifecare facilities. Metlifecare benchmarks with other aged care organisations and presents the results to their facilities. Any significant events are managed using a collaborative approach and involve the infection prevention and control resource nurse (infection control coordinator), the senior management team, the GP, and the public health team. </w:t>
            </w:r>
          </w:p>
          <w:p w14:paraId="1876240A" w14:textId="77777777" w:rsidR="00000000" w:rsidRPr="00BE00C7" w:rsidRDefault="00000000" w:rsidP="00BE00C7">
            <w:pPr>
              <w:pStyle w:val="OutcomeDescription"/>
              <w:spacing w:before="120" w:after="120"/>
              <w:rPr>
                <w:rFonts w:cs="Arial"/>
                <w:lang w:eastAsia="en-NZ"/>
              </w:rPr>
            </w:pPr>
          </w:p>
        </w:tc>
      </w:tr>
      <w:tr w:rsidR="002B2A03" w14:paraId="4907BA70" w14:textId="77777777">
        <w:tc>
          <w:tcPr>
            <w:tcW w:w="0" w:type="auto"/>
          </w:tcPr>
          <w:p w14:paraId="577A68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E0051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D3ADB92" w14:textId="77777777" w:rsidR="00000000" w:rsidRPr="00BE00C7" w:rsidRDefault="00000000" w:rsidP="00BE00C7">
            <w:pPr>
              <w:pStyle w:val="OutcomeDescription"/>
              <w:spacing w:before="120" w:after="120"/>
              <w:rPr>
                <w:rFonts w:cs="Arial"/>
                <w:lang w:eastAsia="en-NZ"/>
              </w:rPr>
            </w:pPr>
          </w:p>
        </w:tc>
        <w:tc>
          <w:tcPr>
            <w:tcW w:w="0" w:type="auto"/>
          </w:tcPr>
          <w:p w14:paraId="160654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E53C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infection control coordinators. Policies are available to staff. The response plan is clearly documented to reflect the current expected guidance from Health New Zealand. </w:t>
            </w:r>
          </w:p>
          <w:p w14:paraId="743D68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resource nurse (IPC coordinator) job description outlines the responsibility of the role relating to infection control matters and antimicrobial stewardship (AMS). The IPC coordinator has completed online training through Metlifecare. The service has access to national infection prevention expertise through Metlifecare’s support office (clinical quality specialist). The Infection Prevention and Control Plan for 2024-2025 links to the quality plan. The Infection Control and Prevention Plan has documented objectives and are reviewed quarterly on the progress. </w:t>
            </w:r>
          </w:p>
          <w:p w14:paraId="72CBF1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committee meets quarterly; however, all collation of data is reported monthly. Infection rates are presented and discussed at clinical, quality, and staff meetings. This information is also displayed on staff noticeboards.</w:t>
            </w:r>
          </w:p>
          <w:p w14:paraId="15079C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(senior registered nurse) was interviewed and confirmed the implementation of the pandemic plan was tested. During the visual inspection of the facility tour, staff were observed to adhere to infection control policies and practices. The infection prevention and control internal audit monitors the effectiveness of education and </w:t>
            </w:r>
            <w:r w:rsidRPr="00BE00C7">
              <w:rPr>
                <w:rFonts w:cs="Arial"/>
                <w:lang w:eastAsia="en-NZ"/>
              </w:rPr>
              <w:lastRenderedPageBreak/>
              <w:t>infection control practices.</w:t>
            </w:r>
          </w:p>
          <w:p w14:paraId="601C72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procedures. </w:t>
            </w:r>
          </w:p>
          <w:p w14:paraId="3E6E58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 coordinator and clinical team have protocols in place to work in partnership with any future Māori residents and family/whānau, for the protection of culturally safe practices in infection prevention, acknowledging the spirit of Te Tiriti o Waitangi. In interviews, staff understood cultural considerations related to infection control practices. </w:t>
            </w:r>
          </w:p>
          <w:p w14:paraId="2A51A1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18A389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54D1C8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strategically placed around the facility near point of care. Handbasins all have flowing soap. </w:t>
            </w:r>
          </w:p>
          <w:p w14:paraId="0EFB4D36" w14:textId="77777777" w:rsidR="00000000" w:rsidRPr="00BE00C7" w:rsidRDefault="00000000" w:rsidP="00BE00C7">
            <w:pPr>
              <w:pStyle w:val="OutcomeDescription"/>
              <w:spacing w:before="120" w:after="120"/>
              <w:rPr>
                <w:rFonts w:cs="Arial"/>
                <w:lang w:eastAsia="en-NZ"/>
              </w:rPr>
            </w:pPr>
            <w:r w:rsidRPr="00BE00C7">
              <w:rPr>
                <w:rFonts w:cs="Arial"/>
                <w:lang w:eastAsia="en-NZ"/>
              </w:rPr>
              <w:t>Advice was sought from Metlifecare’s national IPC lead and clinical governance group prior to and during the build of the facility.</w:t>
            </w:r>
          </w:p>
          <w:p w14:paraId="59CDD8EC" w14:textId="77777777" w:rsidR="00000000" w:rsidRPr="00BE00C7" w:rsidRDefault="00000000" w:rsidP="00BE00C7">
            <w:pPr>
              <w:pStyle w:val="OutcomeDescription"/>
              <w:spacing w:before="120" w:after="120"/>
              <w:rPr>
                <w:rFonts w:cs="Arial"/>
                <w:lang w:eastAsia="en-NZ"/>
              </w:rPr>
            </w:pPr>
          </w:p>
        </w:tc>
      </w:tr>
      <w:tr w:rsidR="002B2A03" w14:paraId="0F20E351" w14:textId="77777777">
        <w:tc>
          <w:tcPr>
            <w:tcW w:w="0" w:type="auto"/>
          </w:tcPr>
          <w:p w14:paraId="488839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D0BE8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CE0EEDF" w14:textId="77777777" w:rsidR="00000000" w:rsidRPr="00BE00C7" w:rsidRDefault="00000000" w:rsidP="00BE00C7">
            <w:pPr>
              <w:pStyle w:val="OutcomeDescription"/>
              <w:spacing w:before="120" w:after="120"/>
              <w:rPr>
                <w:rFonts w:cs="Arial"/>
                <w:lang w:eastAsia="en-NZ"/>
              </w:rPr>
            </w:pPr>
          </w:p>
        </w:tc>
        <w:tc>
          <w:tcPr>
            <w:tcW w:w="0" w:type="auto"/>
          </w:tcPr>
          <w:p w14:paraId="1C38C7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3F59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clinical, quality, and staff meetings. Significant events are reported to the clinical quality specialist. Laboratory diagnostic testing reports are reviewed, and residents are prescribed appropriate antibiotics according to the sensitivity results. Prophylactic use of antibiotics is not considered to be appropriate and is discouraged.</w:t>
            </w:r>
          </w:p>
          <w:p w14:paraId="1E5A7400" w14:textId="77777777" w:rsidR="00000000" w:rsidRPr="00BE00C7" w:rsidRDefault="00000000" w:rsidP="00BE00C7">
            <w:pPr>
              <w:pStyle w:val="OutcomeDescription"/>
              <w:spacing w:before="120" w:after="120"/>
              <w:rPr>
                <w:rFonts w:cs="Arial"/>
                <w:lang w:eastAsia="en-NZ"/>
              </w:rPr>
            </w:pPr>
          </w:p>
        </w:tc>
      </w:tr>
      <w:tr w:rsidR="002B2A03" w14:paraId="4F1B7FA9" w14:textId="77777777">
        <w:tc>
          <w:tcPr>
            <w:tcW w:w="0" w:type="auto"/>
          </w:tcPr>
          <w:p w14:paraId="7BBD60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B2E28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4D04119" w14:textId="77777777" w:rsidR="00000000" w:rsidRPr="00BE00C7" w:rsidRDefault="00000000" w:rsidP="00BE00C7">
            <w:pPr>
              <w:pStyle w:val="OutcomeDescription"/>
              <w:spacing w:before="120" w:after="120"/>
              <w:rPr>
                <w:rFonts w:cs="Arial"/>
                <w:lang w:eastAsia="en-NZ"/>
              </w:rPr>
            </w:pPr>
          </w:p>
        </w:tc>
        <w:tc>
          <w:tcPr>
            <w:tcW w:w="0" w:type="auto"/>
          </w:tcPr>
          <w:p w14:paraId="645E1B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50BE10"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Metlifecare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report. This data is monitored and analysed for trends monthly, quarterly, and annually. Infection control surveillance is discussed at clinical, quality, and staff meetings. The nurse manager confirmed the facility’s focus the last the last year was to embed Metlifecare’s decrease of urinary infections (UTIs) project. A continuous improvement rating is awarded at this audit for the decrease in UTIs within Parkside Village.</w:t>
            </w:r>
          </w:p>
          <w:p w14:paraId="79981B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incorporating ethnicity data into surveillance methods and data captured is easily extracted. Internal and external benchmarking is completed. Meeting minutes and graphs are displayed for staff. Action plans are required for any infection rates of concern, documented, and completed. Internal infection prevention and control audits are completed with corrective actions for areas of improvement. Communication pathways are documented to ensure clear communication to staff and residents who develop or experience a HAI.</w:t>
            </w:r>
          </w:p>
          <w:p w14:paraId="5B6E11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There have been no outbreaks. The caregivers interviewed confirmed they are confident to implement the pandemic and outbreak plan swifty. The senior registered nurse stated after </w:t>
            </w:r>
            <w:r w:rsidRPr="00BE00C7">
              <w:rPr>
                <w:rFonts w:cs="Arial"/>
                <w:lang w:eastAsia="en-NZ"/>
              </w:rPr>
              <w:lastRenderedPageBreak/>
              <w:t>outbreaks, there is a process for debrief meetings to occur.</w:t>
            </w:r>
          </w:p>
          <w:p w14:paraId="28A74F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Pre-prepared outbreak kits to support a swift implementation of the outbreak management plan were available. </w:t>
            </w:r>
          </w:p>
          <w:p w14:paraId="3595CE63" w14:textId="77777777" w:rsidR="00000000" w:rsidRPr="00BE00C7" w:rsidRDefault="00000000" w:rsidP="00BE00C7">
            <w:pPr>
              <w:pStyle w:val="OutcomeDescription"/>
              <w:spacing w:before="120" w:after="120"/>
              <w:rPr>
                <w:rFonts w:cs="Arial"/>
                <w:lang w:eastAsia="en-NZ"/>
              </w:rPr>
            </w:pPr>
          </w:p>
        </w:tc>
      </w:tr>
      <w:tr w:rsidR="002B2A03" w14:paraId="58826276" w14:textId="77777777">
        <w:tc>
          <w:tcPr>
            <w:tcW w:w="0" w:type="auto"/>
          </w:tcPr>
          <w:p w14:paraId="6CFD4C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C5DC6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4981812" w14:textId="77777777" w:rsidR="00000000" w:rsidRPr="00BE00C7" w:rsidRDefault="00000000" w:rsidP="00BE00C7">
            <w:pPr>
              <w:pStyle w:val="OutcomeDescription"/>
              <w:spacing w:before="120" w:after="120"/>
              <w:rPr>
                <w:rFonts w:cs="Arial"/>
                <w:lang w:eastAsia="en-NZ"/>
              </w:rPr>
            </w:pPr>
          </w:p>
        </w:tc>
        <w:tc>
          <w:tcPr>
            <w:tcW w:w="0" w:type="auto"/>
          </w:tcPr>
          <w:p w14:paraId="19E051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A318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staff, and staff were observed to be wearing these as they carried out their duties on the days of audit. There are sluice rooms with sanitisers, stainless steel bench and separate handwashing facilities are available. Eye protection and other PPE are available. Staff have completed chemical safety training. A chemical provider monitors the effectiveness of chemicals. A domestic aide interviewed could explain the cleaning processes and the roster verified domestic aides are rostered over seven days.</w:t>
            </w:r>
          </w:p>
          <w:p w14:paraId="04E73C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laundered off site three days a week at the Metlifecare laundry in East Auckland. Clean laundry is delivered the same day. There is a separate entrance for linen pickup and delivery. Personal laundry is delivered back to residents in named baskets. Linen is delivered to cupboards on covered trollies. There is enough space for linen storage. The linen cupboards were well stocked, and linen sighted was in good condition. Cleaning and laundry services are monitored through the internal auditing system, overseen by the IPC coordinator. There is a domestic aide allocated to laundry services three times a week, to receive laundry on delivery days. </w:t>
            </w:r>
          </w:p>
          <w:p w14:paraId="36182CFB" w14:textId="77777777" w:rsidR="00000000" w:rsidRPr="00BE00C7" w:rsidRDefault="00000000" w:rsidP="00BE00C7">
            <w:pPr>
              <w:pStyle w:val="OutcomeDescription"/>
              <w:spacing w:before="120" w:after="120"/>
              <w:rPr>
                <w:rFonts w:cs="Arial"/>
                <w:lang w:eastAsia="en-NZ"/>
              </w:rPr>
            </w:pPr>
          </w:p>
        </w:tc>
      </w:tr>
      <w:tr w:rsidR="002B2A03" w14:paraId="3B8F53F1" w14:textId="77777777">
        <w:tc>
          <w:tcPr>
            <w:tcW w:w="0" w:type="auto"/>
          </w:tcPr>
          <w:p w14:paraId="1D083B6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FDCE0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7A6EDE8" w14:textId="77777777" w:rsidR="00000000" w:rsidRPr="00BE00C7" w:rsidRDefault="00000000" w:rsidP="00BE00C7">
            <w:pPr>
              <w:pStyle w:val="OutcomeDescription"/>
              <w:spacing w:before="120" w:after="120"/>
              <w:rPr>
                <w:rFonts w:cs="Arial"/>
                <w:lang w:eastAsia="en-NZ"/>
              </w:rPr>
            </w:pPr>
          </w:p>
        </w:tc>
        <w:tc>
          <w:tcPr>
            <w:tcW w:w="0" w:type="auto"/>
          </w:tcPr>
          <w:p w14:paraId="1A01B4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6517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is committed to a restraint-free environment for its facilities and Parkside Village is restraint free. A registered nurse is the restraint coordinator and described the focus on maintaining a restraint-free environment. Restraint was understood by the staff interviewed, who </w:t>
            </w:r>
            <w:r w:rsidRPr="00BE00C7">
              <w:rPr>
                <w:rFonts w:cs="Arial"/>
                <w:lang w:eastAsia="en-NZ"/>
              </w:rPr>
              <w:lastRenderedPageBreak/>
              <w:t>also described their commitment to maintaining a restraint-free environment and therefore upholding the dignity of the residents under their care.</w:t>
            </w:r>
          </w:p>
          <w:p w14:paraId="173941B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is a defined role and provide support and oversight, should restraint be required in the future. There is a job description that outlines the role. Staff have been trained in the least restrictive practice, safe restraint practice, alternative cultural-specific interventions, and de-escalation techniques as part of the ongoing education programme. Restraint protocols are covered in the orientation programme of the facility and restraint use is identified as part of the quality programme and reported at all levels of the organisation.</w:t>
            </w:r>
          </w:p>
          <w:p w14:paraId="0A9A2E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and the multidisciplinary team would be responsible for the approval of the use of restraints, should this be required in the future; there are clear lines of accountability. For any decision to use or not use restraint, there is a process to involve the resident, their enduring power of attorney and/or family/whānau, as part of the decision-making process.</w:t>
            </w:r>
          </w:p>
          <w:p w14:paraId="5805C9E0"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is an agenda item of clinical and quality meetings. The outcomes of the discussions are reported to the governance body. Any changes to policies, guidelines, education, and processes are implemented if indicated.</w:t>
            </w:r>
          </w:p>
          <w:p w14:paraId="711E898A" w14:textId="77777777" w:rsidR="00000000" w:rsidRPr="00BE00C7" w:rsidRDefault="00000000" w:rsidP="00BE00C7">
            <w:pPr>
              <w:pStyle w:val="OutcomeDescription"/>
              <w:spacing w:before="120" w:after="120"/>
              <w:rPr>
                <w:rFonts w:cs="Arial"/>
                <w:lang w:eastAsia="en-NZ"/>
              </w:rPr>
            </w:pPr>
          </w:p>
        </w:tc>
      </w:tr>
    </w:tbl>
    <w:p w14:paraId="0494121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F874936" w14:textId="77777777" w:rsidR="00000000" w:rsidRDefault="00000000">
      <w:pPr>
        <w:pStyle w:val="Heading1"/>
        <w:rPr>
          <w:rFonts w:cs="Arial"/>
        </w:rPr>
      </w:pPr>
      <w:r>
        <w:rPr>
          <w:rFonts w:cs="Arial"/>
        </w:rPr>
        <w:lastRenderedPageBreak/>
        <w:t>Specific results for criterion where corrective actions are required</w:t>
      </w:r>
    </w:p>
    <w:p w14:paraId="4410675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458924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4F161D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B2A03" w14:paraId="17A426AF" w14:textId="77777777">
        <w:tc>
          <w:tcPr>
            <w:tcW w:w="0" w:type="auto"/>
          </w:tcPr>
          <w:p w14:paraId="0B42AAE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F6CC03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A170A78" w14:textId="77777777" w:rsidR="00000000" w:rsidRDefault="00000000">
      <w:pPr>
        <w:pStyle w:val="Heading1"/>
        <w:rPr>
          <w:rFonts w:cs="Arial"/>
        </w:rPr>
      </w:pPr>
      <w:r>
        <w:rPr>
          <w:rFonts w:cs="Arial"/>
        </w:rPr>
        <w:lastRenderedPageBreak/>
        <w:t>Specific results for criterion where a continuous improvement has been recorded</w:t>
      </w:r>
    </w:p>
    <w:p w14:paraId="40F98D8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0B7A8D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0D54BC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1327"/>
        <w:gridCol w:w="4521"/>
        <w:gridCol w:w="4580"/>
      </w:tblGrid>
      <w:tr w:rsidR="002B2A03" w14:paraId="045F529D" w14:textId="77777777">
        <w:tc>
          <w:tcPr>
            <w:tcW w:w="0" w:type="auto"/>
          </w:tcPr>
          <w:p w14:paraId="71C8B49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BC4A72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4E245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AD40F6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2B2A03" w14:paraId="38D559E9" w14:textId="77777777">
        <w:tc>
          <w:tcPr>
            <w:tcW w:w="0" w:type="auto"/>
          </w:tcPr>
          <w:p w14:paraId="57F10EF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5.4.4</w:t>
            </w:r>
          </w:p>
          <w:p w14:paraId="55D8F92C"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7FDBEA31"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32B458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provides an environment that encourages quality initiatives where a review process including analysis and reporting of findings occurred. There is evidence of action taken based on findings of high rates of prevalence in UTIs in Parkside Village (total of 39) in 2023 that resulted in improvements made to service provision through staff training, improvement in staff knowledge in recognising symptoms with early intervention and implementation of a registered nurse led back to basics` project. The interventions resulted in positive changes made to resident’s wellbeing. </w:t>
            </w:r>
          </w:p>
          <w:p w14:paraId="4BB42CB2" w14:textId="77777777" w:rsidR="00000000" w:rsidRPr="00BE00C7" w:rsidRDefault="00000000" w:rsidP="00BE00C7">
            <w:pPr>
              <w:pStyle w:val="OutcomeDescription"/>
              <w:spacing w:before="120" w:after="120"/>
              <w:rPr>
                <w:rFonts w:cs="Arial"/>
                <w:lang w:eastAsia="en-NZ"/>
              </w:rPr>
            </w:pPr>
          </w:p>
        </w:tc>
        <w:tc>
          <w:tcPr>
            <w:tcW w:w="0" w:type="auto"/>
          </w:tcPr>
          <w:p w14:paraId="5A238EB7" w14:textId="77777777" w:rsidR="00000000" w:rsidRPr="00BE00C7" w:rsidRDefault="00000000" w:rsidP="00BE00C7">
            <w:pPr>
              <w:pStyle w:val="OutcomeDescription"/>
              <w:spacing w:before="120" w:after="120"/>
              <w:rPr>
                <w:rFonts w:cs="Arial"/>
                <w:lang w:eastAsia="en-NZ"/>
              </w:rPr>
            </w:pPr>
            <w:r w:rsidRPr="00BE00C7">
              <w:rPr>
                <w:rFonts w:cs="Arial"/>
                <w:lang w:eastAsia="en-NZ"/>
              </w:rPr>
              <w:t>As such, from February 2024 saw the continued focus with an improved new developed Metlifecare clinical decision-making tool called` Clinical pathway for suspected urinary tract infections without catheter` designed to identify, diagnose, and treat UTIs more effectively and reduce inappropriate use of antibiotics. All RNs and caregivers completed training in recognising symptoms related to UTI. Thirty staff completed a pre and post knowledge questionnaire related to their knowledge about signs and symptoms of elderly UTI presentation in the elderly.</w:t>
            </w:r>
          </w:p>
          <w:p w14:paraId="2126EB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led a `back to basics` project where caregivers are supported with practices that help prevent UTIs in the elderly which include good perineal care, hand hygiene, regular toileting, monitoring to prevent constipation and monitoring to increase fluid intake. </w:t>
            </w:r>
          </w:p>
          <w:p w14:paraId="6D23AD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increased focus on a combination of fluid and `food like` products saw the effective management of constipation that usually contributed to voiding anomalies that contribute to UTIs. A bowel monitoring chart review was undertaken on the electronic resident system in conjunction with the three-month medication chart review and evidence an overall improvement in constipation and a decrease in the use of aperients. </w:t>
            </w:r>
          </w:p>
          <w:p w14:paraId="0CBDA1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overall UTIs decreased in 2024 with 46 percent (from 39 to 21) with a further decrease of 24 percent (from 21 to 15) in 2025. The total reduction in UTIs from 2023 (prior to the project) to 15 (post project implementation) reduced by 62 percent.</w:t>
            </w:r>
          </w:p>
          <w:p w14:paraId="61DCE2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RNs confirmed the decision has changed their clinical practice that resulted in early detection of UTIs, appropriate early interventions and judicial prescribing of antimicrobials, as evidenced in the electronic resident system. The caregivers confirmed they are equipped to identify suspected UTIs and implement approved strategies. The feedback from the residents (when able) and family/whānau collated from the six-monthly multidisciplinary meetings identified satisfaction with the care and improvements in symptom management. The last satisfaction survey in July 2025 evidence satisfaction related to medical support is 92 percent and individual resident support satisfaction is 85 percent.</w:t>
            </w:r>
          </w:p>
          <w:p w14:paraId="71DFFC0C" w14:textId="77777777" w:rsidR="00000000" w:rsidRPr="00BE00C7" w:rsidRDefault="00000000" w:rsidP="00BE00C7">
            <w:pPr>
              <w:pStyle w:val="OutcomeDescription"/>
              <w:spacing w:before="120" w:after="120"/>
              <w:rPr>
                <w:rFonts w:cs="Arial"/>
                <w:lang w:eastAsia="en-NZ"/>
              </w:rPr>
            </w:pPr>
          </w:p>
        </w:tc>
      </w:tr>
    </w:tbl>
    <w:p w14:paraId="6BE71BB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C1FB7D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95966" w14:textId="77777777" w:rsidR="00870F31" w:rsidRDefault="00870F31">
      <w:r>
        <w:separator/>
      </w:r>
    </w:p>
  </w:endnote>
  <w:endnote w:type="continuationSeparator" w:id="0">
    <w:p w14:paraId="229C3DAE" w14:textId="77777777" w:rsidR="00870F31" w:rsidRDefault="0087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4165" w14:textId="77777777" w:rsidR="00000000" w:rsidRDefault="00000000">
    <w:pPr>
      <w:pStyle w:val="Footer"/>
    </w:pPr>
  </w:p>
  <w:p w14:paraId="2650963C" w14:textId="77777777" w:rsidR="00000000" w:rsidRDefault="00000000"/>
  <w:p w14:paraId="7CA04DC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B26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Parkside Village</w:t>
    </w:r>
    <w:bookmarkEnd w:id="59"/>
    <w:r>
      <w:rPr>
        <w:rFonts w:cs="Arial"/>
        <w:sz w:val="16"/>
        <w:szCs w:val="20"/>
      </w:rPr>
      <w:tab/>
      <w:t xml:space="preserve">Date of Audit: </w:t>
    </w:r>
    <w:bookmarkStart w:id="60" w:name="AuditStartDate1"/>
    <w:r>
      <w:rPr>
        <w:rFonts w:cs="Arial"/>
        <w:sz w:val="16"/>
        <w:szCs w:val="20"/>
      </w:rPr>
      <w:t>18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7453A5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D6C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3E6D" w14:textId="77777777" w:rsidR="00870F31" w:rsidRDefault="00870F31">
      <w:r>
        <w:separator/>
      </w:r>
    </w:p>
  </w:footnote>
  <w:footnote w:type="continuationSeparator" w:id="0">
    <w:p w14:paraId="3C98EA4E" w14:textId="77777777" w:rsidR="00870F31" w:rsidRDefault="00870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B533" w14:textId="77777777" w:rsidR="00000000" w:rsidRDefault="00000000">
    <w:pPr>
      <w:pStyle w:val="Header"/>
    </w:pPr>
  </w:p>
  <w:p w14:paraId="4E353E64"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A531A" w14:textId="77777777" w:rsidR="00000000" w:rsidRDefault="00000000">
    <w:pPr>
      <w:pStyle w:val="Header"/>
    </w:pPr>
  </w:p>
  <w:p w14:paraId="6E52D5C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CFE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8A66F6A">
      <w:start w:val="1"/>
      <w:numFmt w:val="decimal"/>
      <w:lvlText w:val="%1."/>
      <w:lvlJc w:val="left"/>
      <w:pPr>
        <w:ind w:left="360" w:hanging="360"/>
      </w:pPr>
    </w:lvl>
    <w:lvl w:ilvl="1" w:tplc="9C2AA446" w:tentative="1">
      <w:start w:val="1"/>
      <w:numFmt w:val="lowerLetter"/>
      <w:lvlText w:val="%2."/>
      <w:lvlJc w:val="left"/>
      <w:pPr>
        <w:ind w:left="1080" w:hanging="360"/>
      </w:pPr>
    </w:lvl>
    <w:lvl w:ilvl="2" w:tplc="8ACC51C4" w:tentative="1">
      <w:start w:val="1"/>
      <w:numFmt w:val="lowerRoman"/>
      <w:lvlText w:val="%3."/>
      <w:lvlJc w:val="right"/>
      <w:pPr>
        <w:ind w:left="1800" w:hanging="180"/>
      </w:pPr>
    </w:lvl>
    <w:lvl w:ilvl="3" w:tplc="5F688E36" w:tentative="1">
      <w:start w:val="1"/>
      <w:numFmt w:val="decimal"/>
      <w:lvlText w:val="%4."/>
      <w:lvlJc w:val="left"/>
      <w:pPr>
        <w:ind w:left="2520" w:hanging="360"/>
      </w:pPr>
    </w:lvl>
    <w:lvl w:ilvl="4" w:tplc="30967442" w:tentative="1">
      <w:start w:val="1"/>
      <w:numFmt w:val="lowerLetter"/>
      <w:lvlText w:val="%5."/>
      <w:lvlJc w:val="left"/>
      <w:pPr>
        <w:ind w:left="3240" w:hanging="360"/>
      </w:pPr>
    </w:lvl>
    <w:lvl w:ilvl="5" w:tplc="841A6DCE" w:tentative="1">
      <w:start w:val="1"/>
      <w:numFmt w:val="lowerRoman"/>
      <w:lvlText w:val="%6."/>
      <w:lvlJc w:val="right"/>
      <w:pPr>
        <w:ind w:left="3960" w:hanging="180"/>
      </w:pPr>
    </w:lvl>
    <w:lvl w:ilvl="6" w:tplc="1910E630" w:tentative="1">
      <w:start w:val="1"/>
      <w:numFmt w:val="decimal"/>
      <w:lvlText w:val="%7."/>
      <w:lvlJc w:val="left"/>
      <w:pPr>
        <w:ind w:left="4680" w:hanging="360"/>
      </w:pPr>
    </w:lvl>
    <w:lvl w:ilvl="7" w:tplc="5A8AEEBC" w:tentative="1">
      <w:start w:val="1"/>
      <w:numFmt w:val="lowerLetter"/>
      <w:lvlText w:val="%8."/>
      <w:lvlJc w:val="left"/>
      <w:pPr>
        <w:ind w:left="5400" w:hanging="360"/>
      </w:pPr>
    </w:lvl>
    <w:lvl w:ilvl="8" w:tplc="4800ACE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AE6614A">
      <w:start w:val="1"/>
      <w:numFmt w:val="bullet"/>
      <w:lvlText w:val=""/>
      <w:lvlJc w:val="left"/>
      <w:pPr>
        <w:ind w:left="720" w:hanging="360"/>
      </w:pPr>
      <w:rPr>
        <w:rFonts w:ascii="Symbol" w:hAnsi="Symbol" w:hint="default"/>
      </w:rPr>
    </w:lvl>
    <w:lvl w:ilvl="1" w:tplc="ECF86E62" w:tentative="1">
      <w:start w:val="1"/>
      <w:numFmt w:val="bullet"/>
      <w:lvlText w:val="o"/>
      <w:lvlJc w:val="left"/>
      <w:pPr>
        <w:ind w:left="1440" w:hanging="360"/>
      </w:pPr>
      <w:rPr>
        <w:rFonts w:ascii="Courier New" w:hAnsi="Courier New" w:cs="Courier New" w:hint="default"/>
      </w:rPr>
    </w:lvl>
    <w:lvl w:ilvl="2" w:tplc="475CE50E" w:tentative="1">
      <w:start w:val="1"/>
      <w:numFmt w:val="bullet"/>
      <w:lvlText w:val=""/>
      <w:lvlJc w:val="left"/>
      <w:pPr>
        <w:ind w:left="2160" w:hanging="360"/>
      </w:pPr>
      <w:rPr>
        <w:rFonts w:ascii="Wingdings" w:hAnsi="Wingdings" w:hint="default"/>
      </w:rPr>
    </w:lvl>
    <w:lvl w:ilvl="3" w:tplc="E3F48B7C" w:tentative="1">
      <w:start w:val="1"/>
      <w:numFmt w:val="bullet"/>
      <w:lvlText w:val=""/>
      <w:lvlJc w:val="left"/>
      <w:pPr>
        <w:ind w:left="2880" w:hanging="360"/>
      </w:pPr>
      <w:rPr>
        <w:rFonts w:ascii="Symbol" w:hAnsi="Symbol" w:hint="default"/>
      </w:rPr>
    </w:lvl>
    <w:lvl w:ilvl="4" w:tplc="A2AE6F6C" w:tentative="1">
      <w:start w:val="1"/>
      <w:numFmt w:val="bullet"/>
      <w:lvlText w:val="o"/>
      <w:lvlJc w:val="left"/>
      <w:pPr>
        <w:ind w:left="3600" w:hanging="360"/>
      </w:pPr>
      <w:rPr>
        <w:rFonts w:ascii="Courier New" w:hAnsi="Courier New" w:cs="Courier New" w:hint="default"/>
      </w:rPr>
    </w:lvl>
    <w:lvl w:ilvl="5" w:tplc="123AB006" w:tentative="1">
      <w:start w:val="1"/>
      <w:numFmt w:val="bullet"/>
      <w:lvlText w:val=""/>
      <w:lvlJc w:val="left"/>
      <w:pPr>
        <w:ind w:left="4320" w:hanging="360"/>
      </w:pPr>
      <w:rPr>
        <w:rFonts w:ascii="Wingdings" w:hAnsi="Wingdings" w:hint="default"/>
      </w:rPr>
    </w:lvl>
    <w:lvl w:ilvl="6" w:tplc="5114F384" w:tentative="1">
      <w:start w:val="1"/>
      <w:numFmt w:val="bullet"/>
      <w:lvlText w:val=""/>
      <w:lvlJc w:val="left"/>
      <w:pPr>
        <w:ind w:left="5040" w:hanging="360"/>
      </w:pPr>
      <w:rPr>
        <w:rFonts w:ascii="Symbol" w:hAnsi="Symbol" w:hint="default"/>
      </w:rPr>
    </w:lvl>
    <w:lvl w:ilvl="7" w:tplc="B22E4110" w:tentative="1">
      <w:start w:val="1"/>
      <w:numFmt w:val="bullet"/>
      <w:lvlText w:val="o"/>
      <w:lvlJc w:val="left"/>
      <w:pPr>
        <w:ind w:left="5760" w:hanging="360"/>
      </w:pPr>
      <w:rPr>
        <w:rFonts w:ascii="Courier New" w:hAnsi="Courier New" w:cs="Courier New" w:hint="default"/>
      </w:rPr>
    </w:lvl>
    <w:lvl w:ilvl="8" w:tplc="68202F16" w:tentative="1">
      <w:start w:val="1"/>
      <w:numFmt w:val="bullet"/>
      <w:lvlText w:val=""/>
      <w:lvlJc w:val="left"/>
      <w:pPr>
        <w:ind w:left="6480" w:hanging="360"/>
      </w:pPr>
      <w:rPr>
        <w:rFonts w:ascii="Wingdings" w:hAnsi="Wingdings" w:hint="default"/>
      </w:rPr>
    </w:lvl>
  </w:abstractNum>
  <w:num w:numId="1" w16cid:durableId="103308186">
    <w:abstractNumId w:val="1"/>
  </w:num>
  <w:num w:numId="2" w16cid:durableId="60758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03"/>
    <w:rsid w:val="00014446"/>
    <w:rsid w:val="000E48C3"/>
    <w:rsid w:val="002B2A03"/>
    <w:rsid w:val="00870F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B8F6"/>
  <w15:docId w15:val="{E60DC041-2693-4061-B8C5-EF77C071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15088</Words>
  <Characters>86006</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2026-02-25T19:30:00Z</dcterms:created>
  <dcterms:modified xsi:type="dcterms:W3CDTF">2026-02-25T19:30:00Z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