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AE3C" w14:textId="77777777" w:rsidR="00000000" w:rsidRDefault="00000000">
      <w:pPr>
        <w:pStyle w:val="Heading1"/>
        <w:rPr>
          <w:rFonts w:cs="Arial"/>
        </w:rPr>
      </w:pPr>
      <w:bookmarkStart w:id="0" w:name="PRMS_RIName"/>
      <w:r>
        <w:rPr>
          <w:rFonts w:cs="Arial"/>
        </w:rPr>
        <w:t>St Patricks Limited - St Patricks Home and Hospital</w:t>
      </w:r>
      <w:bookmarkEnd w:id="0"/>
    </w:p>
    <w:p w14:paraId="00291BCD" w14:textId="77777777" w:rsidR="00000000" w:rsidRDefault="00000000">
      <w:pPr>
        <w:pStyle w:val="Heading2"/>
        <w:spacing w:after="0"/>
        <w:rPr>
          <w:rFonts w:cs="Arial"/>
        </w:rPr>
      </w:pPr>
      <w:r>
        <w:rPr>
          <w:rFonts w:cs="Arial"/>
        </w:rPr>
        <w:t>Introduction</w:t>
      </w:r>
    </w:p>
    <w:p w14:paraId="441C3F7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ABAC63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A521C7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B1BEDA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97A193A" w14:textId="77777777" w:rsidR="00000000" w:rsidRDefault="00000000">
      <w:pPr>
        <w:spacing w:before="240" w:after="240"/>
        <w:rPr>
          <w:rFonts w:cs="Arial"/>
          <w:lang w:eastAsia="en-NZ"/>
        </w:rPr>
      </w:pPr>
      <w:r>
        <w:rPr>
          <w:rFonts w:cs="Arial"/>
          <w:lang w:eastAsia="en-NZ"/>
        </w:rPr>
        <w:t>The specifics of this audit included:</w:t>
      </w:r>
    </w:p>
    <w:p w14:paraId="5C26D15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83AAA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Patricks Limited</w:t>
      </w:r>
      <w:bookmarkEnd w:id="4"/>
    </w:p>
    <w:p w14:paraId="5D99FF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Patricks Home and Hospital</w:t>
      </w:r>
      <w:bookmarkEnd w:id="5"/>
    </w:p>
    <w:p w14:paraId="77EC92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9CB2A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1230715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7789ED8" w14:textId="77777777" w:rsidR="00B72F4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1972C3E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2D30D73" w14:textId="77777777" w:rsidR="00000000" w:rsidRDefault="00000000">
      <w:pPr>
        <w:pStyle w:val="Heading1"/>
        <w:rPr>
          <w:rFonts w:cs="Arial"/>
        </w:rPr>
      </w:pPr>
      <w:r>
        <w:rPr>
          <w:rFonts w:cs="Arial"/>
        </w:rPr>
        <w:lastRenderedPageBreak/>
        <w:t>Executive summary of the audit</w:t>
      </w:r>
    </w:p>
    <w:p w14:paraId="55B7D103" w14:textId="77777777" w:rsidR="00000000" w:rsidRDefault="00000000">
      <w:pPr>
        <w:pStyle w:val="Heading2"/>
        <w:rPr>
          <w:rFonts w:cs="Arial"/>
        </w:rPr>
      </w:pPr>
      <w:r>
        <w:rPr>
          <w:rFonts w:cs="Arial"/>
        </w:rPr>
        <w:t>Introduction</w:t>
      </w:r>
    </w:p>
    <w:p w14:paraId="07DA50F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5FA96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9F3BB2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607B7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E6EA2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5549A9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BC7FE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83BF5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C4F970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72F4F" w14:paraId="3B3CDD5B" w14:textId="77777777">
        <w:trPr>
          <w:cantSplit/>
          <w:tblHeader/>
        </w:trPr>
        <w:tc>
          <w:tcPr>
            <w:tcW w:w="1260" w:type="dxa"/>
            <w:tcBorders>
              <w:bottom w:val="single" w:sz="4" w:space="0" w:color="000000"/>
            </w:tcBorders>
            <w:vAlign w:val="center"/>
          </w:tcPr>
          <w:p w14:paraId="046223F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40B741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67114F0" w14:textId="77777777" w:rsidR="00000000" w:rsidRDefault="00000000">
            <w:pPr>
              <w:spacing w:before="60" w:after="60"/>
              <w:rPr>
                <w:rFonts w:eastAsia="Calibri"/>
                <w:b/>
                <w:szCs w:val="24"/>
              </w:rPr>
            </w:pPr>
            <w:r>
              <w:rPr>
                <w:rFonts w:eastAsia="Calibri"/>
                <w:b/>
                <w:szCs w:val="24"/>
              </w:rPr>
              <w:t>Definition</w:t>
            </w:r>
          </w:p>
        </w:tc>
      </w:tr>
      <w:tr w:rsidR="00B72F4F" w14:paraId="20373740" w14:textId="77777777">
        <w:trPr>
          <w:cantSplit/>
          <w:trHeight w:val="964"/>
        </w:trPr>
        <w:tc>
          <w:tcPr>
            <w:tcW w:w="1260" w:type="dxa"/>
            <w:tcBorders>
              <w:bottom w:val="single" w:sz="4" w:space="0" w:color="000000"/>
            </w:tcBorders>
            <w:shd w:val="clear" w:color="0066FF" w:fill="0000FF"/>
            <w:vAlign w:val="center"/>
          </w:tcPr>
          <w:p w14:paraId="2904BF4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62BE59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D14561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72F4F" w14:paraId="2C02FD81" w14:textId="77777777">
        <w:trPr>
          <w:cantSplit/>
          <w:trHeight w:val="964"/>
        </w:trPr>
        <w:tc>
          <w:tcPr>
            <w:tcW w:w="1260" w:type="dxa"/>
            <w:shd w:val="clear" w:color="33CC33" w:fill="00FF00"/>
            <w:vAlign w:val="center"/>
          </w:tcPr>
          <w:p w14:paraId="014F6101" w14:textId="77777777" w:rsidR="00000000" w:rsidRDefault="00000000">
            <w:pPr>
              <w:spacing w:before="60" w:after="60"/>
              <w:rPr>
                <w:rFonts w:eastAsia="Calibri"/>
                <w:szCs w:val="24"/>
              </w:rPr>
            </w:pPr>
          </w:p>
        </w:tc>
        <w:tc>
          <w:tcPr>
            <w:tcW w:w="7095" w:type="dxa"/>
            <w:vAlign w:val="center"/>
          </w:tcPr>
          <w:p w14:paraId="5D49132B"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7712E1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72F4F" w14:paraId="435FE321" w14:textId="77777777">
        <w:trPr>
          <w:cantSplit/>
          <w:trHeight w:val="964"/>
        </w:trPr>
        <w:tc>
          <w:tcPr>
            <w:tcW w:w="1260" w:type="dxa"/>
            <w:tcBorders>
              <w:bottom w:val="single" w:sz="4" w:space="0" w:color="000000"/>
            </w:tcBorders>
            <w:shd w:val="clear" w:color="auto" w:fill="FFFF00"/>
            <w:vAlign w:val="center"/>
          </w:tcPr>
          <w:p w14:paraId="09C41815" w14:textId="77777777" w:rsidR="00000000" w:rsidRDefault="00000000">
            <w:pPr>
              <w:spacing w:before="60" w:after="60"/>
              <w:rPr>
                <w:rFonts w:eastAsia="Calibri"/>
                <w:szCs w:val="24"/>
              </w:rPr>
            </w:pPr>
          </w:p>
        </w:tc>
        <w:tc>
          <w:tcPr>
            <w:tcW w:w="7095" w:type="dxa"/>
            <w:vAlign w:val="center"/>
          </w:tcPr>
          <w:p w14:paraId="42DC856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0F71EA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72F4F" w14:paraId="4FA50BC9" w14:textId="77777777">
        <w:trPr>
          <w:cantSplit/>
          <w:trHeight w:val="964"/>
        </w:trPr>
        <w:tc>
          <w:tcPr>
            <w:tcW w:w="1260" w:type="dxa"/>
            <w:tcBorders>
              <w:bottom w:val="single" w:sz="4" w:space="0" w:color="000000"/>
            </w:tcBorders>
            <w:shd w:val="clear" w:color="auto" w:fill="FFC800"/>
            <w:vAlign w:val="center"/>
          </w:tcPr>
          <w:p w14:paraId="5099497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3A5652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B27599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72F4F" w14:paraId="3895331A" w14:textId="77777777">
        <w:trPr>
          <w:cantSplit/>
          <w:trHeight w:val="964"/>
        </w:trPr>
        <w:tc>
          <w:tcPr>
            <w:tcW w:w="1260" w:type="dxa"/>
            <w:shd w:val="clear" w:color="auto" w:fill="FF0000"/>
            <w:vAlign w:val="center"/>
          </w:tcPr>
          <w:p w14:paraId="09C2099F" w14:textId="77777777" w:rsidR="00000000" w:rsidRDefault="00000000">
            <w:pPr>
              <w:spacing w:before="60" w:after="60"/>
              <w:rPr>
                <w:rFonts w:eastAsia="Calibri"/>
                <w:szCs w:val="24"/>
              </w:rPr>
            </w:pPr>
          </w:p>
        </w:tc>
        <w:tc>
          <w:tcPr>
            <w:tcW w:w="7095" w:type="dxa"/>
            <w:vAlign w:val="center"/>
          </w:tcPr>
          <w:p w14:paraId="73F7C5F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3719CB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ED64F80" w14:textId="77777777" w:rsidR="00000000" w:rsidRDefault="00000000">
      <w:pPr>
        <w:pStyle w:val="Heading2"/>
        <w:spacing w:after="0"/>
        <w:rPr>
          <w:rFonts w:cs="Arial"/>
        </w:rPr>
      </w:pPr>
      <w:r>
        <w:rPr>
          <w:rFonts w:cs="Arial"/>
        </w:rPr>
        <w:t>General overview of the audit</w:t>
      </w:r>
    </w:p>
    <w:p w14:paraId="0EB4C04A" w14:textId="77777777" w:rsidR="00000000" w:rsidRDefault="00000000">
      <w:pPr>
        <w:spacing w:before="240" w:line="276" w:lineRule="auto"/>
        <w:rPr>
          <w:rFonts w:eastAsia="Calibri"/>
        </w:rPr>
      </w:pPr>
      <w:bookmarkStart w:id="13" w:name="GeneralOverview"/>
      <w:r w:rsidRPr="00A4268A">
        <w:rPr>
          <w:rFonts w:eastAsia="Calibri"/>
        </w:rPr>
        <w:t xml:space="preserve">St Patrick’s Home and Hospital provide hospital (medical and geriatric) and rest home level of care for up to 60 residents. There were 57 residents on the days of the audit. </w:t>
      </w:r>
    </w:p>
    <w:p w14:paraId="474181BE" w14:textId="77777777" w:rsidR="00B72F4F" w:rsidRPr="00A4268A" w:rsidRDefault="00000000">
      <w:pPr>
        <w:spacing w:before="240" w:line="276" w:lineRule="auto"/>
        <w:rPr>
          <w:rFonts w:eastAsia="Calibri"/>
        </w:rPr>
      </w:pPr>
      <w:r w:rsidRPr="00A4268A">
        <w:rPr>
          <w:rFonts w:eastAsia="Calibri"/>
        </w:rPr>
        <w:t>The service is governed and managed by a three-member Board of Directors. Operational oversight is provided by a facility manager and a clinical manager, both of whom are directors, with executive oversight from the chief executive officer, who is also a director. The management team is supported by registered nurses and care staff to deliver service provision.</w:t>
      </w:r>
    </w:p>
    <w:p w14:paraId="371B2BF8" w14:textId="77777777" w:rsidR="00B72F4F"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287289AF" w14:textId="77777777" w:rsidR="00B72F4F"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4D18C814" w14:textId="77777777" w:rsidR="00B72F4F" w:rsidRPr="00A4268A" w:rsidRDefault="00B72F4F">
      <w:pPr>
        <w:spacing w:before="240" w:line="276" w:lineRule="auto"/>
        <w:rPr>
          <w:rFonts w:eastAsia="Calibri"/>
        </w:rPr>
      </w:pPr>
    </w:p>
    <w:p w14:paraId="4AC0885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7A7CA8EC" w14:textId="77777777" w:rsidTr="00A4268A">
        <w:trPr>
          <w:cantSplit/>
        </w:trPr>
        <w:tc>
          <w:tcPr>
            <w:tcW w:w="10206" w:type="dxa"/>
            <w:vAlign w:val="center"/>
          </w:tcPr>
          <w:p w14:paraId="573C8DE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1DF97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F83CC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7412D8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B6962DE" w14:textId="77777777" w:rsidR="00000000" w:rsidRDefault="00000000">
      <w:pPr>
        <w:spacing w:before="240" w:line="276" w:lineRule="auto"/>
        <w:rPr>
          <w:rFonts w:eastAsia="Calibri"/>
        </w:rPr>
      </w:pPr>
      <w:bookmarkStart w:id="16" w:name="ConsumerRights"/>
      <w:r w:rsidRPr="00A4268A">
        <w:rPr>
          <w:rFonts w:eastAsia="Calibri"/>
        </w:rPr>
        <w:t xml:space="preserve">St Patricks Home and Hospital provide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35029F50" w14:textId="77777777" w:rsidR="00B72F4F"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40A69089" w14:textId="77777777" w:rsidR="00B72F4F"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5103B4C1" w14:textId="77777777" w:rsidR="00B72F4F" w:rsidRPr="00A4268A" w:rsidRDefault="00B72F4F">
      <w:pPr>
        <w:spacing w:before="240" w:line="276" w:lineRule="auto"/>
        <w:rPr>
          <w:rFonts w:eastAsia="Calibri"/>
        </w:rPr>
      </w:pPr>
    </w:p>
    <w:p w14:paraId="163A39E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4904EC7F" w14:textId="77777777" w:rsidTr="00A4268A">
        <w:trPr>
          <w:cantSplit/>
        </w:trPr>
        <w:tc>
          <w:tcPr>
            <w:tcW w:w="10206" w:type="dxa"/>
            <w:vAlign w:val="center"/>
          </w:tcPr>
          <w:p w14:paraId="52CC8BC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C1ABC2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B1688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CF1A6F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3D9F41F9" w14:textId="77777777" w:rsidR="00B72F4F"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21B2CB0B" w14:textId="77777777" w:rsidR="00B72F4F"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632439D0" w14:textId="77777777" w:rsidR="00B72F4F" w:rsidRPr="00A4268A" w:rsidRDefault="00B72F4F">
      <w:pPr>
        <w:spacing w:before="240" w:line="276" w:lineRule="auto"/>
        <w:rPr>
          <w:rFonts w:eastAsia="Calibri"/>
        </w:rPr>
      </w:pPr>
    </w:p>
    <w:p w14:paraId="7FCAD21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394C9A2C" w14:textId="77777777" w:rsidTr="00A4268A">
        <w:trPr>
          <w:cantSplit/>
        </w:trPr>
        <w:tc>
          <w:tcPr>
            <w:tcW w:w="10206" w:type="dxa"/>
            <w:vAlign w:val="center"/>
          </w:tcPr>
          <w:p w14:paraId="22EA2A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C62A85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E1176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AC3613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 level of care required. The nursing team is responsible for the assessment, development, and evaluation of care plans. Care plans are individualised and based on the residents’ assessed needs and routines. Interventions are documented and evaluated.</w:t>
      </w:r>
    </w:p>
    <w:p w14:paraId="4474CBDA" w14:textId="77777777" w:rsidR="00B72F4F"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 every three months. Staff involved in medication administration are assessed as competent to do so.</w:t>
      </w:r>
    </w:p>
    <w:p w14:paraId="4FBD3A5E" w14:textId="77777777" w:rsidR="00B72F4F" w:rsidRPr="00A4268A" w:rsidRDefault="00000000"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29750FA0" w14:textId="77777777" w:rsidR="00B72F4F"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AE5410C" w14:textId="77777777" w:rsidR="00B72F4F" w:rsidRPr="00A4268A" w:rsidRDefault="00B72F4F" w:rsidP="00621629">
      <w:pPr>
        <w:spacing w:before="240" w:line="276" w:lineRule="auto"/>
        <w:rPr>
          <w:rFonts w:eastAsia="Calibri"/>
        </w:rPr>
      </w:pPr>
    </w:p>
    <w:p w14:paraId="17FD2D9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6F0F6610" w14:textId="77777777" w:rsidTr="00A4268A">
        <w:trPr>
          <w:cantSplit/>
        </w:trPr>
        <w:tc>
          <w:tcPr>
            <w:tcW w:w="10206" w:type="dxa"/>
            <w:vAlign w:val="center"/>
          </w:tcPr>
          <w:p w14:paraId="66CBF2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20D66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CE293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CCB5A2A"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604EDBE4" w14:textId="77777777" w:rsidR="00B72F4F" w:rsidRPr="00A4268A" w:rsidRDefault="00B72F4F">
      <w:pPr>
        <w:spacing w:before="240" w:line="276" w:lineRule="auto"/>
        <w:rPr>
          <w:rFonts w:eastAsia="Calibri"/>
        </w:rPr>
      </w:pPr>
    </w:p>
    <w:p w14:paraId="4C56A37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11DE2D2A" w14:textId="77777777" w:rsidTr="00A4268A">
        <w:trPr>
          <w:cantSplit/>
        </w:trPr>
        <w:tc>
          <w:tcPr>
            <w:tcW w:w="10206" w:type="dxa"/>
            <w:vAlign w:val="center"/>
          </w:tcPr>
          <w:p w14:paraId="32CA5D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872041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912D0B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3776393"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clinical manager coordinates the programme.</w:t>
      </w:r>
    </w:p>
    <w:p w14:paraId="6633C489" w14:textId="77777777" w:rsidR="00B72F4F"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6B079635" w14:textId="77777777" w:rsidR="00B72F4F"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Ministry of Health guidelines.</w:t>
      </w:r>
    </w:p>
    <w:bookmarkEnd w:id="28"/>
    <w:p w14:paraId="1D1A5250" w14:textId="77777777" w:rsidR="00B72F4F" w:rsidRPr="00A4268A" w:rsidRDefault="00B72F4F">
      <w:pPr>
        <w:spacing w:before="240" w:line="276" w:lineRule="auto"/>
        <w:rPr>
          <w:rFonts w:eastAsia="Calibri"/>
        </w:rPr>
      </w:pPr>
    </w:p>
    <w:p w14:paraId="15D47FA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2F4F" w14:paraId="39131474" w14:textId="77777777" w:rsidTr="00A4268A">
        <w:trPr>
          <w:cantSplit/>
        </w:trPr>
        <w:tc>
          <w:tcPr>
            <w:tcW w:w="10206" w:type="dxa"/>
            <w:vAlign w:val="center"/>
          </w:tcPr>
          <w:p w14:paraId="143149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CAC5C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12BE1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C048467" w14:textId="77777777" w:rsidR="00000000" w:rsidRDefault="00000000">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are no restraints in use at the service.</w:t>
      </w:r>
    </w:p>
    <w:bookmarkEnd w:id="31"/>
    <w:p w14:paraId="44582A3A" w14:textId="77777777" w:rsidR="00B72F4F" w:rsidRPr="00A4268A" w:rsidRDefault="00B72F4F">
      <w:pPr>
        <w:spacing w:before="240" w:line="276" w:lineRule="auto"/>
        <w:rPr>
          <w:rFonts w:eastAsia="Calibri"/>
        </w:rPr>
      </w:pPr>
    </w:p>
    <w:p w14:paraId="0558BF80" w14:textId="77777777" w:rsidR="00000000" w:rsidRDefault="00000000" w:rsidP="000E6E02">
      <w:pPr>
        <w:pStyle w:val="Heading2"/>
        <w:spacing w:before="0"/>
        <w:rPr>
          <w:rFonts w:cs="Arial"/>
        </w:rPr>
      </w:pPr>
      <w:r>
        <w:rPr>
          <w:rFonts w:cs="Arial"/>
        </w:rPr>
        <w:lastRenderedPageBreak/>
        <w:t>Summary of attainment</w:t>
      </w:r>
    </w:p>
    <w:p w14:paraId="38B74F7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2F4F" w14:paraId="0EBEC5E0" w14:textId="77777777">
        <w:tc>
          <w:tcPr>
            <w:tcW w:w="1384" w:type="dxa"/>
            <w:vAlign w:val="center"/>
          </w:tcPr>
          <w:p w14:paraId="6B706A6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AE2FDB" w14:textId="77777777" w:rsidR="00000000" w:rsidRDefault="00000000">
            <w:pPr>
              <w:keepNext/>
              <w:spacing w:before="60" w:after="60"/>
              <w:jc w:val="center"/>
              <w:rPr>
                <w:rFonts w:cs="Arial"/>
                <w:b/>
                <w:sz w:val="20"/>
                <w:szCs w:val="20"/>
              </w:rPr>
            </w:pPr>
            <w:r>
              <w:rPr>
                <w:rFonts w:cs="Arial"/>
                <w:b/>
                <w:sz w:val="20"/>
                <w:szCs w:val="20"/>
              </w:rPr>
              <w:t>Continuous Improvement</w:t>
            </w:r>
          </w:p>
          <w:p w14:paraId="7F6EC0F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6ECDC54" w14:textId="77777777" w:rsidR="00000000" w:rsidRDefault="00000000">
            <w:pPr>
              <w:keepNext/>
              <w:spacing w:before="60" w:after="60"/>
              <w:jc w:val="center"/>
              <w:rPr>
                <w:rFonts w:cs="Arial"/>
                <w:b/>
                <w:sz w:val="20"/>
                <w:szCs w:val="20"/>
              </w:rPr>
            </w:pPr>
            <w:r>
              <w:rPr>
                <w:rFonts w:cs="Arial"/>
                <w:b/>
                <w:sz w:val="20"/>
                <w:szCs w:val="20"/>
              </w:rPr>
              <w:t>Fully Attained</w:t>
            </w:r>
          </w:p>
          <w:p w14:paraId="57CD693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E4B4A7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975648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9E045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18E55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A22A70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6F67E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2F1DC0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9249C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E25970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3200724" w14:textId="77777777" w:rsidR="00000000" w:rsidRDefault="00000000">
            <w:pPr>
              <w:keepNext/>
              <w:spacing w:before="60" w:after="60"/>
              <w:jc w:val="center"/>
              <w:rPr>
                <w:rFonts w:cs="Arial"/>
                <w:b/>
                <w:sz w:val="20"/>
                <w:szCs w:val="20"/>
              </w:rPr>
            </w:pPr>
            <w:r>
              <w:rPr>
                <w:rFonts w:cs="Arial"/>
                <w:b/>
                <w:sz w:val="20"/>
                <w:szCs w:val="20"/>
              </w:rPr>
              <w:t>(PA Critical)</w:t>
            </w:r>
          </w:p>
        </w:tc>
      </w:tr>
      <w:tr w:rsidR="00B72F4F" w14:paraId="0FC72A1F" w14:textId="77777777">
        <w:tc>
          <w:tcPr>
            <w:tcW w:w="1384" w:type="dxa"/>
            <w:vAlign w:val="center"/>
          </w:tcPr>
          <w:p w14:paraId="47B9D50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2E3F4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3EDA3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24746A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6D5AB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53D07B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15E32B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CCE05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72F4F" w14:paraId="3962A6BC" w14:textId="77777777">
        <w:tc>
          <w:tcPr>
            <w:tcW w:w="1384" w:type="dxa"/>
            <w:vAlign w:val="center"/>
          </w:tcPr>
          <w:p w14:paraId="66A7A9C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929DC5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5F6B84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508E20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0D4C72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DE98A2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36693C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3F02F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8A359A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2F4F" w14:paraId="70DD9F16" w14:textId="77777777">
        <w:tc>
          <w:tcPr>
            <w:tcW w:w="1384" w:type="dxa"/>
            <w:vAlign w:val="center"/>
          </w:tcPr>
          <w:p w14:paraId="4DB44AD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8A70F4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C01674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CE45594" w14:textId="77777777" w:rsidR="00000000" w:rsidRDefault="00000000">
            <w:pPr>
              <w:keepNext/>
              <w:spacing w:before="60" w:after="60"/>
              <w:jc w:val="center"/>
              <w:rPr>
                <w:rFonts w:cs="Arial"/>
                <w:b/>
                <w:sz w:val="20"/>
                <w:szCs w:val="20"/>
              </w:rPr>
            </w:pPr>
            <w:r>
              <w:rPr>
                <w:rFonts w:cs="Arial"/>
                <w:b/>
                <w:sz w:val="20"/>
                <w:szCs w:val="20"/>
              </w:rPr>
              <w:t>Unattained Low Risk</w:t>
            </w:r>
          </w:p>
          <w:p w14:paraId="1EB3E47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6513B17" w14:textId="77777777" w:rsidR="00000000" w:rsidRDefault="00000000">
            <w:pPr>
              <w:keepNext/>
              <w:spacing w:before="60" w:after="60"/>
              <w:jc w:val="center"/>
              <w:rPr>
                <w:rFonts w:cs="Arial"/>
                <w:b/>
                <w:sz w:val="20"/>
                <w:szCs w:val="20"/>
              </w:rPr>
            </w:pPr>
            <w:r>
              <w:rPr>
                <w:rFonts w:cs="Arial"/>
                <w:b/>
                <w:sz w:val="20"/>
                <w:szCs w:val="20"/>
              </w:rPr>
              <w:t>Unattained Moderate Risk</w:t>
            </w:r>
          </w:p>
          <w:p w14:paraId="2554DD9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3C5A3A0" w14:textId="77777777" w:rsidR="00000000" w:rsidRDefault="00000000">
            <w:pPr>
              <w:keepNext/>
              <w:spacing w:before="60" w:after="60"/>
              <w:jc w:val="center"/>
              <w:rPr>
                <w:rFonts w:cs="Arial"/>
                <w:b/>
                <w:sz w:val="20"/>
                <w:szCs w:val="20"/>
              </w:rPr>
            </w:pPr>
            <w:r>
              <w:rPr>
                <w:rFonts w:cs="Arial"/>
                <w:b/>
                <w:sz w:val="20"/>
                <w:szCs w:val="20"/>
              </w:rPr>
              <w:t>Unattained High Risk</w:t>
            </w:r>
          </w:p>
          <w:p w14:paraId="10230CB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BAA946E" w14:textId="77777777" w:rsidR="00000000" w:rsidRDefault="00000000">
            <w:pPr>
              <w:keepNext/>
              <w:spacing w:before="60" w:after="60"/>
              <w:jc w:val="center"/>
              <w:rPr>
                <w:rFonts w:cs="Arial"/>
                <w:b/>
                <w:sz w:val="20"/>
                <w:szCs w:val="20"/>
              </w:rPr>
            </w:pPr>
            <w:r>
              <w:rPr>
                <w:rFonts w:cs="Arial"/>
                <w:b/>
                <w:sz w:val="20"/>
                <w:szCs w:val="20"/>
              </w:rPr>
              <w:t>Unattained Critical Risk</w:t>
            </w:r>
          </w:p>
          <w:p w14:paraId="4A0D074B" w14:textId="77777777" w:rsidR="00000000" w:rsidRDefault="00000000">
            <w:pPr>
              <w:keepNext/>
              <w:spacing w:before="60" w:after="60"/>
              <w:jc w:val="center"/>
              <w:rPr>
                <w:rFonts w:cs="Arial"/>
                <w:b/>
                <w:sz w:val="20"/>
                <w:szCs w:val="20"/>
              </w:rPr>
            </w:pPr>
            <w:r>
              <w:rPr>
                <w:rFonts w:cs="Arial"/>
                <w:b/>
                <w:sz w:val="20"/>
                <w:szCs w:val="20"/>
              </w:rPr>
              <w:t>(UA Critical)</w:t>
            </w:r>
          </w:p>
        </w:tc>
      </w:tr>
      <w:tr w:rsidR="00B72F4F" w14:paraId="6118B31F" w14:textId="77777777">
        <w:tc>
          <w:tcPr>
            <w:tcW w:w="1384" w:type="dxa"/>
            <w:vAlign w:val="center"/>
          </w:tcPr>
          <w:p w14:paraId="012CFCD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5EC82A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5DCDA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A7B52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DD23B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B0AE3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72F4F" w14:paraId="46BBA92B" w14:textId="77777777">
        <w:tc>
          <w:tcPr>
            <w:tcW w:w="1384" w:type="dxa"/>
            <w:vAlign w:val="center"/>
          </w:tcPr>
          <w:p w14:paraId="0B9C941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0EAECF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F9062D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2CC00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CCF91E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21E129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855C04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BF653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59B235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A755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366"/>
        <w:gridCol w:w="7041"/>
      </w:tblGrid>
      <w:tr w:rsidR="00B72F4F" w14:paraId="430AA5C5" w14:textId="77777777">
        <w:tc>
          <w:tcPr>
            <w:tcW w:w="0" w:type="auto"/>
          </w:tcPr>
          <w:p w14:paraId="1D93CF8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8E16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0356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72F4F" w14:paraId="6FED6E0A" w14:textId="77777777">
        <w:tc>
          <w:tcPr>
            <w:tcW w:w="0" w:type="auto"/>
          </w:tcPr>
          <w:p w14:paraId="0A8642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BA82FE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424931" w14:textId="77777777" w:rsidR="00000000" w:rsidRPr="00BE00C7" w:rsidRDefault="00000000" w:rsidP="00BE00C7">
            <w:pPr>
              <w:pStyle w:val="OutcomeDescription"/>
              <w:spacing w:before="120" w:after="120"/>
              <w:rPr>
                <w:rFonts w:cs="Arial"/>
                <w:lang w:eastAsia="en-NZ"/>
              </w:rPr>
            </w:pPr>
          </w:p>
        </w:tc>
        <w:tc>
          <w:tcPr>
            <w:tcW w:w="0" w:type="auto"/>
          </w:tcPr>
          <w:p w14:paraId="2FFED7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96C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Patrick's Home and Hospital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59F15F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policies, procedures and processes to embed and enact Te Tiriti o Waitangi in all aspects of its work. The facility manager (FM) and the clinical manager (CM) reported that there were no residents who identified as Māori. The service primarily caters for the Chinese population.</w:t>
            </w:r>
          </w:p>
          <w:p w14:paraId="1BFB8536"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(the FM, CM, chief executive officer (CEO), and staff (four healthcare assistants (HCAs), one registered nurse (RN), administrator/receptionist, and a cook), confirmed that the facility delivers a service that is focused on the health, wellbeing, and cultural needs of its residents.</w:t>
            </w:r>
          </w:p>
          <w:p w14:paraId="1B323379" w14:textId="77777777" w:rsidR="00000000" w:rsidRPr="00BE00C7" w:rsidRDefault="00000000" w:rsidP="00BE00C7">
            <w:pPr>
              <w:pStyle w:val="OutcomeDescription"/>
              <w:spacing w:before="120" w:after="120"/>
              <w:rPr>
                <w:rFonts w:cs="Arial"/>
                <w:lang w:eastAsia="en-NZ"/>
              </w:rPr>
            </w:pPr>
          </w:p>
        </w:tc>
      </w:tr>
      <w:tr w:rsidR="00B72F4F" w14:paraId="6ABD3198" w14:textId="77777777">
        <w:tc>
          <w:tcPr>
            <w:tcW w:w="0" w:type="auto"/>
          </w:tcPr>
          <w:p w14:paraId="02A361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0E447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94414A" w14:textId="77777777" w:rsidR="00000000" w:rsidRPr="00BE00C7" w:rsidRDefault="00000000" w:rsidP="00BE00C7">
            <w:pPr>
              <w:pStyle w:val="OutcomeDescription"/>
              <w:spacing w:before="120" w:after="120"/>
              <w:rPr>
                <w:rFonts w:cs="Arial"/>
                <w:lang w:eastAsia="en-NZ"/>
              </w:rPr>
            </w:pPr>
          </w:p>
        </w:tc>
        <w:tc>
          <w:tcPr>
            <w:tcW w:w="0" w:type="auto"/>
          </w:tcPr>
          <w:p w14:paraId="3299A2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0C3F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is the basis of the St Patrick’s Home and Hospital Health policy and procedure. The aim is to uphold the principles of Pacific people by acknowledge respectful relationships, valuing families </w:t>
            </w:r>
            <w:r w:rsidRPr="00BE00C7">
              <w:rPr>
                <w:rFonts w:cs="Arial"/>
                <w:lang w:eastAsia="en-NZ"/>
              </w:rPr>
              <w:lastRenderedPageBreak/>
              <w:t>and provide high quality healthcare. The service had no residents who identify as Pasifika. There are currently Pacific staff employed. The staff interviewed highlighted the importance of understanding and supporting each other’s culture.</w:t>
            </w:r>
          </w:p>
          <w:p w14:paraId="2FE47730" w14:textId="77777777" w:rsidR="00000000" w:rsidRPr="00BE00C7" w:rsidRDefault="00000000" w:rsidP="00BE00C7">
            <w:pPr>
              <w:pStyle w:val="OutcomeDescription"/>
              <w:spacing w:before="120" w:after="120"/>
              <w:rPr>
                <w:rFonts w:cs="Arial"/>
                <w:lang w:eastAsia="en-NZ"/>
              </w:rPr>
            </w:pPr>
          </w:p>
        </w:tc>
      </w:tr>
      <w:tr w:rsidR="00B72F4F" w14:paraId="206142D3" w14:textId="77777777">
        <w:tc>
          <w:tcPr>
            <w:tcW w:w="0" w:type="auto"/>
          </w:tcPr>
          <w:p w14:paraId="772487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F61FB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059B18" w14:textId="77777777" w:rsidR="00000000" w:rsidRPr="00BE00C7" w:rsidRDefault="00000000" w:rsidP="00BE00C7">
            <w:pPr>
              <w:pStyle w:val="OutcomeDescription"/>
              <w:spacing w:before="120" w:after="120"/>
              <w:rPr>
                <w:rFonts w:cs="Arial"/>
                <w:lang w:eastAsia="en-NZ"/>
              </w:rPr>
            </w:pPr>
          </w:p>
        </w:tc>
        <w:tc>
          <w:tcPr>
            <w:tcW w:w="0" w:type="auto"/>
          </w:tcPr>
          <w:p w14:paraId="5B1BED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7A707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Five family/whānau, (two hospital, three rest home) and four residents (two rest home and two hospital) reported being made aware of the Code and the Nationwide Health and Disability Advocacy Service, and confirmed they were provided with opportunities to discuss and clarify their rights.</w:t>
            </w:r>
          </w:p>
          <w:p w14:paraId="4938BAC0" w14:textId="77777777" w:rsidR="00000000" w:rsidRPr="00BE00C7" w:rsidRDefault="00000000" w:rsidP="00BE00C7">
            <w:pPr>
              <w:pStyle w:val="OutcomeDescription"/>
              <w:spacing w:before="120" w:after="120"/>
              <w:rPr>
                <w:rFonts w:cs="Arial"/>
                <w:lang w:eastAsia="en-NZ"/>
              </w:rPr>
            </w:pPr>
          </w:p>
        </w:tc>
      </w:tr>
      <w:tr w:rsidR="00B72F4F" w14:paraId="36F7D20A" w14:textId="77777777">
        <w:tc>
          <w:tcPr>
            <w:tcW w:w="0" w:type="auto"/>
          </w:tcPr>
          <w:p w14:paraId="4E4D61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9AD1A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0D63A2F" w14:textId="77777777" w:rsidR="00000000" w:rsidRPr="00BE00C7" w:rsidRDefault="00000000" w:rsidP="00BE00C7">
            <w:pPr>
              <w:pStyle w:val="OutcomeDescription"/>
              <w:spacing w:before="120" w:after="120"/>
              <w:rPr>
                <w:rFonts w:cs="Arial"/>
                <w:lang w:eastAsia="en-NZ"/>
              </w:rPr>
            </w:pPr>
          </w:p>
        </w:tc>
        <w:tc>
          <w:tcPr>
            <w:tcW w:w="0" w:type="auto"/>
          </w:tcPr>
          <w:p w14:paraId="45830A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43DE4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79B33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CM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6ACC341B" w14:textId="77777777" w:rsidR="00000000" w:rsidRPr="00BE00C7" w:rsidRDefault="00000000" w:rsidP="00BE00C7">
            <w:pPr>
              <w:pStyle w:val="OutcomeDescription"/>
              <w:spacing w:before="120" w:after="120"/>
              <w:rPr>
                <w:rFonts w:cs="Arial"/>
                <w:lang w:eastAsia="en-NZ"/>
              </w:rPr>
            </w:pPr>
          </w:p>
        </w:tc>
      </w:tr>
      <w:tr w:rsidR="00B72F4F" w14:paraId="0E6E5992" w14:textId="77777777">
        <w:tc>
          <w:tcPr>
            <w:tcW w:w="0" w:type="auto"/>
          </w:tcPr>
          <w:p w14:paraId="5C41A8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DECA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A095C71" w14:textId="77777777" w:rsidR="00000000" w:rsidRPr="00BE00C7" w:rsidRDefault="00000000" w:rsidP="00BE00C7">
            <w:pPr>
              <w:pStyle w:val="OutcomeDescription"/>
              <w:spacing w:before="120" w:after="120"/>
              <w:rPr>
                <w:rFonts w:cs="Arial"/>
                <w:lang w:eastAsia="en-NZ"/>
              </w:rPr>
            </w:pPr>
          </w:p>
        </w:tc>
        <w:tc>
          <w:tcPr>
            <w:tcW w:w="0" w:type="auto"/>
          </w:tcPr>
          <w:p w14:paraId="342C42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09A894"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w:t>
            </w:r>
          </w:p>
          <w:p w14:paraId="0A94EDAA" w14:textId="77777777" w:rsidR="00000000" w:rsidRPr="00BE00C7" w:rsidRDefault="00000000" w:rsidP="00BE00C7">
            <w:pPr>
              <w:pStyle w:val="OutcomeDescription"/>
              <w:spacing w:before="120" w:after="120"/>
              <w:rPr>
                <w:rFonts w:cs="Arial"/>
                <w:lang w:eastAsia="en-NZ"/>
              </w:rPr>
            </w:pPr>
          </w:p>
        </w:tc>
      </w:tr>
      <w:tr w:rsidR="00B72F4F" w14:paraId="64C252B4" w14:textId="77777777">
        <w:tc>
          <w:tcPr>
            <w:tcW w:w="0" w:type="auto"/>
          </w:tcPr>
          <w:p w14:paraId="3A6EDC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9FEB5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904F16" w14:textId="77777777" w:rsidR="00000000" w:rsidRPr="00BE00C7" w:rsidRDefault="00000000" w:rsidP="00BE00C7">
            <w:pPr>
              <w:pStyle w:val="OutcomeDescription"/>
              <w:spacing w:before="120" w:after="120"/>
              <w:rPr>
                <w:rFonts w:cs="Arial"/>
                <w:lang w:eastAsia="en-NZ"/>
              </w:rPr>
            </w:pPr>
          </w:p>
        </w:tc>
        <w:tc>
          <w:tcPr>
            <w:tcW w:w="0" w:type="auto"/>
          </w:tcPr>
          <w:p w14:paraId="7A36D6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DE7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management policy and procedures were clearly documented to guide staff. The process complies with Right 10 of the Code of Rights, which is the right to complain, to be taken seriously, respected and to receive a timely response. The service maintains a complaints’ register. There were four complaints in 2025, and none in 2026 (year to date) since the previous audit. The FM reported that the complaint process timeframes are adhered to, and service improvement measures are implemented as required. Documentation, including follow-up letters and resolution, was completed and managed in accordance with guidelines set by the HDC. Discussions with residents and family/whānau confirmed that they are provided with information on the complaints process and remarked that any concerns or issues they had, were addressed promptly. The FM reported that any issues are discussed promptly with the residents before they escalate into complaints. Satisfaction and dissatisfaction outcomes of the complainant were documented.</w:t>
            </w:r>
          </w:p>
          <w:p w14:paraId="05BE4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is visible and available in </w:t>
            </w:r>
            <w:r w:rsidRPr="00BE00C7">
              <w:rPr>
                <w:rFonts w:cs="Arial"/>
                <w:lang w:eastAsia="en-NZ"/>
              </w:rPr>
              <w:lastRenderedPageBreak/>
              <w:t>te reo Māori and English. The residents and family/whānau spoken with expressed satisfaction with the complaint process. In the event of a complaint from a Māori resident or family/whānau member, the service would seek the assistance of an interpreter or cultural advisor if needed.</w:t>
            </w:r>
          </w:p>
          <w:p w14:paraId="7074BA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since the last audit.</w:t>
            </w:r>
          </w:p>
          <w:p w14:paraId="49232800" w14:textId="77777777" w:rsidR="00000000" w:rsidRPr="00BE00C7" w:rsidRDefault="00000000" w:rsidP="00BE00C7">
            <w:pPr>
              <w:pStyle w:val="OutcomeDescription"/>
              <w:spacing w:before="120" w:after="120"/>
              <w:rPr>
                <w:rFonts w:cs="Arial"/>
                <w:lang w:eastAsia="en-NZ"/>
              </w:rPr>
            </w:pPr>
          </w:p>
        </w:tc>
      </w:tr>
      <w:tr w:rsidR="00B72F4F" w14:paraId="47FA72D1" w14:textId="77777777">
        <w:tc>
          <w:tcPr>
            <w:tcW w:w="0" w:type="auto"/>
          </w:tcPr>
          <w:p w14:paraId="0DEBA0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3888B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66D3D7" w14:textId="77777777" w:rsidR="00000000" w:rsidRPr="00BE00C7" w:rsidRDefault="00000000" w:rsidP="00BE00C7">
            <w:pPr>
              <w:pStyle w:val="OutcomeDescription"/>
              <w:spacing w:before="120" w:after="120"/>
              <w:rPr>
                <w:rFonts w:cs="Arial"/>
                <w:lang w:eastAsia="en-NZ"/>
              </w:rPr>
            </w:pPr>
          </w:p>
        </w:tc>
        <w:tc>
          <w:tcPr>
            <w:tcW w:w="0" w:type="auto"/>
          </w:tcPr>
          <w:p w14:paraId="2BD9BF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9BA1F2" w14:textId="77777777" w:rsidR="00000000" w:rsidRPr="00BE00C7" w:rsidRDefault="00000000" w:rsidP="00BE00C7">
            <w:pPr>
              <w:pStyle w:val="OutcomeDescription"/>
              <w:spacing w:before="120" w:after="120"/>
              <w:rPr>
                <w:rFonts w:cs="Arial"/>
                <w:lang w:eastAsia="en-NZ"/>
              </w:rPr>
            </w:pPr>
            <w:r w:rsidRPr="00BE00C7">
              <w:rPr>
                <w:rFonts w:cs="Arial"/>
                <w:lang w:eastAsia="en-NZ"/>
              </w:rPr>
              <w:t>St Patrick’s Home and Hospital is in Epsom, Auckland, and is certified to provide up to 60 beds across rest home and hospital levels of care. On the day of the audit, there were 57 residents in occupancy, comprising 13 rest home residents, including two long-term support – chronic health conditions (LTS-CHC), and one rest home resident was receiving respite care; and 44 hospital level of care residents, including one resident under accident compensation corporation (ACC) contract. All other residents were funded under the Aged-Related Residential Care (ARRC) agreement. The facility has nine double rooms; seven were occupied by two residents on the day of the audit.</w:t>
            </w:r>
          </w:p>
          <w:p w14:paraId="7CA0A7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governed and managed by a three-member Board of Directors. Operational oversight is provided by a facility manager and a clinical manager, both of whom are directors, with executive oversight from the chief executive officer, who is also a director and is responsible for maintenance issues. The management team is supported by registered nurses and care staff to deliver service provision.</w:t>
            </w:r>
          </w:p>
          <w:p w14:paraId="3A351A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business plan (2025-2026) in place, with clear goals to support their documented vision, mission, and values. The documentation describes both annual and long-term objectives, supported by associated operational plans. The objectives sighted were timeframed and included defined action steps, with regular reporting during management meetings. The FM reported that key performance indicators are reviewed quarterly. Meeting minutes evidenced discussion of objectives and progress against these. A quality and risk management plan is in place and is updated as required and at least annually. The management team reviews all aspects of the quality programme on an annual basis.</w:t>
            </w:r>
          </w:p>
          <w:p w14:paraId="224961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holds accountability for the delivery of high-quality services, including supporting the meaningful inclusion of Māori and Pasifika in recognition of Te Tiriti o Waitangi, and maintaining a focus on improving </w:t>
            </w:r>
            <w:r w:rsidRPr="00BE00C7">
              <w:rPr>
                <w:rFonts w:cs="Arial"/>
                <w:lang w:eastAsia="en-NZ"/>
              </w:rPr>
              <w:lastRenderedPageBreak/>
              <w:t>outcomes for Māori and Pasifika. Equity for Māori and Pasifika is addressed through policy documentation and is supported by promoting choice and control over supports, as well as the removal of barriers to accessing information, such as the provision of information in alternative languages for the HDC Code, complaints processes, and infection prevention and control. Local Māori organisations are consulted in relation to policy development and the provision of cultural advice. The documented goals included maintaining optimal occupancy levels and providing a supportive and culturally appropriate service environment for the Chinese community. The FM and CM were knowledgeable about relevant legislative and contractual requirements.</w:t>
            </w:r>
          </w:p>
          <w:p w14:paraId="74332A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and this includes the FM, CM and registered nurses.</w:t>
            </w:r>
          </w:p>
          <w:p w14:paraId="69ED198F" w14:textId="77777777" w:rsidR="00000000" w:rsidRPr="00BE00C7" w:rsidRDefault="00000000" w:rsidP="00BE00C7">
            <w:pPr>
              <w:pStyle w:val="OutcomeDescription"/>
              <w:spacing w:before="120" w:after="120"/>
              <w:rPr>
                <w:rFonts w:cs="Arial"/>
                <w:lang w:eastAsia="en-NZ"/>
              </w:rPr>
            </w:pPr>
          </w:p>
        </w:tc>
      </w:tr>
      <w:tr w:rsidR="00B72F4F" w14:paraId="4EDE8F1E" w14:textId="77777777">
        <w:tc>
          <w:tcPr>
            <w:tcW w:w="0" w:type="auto"/>
          </w:tcPr>
          <w:p w14:paraId="6E139D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17C25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B0F73D" w14:textId="77777777" w:rsidR="00000000" w:rsidRPr="00BE00C7" w:rsidRDefault="00000000" w:rsidP="00BE00C7">
            <w:pPr>
              <w:pStyle w:val="OutcomeDescription"/>
              <w:spacing w:before="120" w:after="120"/>
              <w:rPr>
                <w:rFonts w:cs="Arial"/>
                <w:lang w:eastAsia="en-NZ"/>
              </w:rPr>
            </w:pPr>
          </w:p>
        </w:tc>
        <w:tc>
          <w:tcPr>
            <w:tcW w:w="0" w:type="auto"/>
          </w:tcPr>
          <w:p w14:paraId="2A098B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4B7F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2A7671B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etc), quality data, health and safety, infection control/pandemic strategies, complaints received (if any), staffing, and education. Meeting minutes and quality data tables are available for staff review.</w:t>
            </w:r>
          </w:p>
          <w:p w14:paraId="1CF60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 satisfaction surveys completed in December 2025 indicated high levels of satisfaction across all domains, including complaints management, communication, nursing care, food, activities, and staff attitude. Improvements identified from the satisfaction survey around the advocacy procedures on admission and providing more fruits, puree, and </w:t>
            </w:r>
            <w:r w:rsidRPr="00BE00C7">
              <w:rPr>
                <w:rFonts w:cs="Arial"/>
                <w:lang w:eastAsia="en-NZ"/>
              </w:rPr>
              <w:lastRenderedPageBreak/>
              <w:t>yoghurt were taken into consideration, and corrective actions were implemented.</w:t>
            </w:r>
          </w:p>
          <w:p w14:paraId="265A6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along with associated policies and procedures, outlines identified internal and external risks and corresponding mitigation strategies in alignment with the National Adverse Event Reporting Policy. Management demonstrated knowledge of Severity Assessment Codes (SAC), including SAC 1 and SAC 2 reporting requirements. Discussions with the management team evidenced awareness of requirements to notify relevant authorities in relation to essential notifications. Essential notifications sighted included a Section 31 completed about a Covid-19 outbreak in June 2025.</w:t>
            </w:r>
          </w:p>
          <w:p w14:paraId="74731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is completed electronically, and an up-to-date hazard register was sighted. Health and safety policies are overseen by the health and safety committee. There are regular manual handling sessions for staff. Staff state that they are kept informed on health and safety. </w:t>
            </w:r>
          </w:p>
          <w:p w14:paraId="7E09F273"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w:t>
            </w:r>
          </w:p>
          <w:p w14:paraId="5EA72FB8" w14:textId="77777777" w:rsidR="00000000" w:rsidRPr="00BE00C7" w:rsidRDefault="00000000" w:rsidP="00BE00C7">
            <w:pPr>
              <w:pStyle w:val="OutcomeDescription"/>
              <w:spacing w:before="120" w:after="120"/>
              <w:rPr>
                <w:rFonts w:cs="Arial"/>
                <w:lang w:eastAsia="en-NZ"/>
              </w:rPr>
            </w:pPr>
          </w:p>
        </w:tc>
      </w:tr>
      <w:tr w:rsidR="00B72F4F" w14:paraId="533AA976" w14:textId="77777777">
        <w:tc>
          <w:tcPr>
            <w:tcW w:w="0" w:type="auto"/>
          </w:tcPr>
          <w:p w14:paraId="4B2553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20535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EBFBCA" w14:textId="77777777" w:rsidR="00000000" w:rsidRPr="00BE00C7" w:rsidRDefault="00000000" w:rsidP="00BE00C7">
            <w:pPr>
              <w:pStyle w:val="OutcomeDescription"/>
              <w:spacing w:before="120" w:after="120"/>
              <w:rPr>
                <w:rFonts w:cs="Arial"/>
                <w:lang w:eastAsia="en-NZ"/>
              </w:rPr>
            </w:pPr>
          </w:p>
        </w:tc>
        <w:tc>
          <w:tcPr>
            <w:tcW w:w="0" w:type="auto"/>
          </w:tcPr>
          <w:p w14:paraId="142743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5E44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58762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eight full-time registered nurses, including the FM, CM and all shifts are covered by the registered nurses. A </w:t>
            </w:r>
            <w:r w:rsidRPr="00BE00C7">
              <w:rPr>
                <w:rFonts w:cs="Arial"/>
                <w:lang w:eastAsia="en-NZ"/>
              </w:rPr>
              <w:lastRenderedPageBreak/>
              <w:t>significant number of staff members maintain current first-aid certificates, so there is always a first aider on site.</w:t>
            </w:r>
          </w:p>
          <w:p w14:paraId="474D6E53"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FM and CM reported that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moving and handling; medication; de-escalation; pain management; falls prevention and management; chemical training; syringe driver; bladder management; cultural safety; pad management; stroke and seizures; palliative care: safe food handling; advocacy; skin and wound management; abuse and neglect; first aid; fire evacuation; and restraint management.</w:t>
            </w:r>
          </w:p>
          <w:p w14:paraId="008E5294"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20 care staff employed. Sixteen have achieved NZQA qualification level four, two with level three, and one with level one. The management team reported that the model of care ensured that all residents are treated equitably.</w:t>
            </w:r>
          </w:p>
          <w:p w14:paraId="6F02A4DF"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537BE630" w14:textId="77777777" w:rsidR="00000000" w:rsidRPr="00BE00C7" w:rsidRDefault="00000000" w:rsidP="00BE00C7">
            <w:pPr>
              <w:pStyle w:val="OutcomeDescription"/>
              <w:spacing w:before="120" w:after="120"/>
              <w:rPr>
                <w:rFonts w:cs="Arial"/>
                <w:lang w:eastAsia="en-NZ"/>
              </w:rPr>
            </w:pPr>
          </w:p>
        </w:tc>
      </w:tr>
      <w:tr w:rsidR="00B72F4F" w14:paraId="75A5A748" w14:textId="77777777">
        <w:tc>
          <w:tcPr>
            <w:tcW w:w="0" w:type="auto"/>
          </w:tcPr>
          <w:p w14:paraId="0C83EE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62A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2FFA5DC9" w14:textId="77777777" w:rsidR="00000000" w:rsidRPr="00BE00C7" w:rsidRDefault="00000000" w:rsidP="00BE00C7">
            <w:pPr>
              <w:pStyle w:val="OutcomeDescription"/>
              <w:spacing w:before="120" w:after="120"/>
              <w:rPr>
                <w:rFonts w:cs="Arial"/>
                <w:lang w:eastAsia="en-NZ"/>
              </w:rPr>
            </w:pPr>
          </w:p>
        </w:tc>
        <w:tc>
          <w:tcPr>
            <w:tcW w:w="0" w:type="auto"/>
          </w:tcPr>
          <w:p w14:paraId="32ECBA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B673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787AD1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1AC590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are being consistently implemented. All staff records reviewed evidenced completed induction and orientation. A total of six staff files (clinical </w:t>
            </w:r>
            <w:r w:rsidRPr="00BE00C7">
              <w:rPr>
                <w:rFonts w:cs="Arial"/>
                <w:lang w:eastAsia="en-NZ"/>
              </w:rPr>
              <w:lastRenderedPageBreak/>
              <w:t>manager, a registered nurse, HCA, diversional therapist, cook, and a cleaner) were reviewed. Staff files included reference checks; police vetting checks; appraisals; competencies; individual training plans; professional qualifications; orientation; employment agreements; and position descriptions.</w:t>
            </w:r>
          </w:p>
          <w:p w14:paraId="2849F66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387EDB09" w14:textId="77777777" w:rsidR="00000000" w:rsidRPr="00BE00C7" w:rsidRDefault="00000000" w:rsidP="00BE00C7">
            <w:pPr>
              <w:pStyle w:val="OutcomeDescription"/>
              <w:spacing w:before="120" w:after="120"/>
              <w:rPr>
                <w:rFonts w:cs="Arial"/>
                <w:lang w:eastAsia="en-NZ"/>
              </w:rPr>
            </w:pPr>
          </w:p>
        </w:tc>
      </w:tr>
      <w:tr w:rsidR="00B72F4F" w14:paraId="69D14F8A" w14:textId="77777777">
        <w:tc>
          <w:tcPr>
            <w:tcW w:w="0" w:type="auto"/>
          </w:tcPr>
          <w:p w14:paraId="6F0F6C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DB48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6BBDA1" w14:textId="77777777" w:rsidR="00000000" w:rsidRPr="00BE00C7" w:rsidRDefault="00000000" w:rsidP="00BE00C7">
            <w:pPr>
              <w:pStyle w:val="OutcomeDescription"/>
              <w:spacing w:before="120" w:after="120"/>
              <w:rPr>
                <w:rFonts w:cs="Arial"/>
                <w:lang w:eastAsia="en-NZ"/>
              </w:rPr>
            </w:pPr>
          </w:p>
        </w:tc>
        <w:tc>
          <w:tcPr>
            <w:tcW w:w="0" w:type="auto"/>
          </w:tcPr>
          <w:p w14:paraId="0A56BD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AA1250"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five resident files indicated that initial assessments and care plans were resident-centred and completed in a timely manner. Of these, two residents required hospital-level care, including one resident under (ACC) contract; and three required rest home-level care, including one resident on LTS-CHC, and one on a respite contract. The service utilises assessment tools that consider resident’s lived experiences, cultural needs, values, and beliefs. Nursing care is provided by appropriately trained and skilled staff, including the nursing team and care staff.</w:t>
            </w:r>
          </w:p>
          <w:p w14:paraId="638D55E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and long-term care plans were reviewed following these reassessments. Cultural assessments were conducted by the nursing team in consultation with residents and their family/whānau. Long-term care plans were developed for each resident, with evaluations completed at least six-monthly. Resident, family/whānau, enduring power of attorney (EPOA), and general practitioner (GP) involvement is actively encouraged in the planning of care.</w:t>
            </w:r>
          </w:p>
          <w:p w14:paraId="4024C2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completes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resident-centred. The residents’ files sampled identified service integration with other members of the health team. Multidisciplinary team (MDT) meetings were completed six-monthly.</w:t>
            </w:r>
          </w:p>
          <w:p w14:paraId="5D4A5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and RN reported that sufficient and appropriate information is shared at each staff handover. Interviewed staff confirmed they receive daily </w:t>
            </w:r>
            <w:r w:rsidRPr="00BE00C7">
              <w:rPr>
                <w:rFonts w:cs="Arial"/>
                <w:lang w:eastAsia="en-NZ"/>
              </w:rPr>
              <w:lastRenderedPageBreak/>
              <w:t>updates regarding each resident’s condition. Progress notes are completed every shift and more frequently when there are changes in a resident’s condition.</w:t>
            </w:r>
          </w:p>
          <w:p w14:paraId="09378A4F"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to address temporary problems or significant changes in a resident’s condition, with interventions clearly outlined to guide staff. These plans are reviewed weekly, or more frequently if clinically indicated, based on assessed risk. If a condition persists beyond three weeks, the short-term plan is incorporated into the long-term care plan. Any changes in condition are reported to the CM or registered nurses, as evidenced in sampled records. Interviews also confirmed that residents and their family/whānau are kept informed and included in all updates.</w:t>
            </w:r>
          </w:p>
          <w:p w14:paraId="32C1B10C"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progress differed from expected outcomes, the service, in collaboration with the resident and/or family/whānau, responded by updating the care plan. Where a significant change in a resident’s condition occurred prior to the scheduled review, an interRAI reassessment was completed. A range of equipment and resources were available, appropriate to the levels of care provided and aligned with residents’ needs. Interviews with residents and family/whānau confirmed their active involvement in evaluating progress and any subsequent changes to care.</w:t>
            </w:r>
          </w:p>
          <w:p w14:paraId="4BB1E39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two pressure injuries at stage II. Wound management plans were implemented, with regular evaluations completed. The CM reported that wound nurse specialists attended to pressure injuries and chronic wounds as required.</w:t>
            </w:r>
          </w:p>
          <w:p w14:paraId="0275D81A"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were used to assess and monitor residents, including food and fluid balance charts, turning charts, weight charts, behaviour monitoring charts, neurological observation forms, blood glucose records, and bowel charts.</w:t>
            </w:r>
          </w:p>
          <w:p w14:paraId="13F64567" w14:textId="77777777" w:rsidR="00000000" w:rsidRPr="00BE00C7" w:rsidRDefault="00000000" w:rsidP="003B0CCD">
            <w:pPr>
              <w:pStyle w:val="OutcomeDescription"/>
              <w:spacing w:before="120" w:after="120"/>
              <w:rPr>
                <w:rFonts w:cs="Arial"/>
                <w:lang w:eastAsia="en-NZ"/>
              </w:rPr>
            </w:pPr>
          </w:p>
        </w:tc>
      </w:tr>
      <w:tr w:rsidR="00B72F4F" w14:paraId="06CDE7F1" w14:textId="77777777">
        <w:tc>
          <w:tcPr>
            <w:tcW w:w="0" w:type="auto"/>
          </w:tcPr>
          <w:p w14:paraId="1DE55A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2BFFE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1A8CC1E5" w14:textId="77777777" w:rsidR="00000000" w:rsidRPr="00BE00C7" w:rsidRDefault="00000000" w:rsidP="00BE00C7">
            <w:pPr>
              <w:pStyle w:val="OutcomeDescription"/>
              <w:spacing w:before="120" w:after="120"/>
              <w:rPr>
                <w:rFonts w:cs="Arial"/>
                <w:lang w:eastAsia="en-NZ"/>
              </w:rPr>
            </w:pPr>
          </w:p>
        </w:tc>
        <w:tc>
          <w:tcPr>
            <w:tcW w:w="0" w:type="auto"/>
          </w:tcPr>
          <w:p w14:paraId="24F73E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31B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Administration records were maintained. Medications are supplied to the facility from a contracted pharmacy. The GP completes three-monthly medication reviews. A total of 10 medication charts (six hospital resident charts, including one resident under (ACC) contract and four rest home residents, including one LTS-CHC, and one respite), were reviewed. Allergies were documented, and indications </w:t>
            </w:r>
            <w:r w:rsidRPr="00BE00C7">
              <w:rPr>
                <w:rFonts w:cs="Arial"/>
                <w:lang w:eastAsia="en-NZ"/>
              </w:rPr>
              <w:lastRenderedPageBreak/>
              <w:t>for use are noted for pro re nata (PRN) medications. Eye drops were dated on opening.</w:t>
            </w:r>
          </w:p>
          <w:p w14:paraId="59BF9AE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26A65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deviations from normal were reported and attended to promptly. Records were sighted. There was no food in the medication fridge.</w:t>
            </w:r>
          </w:p>
          <w:p w14:paraId="566E09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was observed administering medications safely and correctly. Medications were stored safely and securely in the trolleys, locked treatment rooms, and cupboards.</w:t>
            </w:r>
          </w:p>
          <w:p w14:paraId="565FA5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self-medication policy in place, and this was sighted. There were no residents self-administering medications. Appropriate processes were in place should this be required. There were no standing orders in use.</w:t>
            </w:r>
          </w:p>
          <w:p w14:paraId="2E517A4F" w14:textId="77777777" w:rsidR="00000000" w:rsidRPr="00BE00C7" w:rsidRDefault="00000000" w:rsidP="00BE00C7">
            <w:pPr>
              <w:pStyle w:val="OutcomeDescription"/>
              <w:spacing w:before="120" w:after="120"/>
              <w:rPr>
                <w:rFonts w:cs="Arial"/>
                <w:lang w:eastAsia="en-NZ"/>
              </w:rPr>
            </w:pPr>
          </w:p>
        </w:tc>
      </w:tr>
      <w:tr w:rsidR="00B72F4F" w14:paraId="1E3F3832" w14:textId="77777777">
        <w:tc>
          <w:tcPr>
            <w:tcW w:w="0" w:type="auto"/>
          </w:tcPr>
          <w:p w14:paraId="2447C7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C59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19E050" w14:textId="77777777" w:rsidR="00000000" w:rsidRPr="00BE00C7" w:rsidRDefault="00000000" w:rsidP="00BE00C7">
            <w:pPr>
              <w:pStyle w:val="OutcomeDescription"/>
              <w:spacing w:before="120" w:after="120"/>
              <w:rPr>
                <w:rFonts w:cs="Arial"/>
                <w:lang w:eastAsia="en-NZ"/>
              </w:rPr>
            </w:pPr>
          </w:p>
        </w:tc>
        <w:tc>
          <w:tcPr>
            <w:tcW w:w="0" w:type="auto"/>
          </w:tcPr>
          <w:p w14:paraId="66BF3F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F1BED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electronic record management system.</w:t>
            </w:r>
          </w:p>
          <w:p w14:paraId="42335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3 December 2026.</w:t>
            </w:r>
          </w:p>
          <w:p w14:paraId="472E7D3A"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indicated satisfaction with the food service.</w:t>
            </w:r>
          </w:p>
          <w:p w14:paraId="5D86FA5A" w14:textId="77777777" w:rsidR="00000000" w:rsidRPr="00BE00C7" w:rsidRDefault="00000000" w:rsidP="00BE00C7">
            <w:pPr>
              <w:pStyle w:val="OutcomeDescription"/>
              <w:spacing w:before="120" w:after="120"/>
              <w:rPr>
                <w:rFonts w:cs="Arial"/>
                <w:lang w:eastAsia="en-NZ"/>
              </w:rPr>
            </w:pPr>
          </w:p>
        </w:tc>
      </w:tr>
      <w:tr w:rsidR="00B72F4F" w14:paraId="5D2EA34F" w14:textId="77777777">
        <w:tc>
          <w:tcPr>
            <w:tcW w:w="0" w:type="auto"/>
          </w:tcPr>
          <w:p w14:paraId="7A5BA6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90BF8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4C88CE" w14:textId="77777777" w:rsidR="00000000" w:rsidRPr="00BE00C7" w:rsidRDefault="00000000" w:rsidP="00BE00C7">
            <w:pPr>
              <w:pStyle w:val="OutcomeDescription"/>
              <w:spacing w:before="120" w:after="120"/>
              <w:rPr>
                <w:rFonts w:cs="Arial"/>
                <w:lang w:eastAsia="en-NZ"/>
              </w:rPr>
            </w:pPr>
          </w:p>
        </w:tc>
        <w:tc>
          <w:tcPr>
            <w:tcW w:w="0" w:type="auto"/>
          </w:tcPr>
          <w:p w14:paraId="522919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C08B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included risk mitigation and current residents’ needs. The discharge plan sampled confirmed that, where required, a referral to other allied health providers to ensure the safety of the resident was completed. The FM, CM, </w:t>
            </w:r>
            <w:r w:rsidRPr="00BE00C7">
              <w:rPr>
                <w:rFonts w:cs="Arial"/>
                <w:lang w:eastAsia="en-NZ"/>
              </w:rPr>
              <w:lastRenderedPageBreak/>
              <w:t>and RN reported that all transfers and discharges are developed in collaboration with the resident and family/whānau and the accepting service provider.</w:t>
            </w:r>
          </w:p>
          <w:p w14:paraId="2EA3CE50" w14:textId="77777777" w:rsidR="00000000" w:rsidRPr="00BE00C7" w:rsidRDefault="00000000" w:rsidP="00BE00C7">
            <w:pPr>
              <w:pStyle w:val="OutcomeDescription"/>
              <w:spacing w:before="120" w:after="120"/>
              <w:rPr>
                <w:rFonts w:cs="Arial"/>
                <w:lang w:eastAsia="en-NZ"/>
              </w:rPr>
            </w:pPr>
          </w:p>
        </w:tc>
      </w:tr>
      <w:tr w:rsidR="00B72F4F" w14:paraId="51248394" w14:textId="77777777">
        <w:tc>
          <w:tcPr>
            <w:tcW w:w="0" w:type="auto"/>
          </w:tcPr>
          <w:p w14:paraId="613BFC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544E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67FA28" w14:textId="77777777" w:rsidR="00000000" w:rsidRPr="00BE00C7" w:rsidRDefault="00000000" w:rsidP="00BE00C7">
            <w:pPr>
              <w:pStyle w:val="OutcomeDescription"/>
              <w:spacing w:before="120" w:after="120"/>
              <w:rPr>
                <w:rFonts w:cs="Arial"/>
                <w:lang w:eastAsia="en-NZ"/>
              </w:rPr>
            </w:pPr>
          </w:p>
        </w:tc>
        <w:tc>
          <w:tcPr>
            <w:tcW w:w="0" w:type="auto"/>
          </w:tcPr>
          <w:p w14:paraId="62F4B9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6C36D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was a current building warrant of fitness expiring 28 September 2026. Calibration of equipment, and electrical checks were completed, and an inventory was maintained. Hot water temperatures are monitored monthly, with the maintenance team addressing any issues as they arise. There is also a contracted electrician if required.</w:t>
            </w:r>
          </w:p>
          <w:p w14:paraId="0F8087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50C92F32" w14:textId="77777777" w:rsidR="00000000" w:rsidRPr="00BE00C7" w:rsidRDefault="00000000" w:rsidP="00BE00C7">
            <w:pPr>
              <w:pStyle w:val="OutcomeDescription"/>
              <w:spacing w:before="120" w:after="120"/>
              <w:rPr>
                <w:rFonts w:cs="Arial"/>
                <w:lang w:eastAsia="en-NZ"/>
              </w:rPr>
            </w:pPr>
          </w:p>
        </w:tc>
      </w:tr>
      <w:tr w:rsidR="00B72F4F" w14:paraId="514154A2" w14:textId="77777777">
        <w:tc>
          <w:tcPr>
            <w:tcW w:w="0" w:type="auto"/>
          </w:tcPr>
          <w:p w14:paraId="00D8AC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362F9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715DD21" w14:textId="77777777" w:rsidR="00000000" w:rsidRPr="00BE00C7" w:rsidRDefault="00000000" w:rsidP="00BE00C7">
            <w:pPr>
              <w:pStyle w:val="OutcomeDescription"/>
              <w:spacing w:before="120" w:after="120"/>
              <w:rPr>
                <w:rFonts w:cs="Arial"/>
                <w:lang w:eastAsia="en-NZ"/>
              </w:rPr>
            </w:pPr>
          </w:p>
        </w:tc>
        <w:tc>
          <w:tcPr>
            <w:tcW w:w="0" w:type="auto"/>
          </w:tcPr>
          <w:p w14:paraId="7CD10E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14B6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developed with input from external IPC specialists. The programme has been approved by the management in consultation with the nursing team, and is integrated with the quality improvement programme. The IPC programme is current, and associated policies have been developed by suitably qualified personnel in compliance with relevant legislation and accepted best practice. Policies reflect the requirements of infection prevention and control standards and include appropriate referencing.</w:t>
            </w:r>
          </w:p>
          <w:p w14:paraId="64A76C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IPC education during orientation and through ongoing annual online training. Resident education is provided both individually and in group settings, such as residents’ meetings, covering topics including hand hygiene </w:t>
            </w:r>
            <w:r w:rsidRPr="00BE00C7">
              <w:rPr>
                <w:rFonts w:cs="Arial"/>
                <w:lang w:eastAsia="en-NZ"/>
              </w:rPr>
              <w:lastRenderedPageBreak/>
              <w:t>and advice to remain in their rooms when unwell. Interviews with residents and family/whānau confirmed understanding of these practices.</w:t>
            </w:r>
          </w:p>
          <w:p w14:paraId="05F2DE28" w14:textId="77777777" w:rsidR="00000000" w:rsidRPr="00BE00C7" w:rsidRDefault="00000000" w:rsidP="00BE00C7">
            <w:pPr>
              <w:pStyle w:val="OutcomeDescription"/>
              <w:spacing w:before="120" w:after="120"/>
              <w:rPr>
                <w:rFonts w:cs="Arial"/>
                <w:lang w:eastAsia="en-NZ"/>
              </w:rPr>
            </w:pPr>
          </w:p>
        </w:tc>
      </w:tr>
      <w:tr w:rsidR="00B72F4F" w14:paraId="0223A462" w14:textId="77777777">
        <w:tc>
          <w:tcPr>
            <w:tcW w:w="0" w:type="auto"/>
          </w:tcPr>
          <w:p w14:paraId="5258BC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13983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6716A85" w14:textId="77777777" w:rsidR="00000000" w:rsidRPr="00BE00C7" w:rsidRDefault="00000000" w:rsidP="00BE00C7">
            <w:pPr>
              <w:pStyle w:val="OutcomeDescription"/>
              <w:spacing w:before="120" w:after="120"/>
              <w:rPr>
                <w:rFonts w:cs="Arial"/>
                <w:lang w:eastAsia="en-NZ"/>
              </w:rPr>
            </w:pPr>
          </w:p>
        </w:tc>
        <w:tc>
          <w:tcPr>
            <w:tcW w:w="0" w:type="auto"/>
          </w:tcPr>
          <w:p w14:paraId="48101A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DE2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directors.</w:t>
            </w:r>
          </w:p>
          <w:p w14:paraId="611A79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4FB39E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 and other sister facilities.</w:t>
            </w:r>
          </w:p>
          <w:p w14:paraId="38C268C8"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infections reported included a COVID-19 outbreak in June 2025, and 20 residents were affected. This was managed in accordance with the pandemic plan, and all required notifications were completed appropriately.</w:t>
            </w:r>
          </w:p>
          <w:p w14:paraId="153A8C43" w14:textId="77777777" w:rsidR="00000000" w:rsidRPr="00BE00C7" w:rsidRDefault="00000000" w:rsidP="00BE00C7">
            <w:pPr>
              <w:pStyle w:val="OutcomeDescription"/>
              <w:spacing w:before="120" w:after="120"/>
              <w:rPr>
                <w:rFonts w:cs="Arial"/>
                <w:lang w:eastAsia="en-NZ"/>
              </w:rPr>
            </w:pPr>
          </w:p>
        </w:tc>
      </w:tr>
      <w:tr w:rsidR="00B72F4F" w14:paraId="56ACA6A3" w14:textId="77777777">
        <w:tc>
          <w:tcPr>
            <w:tcW w:w="0" w:type="auto"/>
          </w:tcPr>
          <w:p w14:paraId="2C6606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10EF1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w:t>
            </w:r>
            <w:r w:rsidRPr="00BE00C7">
              <w:rPr>
                <w:rFonts w:cs="Arial"/>
                <w:lang w:eastAsia="en-NZ"/>
              </w:rPr>
              <w:lastRenderedPageBreak/>
              <w:t>restrictive practices.</w:t>
            </w:r>
            <w:r w:rsidRPr="00BE00C7">
              <w:rPr>
                <w:rFonts w:cs="Arial"/>
                <w:lang w:eastAsia="en-NZ"/>
              </w:rPr>
              <w:br/>
              <w:t>As service providers: We demonstrate the rationale for the use of restraint in the context of aiming for elimination.</w:t>
            </w:r>
          </w:p>
          <w:p w14:paraId="1555C847" w14:textId="77777777" w:rsidR="00000000" w:rsidRPr="00BE00C7" w:rsidRDefault="00000000" w:rsidP="00BE00C7">
            <w:pPr>
              <w:pStyle w:val="OutcomeDescription"/>
              <w:spacing w:before="120" w:after="120"/>
              <w:rPr>
                <w:rFonts w:cs="Arial"/>
                <w:lang w:eastAsia="en-NZ"/>
              </w:rPr>
            </w:pPr>
          </w:p>
        </w:tc>
        <w:tc>
          <w:tcPr>
            <w:tcW w:w="0" w:type="auto"/>
          </w:tcPr>
          <w:p w14:paraId="16F110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18AD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there were no restraints in use.</w:t>
            </w:r>
          </w:p>
          <w:p w14:paraId="02CDE1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Training records showed that all clinical staff attended restraint education and completed a restraint competency during orientation/induction. Training is planned annually.</w:t>
            </w:r>
          </w:p>
          <w:p w14:paraId="2F57CEFE" w14:textId="77777777" w:rsidR="00000000" w:rsidRPr="00BE00C7" w:rsidRDefault="00000000" w:rsidP="00BE00C7">
            <w:pPr>
              <w:pStyle w:val="OutcomeDescription"/>
              <w:spacing w:before="120" w:after="120"/>
              <w:rPr>
                <w:rFonts w:cs="Arial"/>
                <w:lang w:eastAsia="en-NZ"/>
              </w:rPr>
            </w:pPr>
          </w:p>
        </w:tc>
      </w:tr>
    </w:tbl>
    <w:p w14:paraId="3881AD2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1DDA21D" w14:textId="77777777" w:rsidR="00000000" w:rsidRDefault="00000000">
      <w:pPr>
        <w:pStyle w:val="Heading1"/>
        <w:rPr>
          <w:rFonts w:cs="Arial"/>
        </w:rPr>
      </w:pPr>
      <w:r>
        <w:rPr>
          <w:rFonts w:cs="Arial"/>
        </w:rPr>
        <w:lastRenderedPageBreak/>
        <w:t>Specific results for criterion where corrective actions are required</w:t>
      </w:r>
    </w:p>
    <w:p w14:paraId="0EA11BA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5AEF62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42685F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2F4F" w14:paraId="61F5A859" w14:textId="77777777">
        <w:tc>
          <w:tcPr>
            <w:tcW w:w="0" w:type="auto"/>
          </w:tcPr>
          <w:p w14:paraId="44ED62D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8483AC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6045D20" w14:textId="77777777" w:rsidR="00000000" w:rsidRDefault="00000000">
      <w:pPr>
        <w:pStyle w:val="Heading1"/>
        <w:rPr>
          <w:rFonts w:cs="Arial"/>
        </w:rPr>
      </w:pPr>
      <w:r>
        <w:rPr>
          <w:rFonts w:cs="Arial"/>
        </w:rPr>
        <w:lastRenderedPageBreak/>
        <w:t>Specific results for criterion where a continuous improvement has been recorded</w:t>
      </w:r>
    </w:p>
    <w:p w14:paraId="20759D9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2BAB8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61508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2F4F" w14:paraId="5B3689F2" w14:textId="77777777">
        <w:tc>
          <w:tcPr>
            <w:tcW w:w="0" w:type="auto"/>
          </w:tcPr>
          <w:p w14:paraId="715B6B7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57015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2DAA30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F6E0" w14:textId="77777777" w:rsidR="001E7FA3" w:rsidRDefault="001E7FA3">
      <w:r>
        <w:separator/>
      </w:r>
    </w:p>
  </w:endnote>
  <w:endnote w:type="continuationSeparator" w:id="0">
    <w:p w14:paraId="50C3F7BD" w14:textId="77777777" w:rsidR="001E7FA3" w:rsidRDefault="001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D60" w14:textId="77777777" w:rsidR="00000000" w:rsidRDefault="00000000">
    <w:pPr>
      <w:pStyle w:val="Footer"/>
    </w:pPr>
  </w:p>
  <w:p w14:paraId="58AB65F1" w14:textId="77777777" w:rsidR="00000000" w:rsidRDefault="00000000"/>
  <w:p w14:paraId="4272C5F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FA3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 Patricks Limited - St Patricks Home and Hospital</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72465A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AA3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7AEF" w14:textId="77777777" w:rsidR="001E7FA3" w:rsidRDefault="001E7FA3">
      <w:r>
        <w:separator/>
      </w:r>
    </w:p>
  </w:footnote>
  <w:footnote w:type="continuationSeparator" w:id="0">
    <w:p w14:paraId="72692341" w14:textId="77777777" w:rsidR="001E7FA3" w:rsidRDefault="001E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5BA7" w14:textId="77777777" w:rsidR="00000000" w:rsidRDefault="00000000">
    <w:pPr>
      <w:pStyle w:val="Header"/>
    </w:pPr>
  </w:p>
  <w:p w14:paraId="4FBEDD1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D2D8" w14:textId="77777777" w:rsidR="00000000" w:rsidRDefault="00000000">
    <w:pPr>
      <w:pStyle w:val="Header"/>
    </w:pPr>
  </w:p>
  <w:p w14:paraId="64D6674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85A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A5A41D8">
      <w:start w:val="1"/>
      <w:numFmt w:val="decimal"/>
      <w:lvlText w:val="%1."/>
      <w:lvlJc w:val="left"/>
      <w:pPr>
        <w:ind w:left="360" w:hanging="360"/>
      </w:pPr>
    </w:lvl>
    <w:lvl w:ilvl="1" w:tplc="4956E146" w:tentative="1">
      <w:start w:val="1"/>
      <w:numFmt w:val="lowerLetter"/>
      <w:lvlText w:val="%2."/>
      <w:lvlJc w:val="left"/>
      <w:pPr>
        <w:ind w:left="1080" w:hanging="360"/>
      </w:pPr>
    </w:lvl>
    <w:lvl w:ilvl="2" w:tplc="E8BC0046" w:tentative="1">
      <w:start w:val="1"/>
      <w:numFmt w:val="lowerRoman"/>
      <w:lvlText w:val="%3."/>
      <w:lvlJc w:val="right"/>
      <w:pPr>
        <w:ind w:left="1800" w:hanging="180"/>
      </w:pPr>
    </w:lvl>
    <w:lvl w:ilvl="3" w:tplc="E996DC58" w:tentative="1">
      <w:start w:val="1"/>
      <w:numFmt w:val="decimal"/>
      <w:lvlText w:val="%4."/>
      <w:lvlJc w:val="left"/>
      <w:pPr>
        <w:ind w:left="2520" w:hanging="360"/>
      </w:pPr>
    </w:lvl>
    <w:lvl w:ilvl="4" w:tplc="BF00DC54" w:tentative="1">
      <w:start w:val="1"/>
      <w:numFmt w:val="lowerLetter"/>
      <w:lvlText w:val="%5."/>
      <w:lvlJc w:val="left"/>
      <w:pPr>
        <w:ind w:left="3240" w:hanging="360"/>
      </w:pPr>
    </w:lvl>
    <w:lvl w:ilvl="5" w:tplc="1C344E34" w:tentative="1">
      <w:start w:val="1"/>
      <w:numFmt w:val="lowerRoman"/>
      <w:lvlText w:val="%6."/>
      <w:lvlJc w:val="right"/>
      <w:pPr>
        <w:ind w:left="3960" w:hanging="180"/>
      </w:pPr>
    </w:lvl>
    <w:lvl w:ilvl="6" w:tplc="7BB2BE56" w:tentative="1">
      <w:start w:val="1"/>
      <w:numFmt w:val="decimal"/>
      <w:lvlText w:val="%7."/>
      <w:lvlJc w:val="left"/>
      <w:pPr>
        <w:ind w:left="4680" w:hanging="360"/>
      </w:pPr>
    </w:lvl>
    <w:lvl w:ilvl="7" w:tplc="931E6546" w:tentative="1">
      <w:start w:val="1"/>
      <w:numFmt w:val="lowerLetter"/>
      <w:lvlText w:val="%8."/>
      <w:lvlJc w:val="left"/>
      <w:pPr>
        <w:ind w:left="5400" w:hanging="360"/>
      </w:pPr>
    </w:lvl>
    <w:lvl w:ilvl="8" w:tplc="A30A67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F5EC688">
      <w:start w:val="1"/>
      <w:numFmt w:val="bullet"/>
      <w:lvlText w:val=""/>
      <w:lvlJc w:val="left"/>
      <w:pPr>
        <w:ind w:left="720" w:hanging="360"/>
      </w:pPr>
      <w:rPr>
        <w:rFonts w:ascii="Symbol" w:hAnsi="Symbol" w:hint="default"/>
      </w:rPr>
    </w:lvl>
    <w:lvl w:ilvl="1" w:tplc="D3CE402E" w:tentative="1">
      <w:start w:val="1"/>
      <w:numFmt w:val="bullet"/>
      <w:lvlText w:val="o"/>
      <w:lvlJc w:val="left"/>
      <w:pPr>
        <w:ind w:left="1440" w:hanging="360"/>
      </w:pPr>
      <w:rPr>
        <w:rFonts w:ascii="Courier New" w:hAnsi="Courier New" w:cs="Courier New" w:hint="default"/>
      </w:rPr>
    </w:lvl>
    <w:lvl w:ilvl="2" w:tplc="9B1643B8" w:tentative="1">
      <w:start w:val="1"/>
      <w:numFmt w:val="bullet"/>
      <w:lvlText w:val=""/>
      <w:lvlJc w:val="left"/>
      <w:pPr>
        <w:ind w:left="2160" w:hanging="360"/>
      </w:pPr>
      <w:rPr>
        <w:rFonts w:ascii="Wingdings" w:hAnsi="Wingdings" w:hint="default"/>
      </w:rPr>
    </w:lvl>
    <w:lvl w:ilvl="3" w:tplc="77D80F6A" w:tentative="1">
      <w:start w:val="1"/>
      <w:numFmt w:val="bullet"/>
      <w:lvlText w:val=""/>
      <w:lvlJc w:val="left"/>
      <w:pPr>
        <w:ind w:left="2880" w:hanging="360"/>
      </w:pPr>
      <w:rPr>
        <w:rFonts w:ascii="Symbol" w:hAnsi="Symbol" w:hint="default"/>
      </w:rPr>
    </w:lvl>
    <w:lvl w:ilvl="4" w:tplc="BBCE72C8" w:tentative="1">
      <w:start w:val="1"/>
      <w:numFmt w:val="bullet"/>
      <w:lvlText w:val="o"/>
      <w:lvlJc w:val="left"/>
      <w:pPr>
        <w:ind w:left="3600" w:hanging="360"/>
      </w:pPr>
      <w:rPr>
        <w:rFonts w:ascii="Courier New" w:hAnsi="Courier New" w:cs="Courier New" w:hint="default"/>
      </w:rPr>
    </w:lvl>
    <w:lvl w:ilvl="5" w:tplc="D85E24F0" w:tentative="1">
      <w:start w:val="1"/>
      <w:numFmt w:val="bullet"/>
      <w:lvlText w:val=""/>
      <w:lvlJc w:val="left"/>
      <w:pPr>
        <w:ind w:left="4320" w:hanging="360"/>
      </w:pPr>
      <w:rPr>
        <w:rFonts w:ascii="Wingdings" w:hAnsi="Wingdings" w:hint="default"/>
      </w:rPr>
    </w:lvl>
    <w:lvl w:ilvl="6" w:tplc="6854E674" w:tentative="1">
      <w:start w:val="1"/>
      <w:numFmt w:val="bullet"/>
      <w:lvlText w:val=""/>
      <w:lvlJc w:val="left"/>
      <w:pPr>
        <w:ind w:left="5040" w:hanging="360"/>
      </w:pPr>
      <w:rPr>
        <w:rFonts w:ascii="Symbol" w:hAnsi="Symbol" w:hint="default"/>
      </w:rPr>
    </w:lvl>
    <w:lvl w:ilvl="7" w:tplc="AA701DDA" w:tentative="1">
      <w:start w:val="1"/>
      <w:numFmt w:val="bullet"/>
      <w:lvlText w:val="o"/>
      <w:lvlJc w:val="left"/>
      <w:pPr>
        <w:ind w:left="5760" w:hanging="360"/>
      </w:pPr>
      <w:rPr>
        <w:rFonts w:ascii="Courier New" w:hAnsi="Courier New" w:cs="Courier New" w:hint="default"/>
      </w:rPr>
    </w:lvl>
    <w:lvl w:ilvl="8" w:tplc="8D0A2A32" w:tentative="1">
      <w:start w:val="1"/>
      <w:numFmt w:val="bullet"/>
      <w:lvlText w:val=""/>
      <w:lvlJc w:val="left"/>
      <w:pPr>
        <w:ind w:left="6480" w:hanging="360"/>
      </w:pPr>
      <w:rPr>
        <w:rFonts w:ascii="Wingdings" w:hAnsi="Wingdings" w:hint="default"/>
      </w:rPr>
    </w:lvl>
  </w:abstractNum>
  <w:num w:numId="1" w16cid:durableId="651718067">
    <w:abstractNumId w:val="1"/>
  </w:num>
  <w:num w:numId="2" w16cid:durableId="47626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4F"/>
    <w:rsid w:val="001E7FA3"/>
    <w:rsid w:val="003B0CCD"/>
    <w:rsid w:val="00A67706"/>
    <w:rsid w:val="00B72F4F"/>
    <w:rsid w:val="00B969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8E20"/>
  <w15:docId w15:val="{38484BA7-5039-452C-A343-30B7EF36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6939</Words>
  <Characters>40391</Characters>
  <Application>Microsoft Office Word</Application>
  <DocSecurity>0</DocSecurity>
  <Lines>878</Lines>
  <Paragraphs>305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2026-02-18T00:55:00Z</dcterms:created>
  <dcterms:modified xsi:type="dcterms:W3CDTF">2026-02-18T00:57:00Z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