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98EB" w14:textId="77777777" w:rsidR="00000000" w:rsidRDefault="00000000">
      <w:pPr>
        <w:pStyle w:val="Heading1"/>
        <w:rPr>
          <w:rFonts w:cs="Arial"/>
        </w:rPr>
      </w:pPr>
      <w:bookmarkStart w:id="0" w:name="PRMS_RIName"/>
      <w:r>
        <w:rPr>
          <w:rFonts w:cs="Arial"/>
        </w:rPr>
        <w:t>Summerset Care Limited - Summerset Falls</w:t>
      </w:r>
      <w:bookmarkEnd w:id="0"/>
    </w:p>
    <w:p w14:paraId="0AA75188" w14:textId="77777777" w:rsidR="00000000" w:rsidRDefault="00000000">
      <w:pPr>
        <w:pStyle w:val="Heading2"/>
        <w:spacing w:after="0"/>
        <w:rPr>
          <w:rFonts w:cs="Arial"/>
        </w:rPr>
      </w:pPr>
      <w:r>
        <w:rPr>
          <w:rFonts w:cs="Arial"/>
        </w:rPr>
        <w:t>Introduction</w:t>
      </w:r>
    </w:p>
    <w:p w14:paraId="4FEF7FE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20BD02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A3CA02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2D92FB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109669C" w14:textId="77777777" w:rsidR="00000000" w:rsidRDefault="00000000">
      <w:pPr>
        <w:spacing w:before="240" w:after="240"/>
        <w:rPr>
          <w:rFonts w:cs="Arial"/>
          <w:lang w:eastAsia="en-NZ"/>
        </w:rPr>
      </w:pPr>
      <w:r>
        <w:rPr>
          <w:rFonts w:cs="Arial"/>
          <w:lang w:eastAsia="en-NZ"/>
        </w:rPr>
        <w:t>The specifics of this audit included:</w:t>
      </w:r>
    </w:p>
    <w:p w14:paraId="10B25FA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60CD34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551302F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Falls</w:t>
      </w:r>
      <w:bookmarkEnd w:id="5"/>
    </w:p>
    <w:p w14:paraId="5564CCD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7122BA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December 2025</w:t>
      </w:r>
      <w:bookmarkEnd w:id="7"/>
      <w:r w:rsidRPr="009418D4">
        <w:rPr>
          <w:rFonts w:cs="Arial"/>
        </w:rPr>
        <w:tab/>
        <w:t xml:space="preserve">End date: </w:t>
      </w:r>
      <w:bookmarkStart w:id="8" w:name="AuditEndDate"/>
      <w:r>
        <w:rPr>
          <w:rFonts w:cs="Arial"/>
        </w:rPr>
        <w:t>17 December 2025</w:t>
      </w:r>
      <w:bookmarkEnd w:id="8"/>
    </w:p>
    <w:p w14:paraId="2F220C6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8417CC4" w14:textId="77777777" w:rsidR="00E5720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135C466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6054657" w14:textId="77777777" w:rsidR="00000000" w:rsidRDefault="00000000">
      <w:pPr>
        <w:pStyle w:val="Heading1"/>
        <w:rPr>
          <w:rFonts w:cs="Arial"/>
        </w:rPr>
      </w:pPr>
      <w:r>
        <w:rPr>
          <w:rFonts w:cs="Arial"/>
        </w:rPr>
        <w:lastRenderedPageBreak/>
        <w:t>Executive summary of the audit</w:t>
      </w:r>
    </w:p>
    <w:p w14:paraId="2368538B" w14:textId="77777777" w:rsidR="00000000" w:rsidRDefault="00000000">
      <w:pPr>
        <w:pStyle w:val="Heading2"/>
        <w:rPr>
          <w:rFonts w:cs="Arial"/>
        </w:rPr>
      </w:pPr>
      <w:r>
        <w:rPr>
          <w:rFonts w:cs="Arial"/>
        </w:rPr>
        <w:t>Introduction</w:t>
      </w:r>
    </w:p>
    <w:p w14:paraId="7459D07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49F3E5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C26A89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21E18F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7B0CED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4FAF0E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9F8CAF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88F925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6EEE6C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E57203" w14:paraId="054BD2CA" w14:textId="77777777">
        <w:trPr>
          <w:cantSplit/>
          <w:tblHeader/>
        </w:trPr>
        <w:tc>
          <w:tcPr>
            <w:tcW w:w="1260" w:type="dxa"/>
            <w:tcBorders>
              <w:bottom w:val="single" w:sz="4" w:space="0" w:color="000000"/>
            </w:tcBorders>
            <w:vAlign w:val="center"/>
          </w:tcPr>
          <w:p w14:paraId="561951B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45FB98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75C91A3" w14:textId="77777777" w:rsidR="00000000" w:rsidRDefault="00000000">
            <w:pPr>
              <w:spacing w:before="60" w:after="60"/>
              <w:rPr>
                <w:rFonts w:eastAsia="Calibri"/>
                <w:b/>
                <w:szCs w:val="24"/>
              </w:rPr>
            </w:pPr>
            <w:r>
              <w:rPr>
                <w:rFonts w:eastAsia="Calibri"/>
                <w:b/>
                <w:szCs w:val="24"/>
              </w:rPr>
              <w:t>Definition</w:t>
            </w:r>
          </w:p>
        </w:tc>
      </w:tr>
      <w:tr w:rsidR="00E57203" w14:paraId="5C52A84B" w14:textId="77777777">
        <w:trPr>
          <w:cantSplit/>
          <w:trHeight w:val="964"/>
        </w:trPr>
        <w:tc>
          <w:tcPr>
            <w:tcW w:w="1260" w:type="dxa"/>
            <w:tcBorders>
              <w:bottom w:val="single" w:sz="4" w:space="0" w:color="000000"/>
            </w:tcBorders>
            <w:shd w:val="clear" w:color="0066FF" w:fill="0000FF"/>
            <w:vAlign w:val="center"/>
          </w:tcPr>
          <w:p w14:paraId="48E2482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BF7DA6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E82D5D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57203" w14:paraId="227A82FF" w14:textId="77777777">
        <w:trPr>
          <w:cantSplit/>
          <w:trHeight w:val="964"/>
        </w:trPr>
        <w:tc>
          <w:tcPr>
            <w:tcW w:w="1260" w:type="dxa"/>
            <w:shd w:val="clear" w:color="33CC33" w:fill="00FF00"/>
            <w:vAlign w:val="center"/>
          </w:tcPr>
          <w:p w14:paraId="6A0F2381" w14:textId="77777777" w:rsidR="00000000" w:rsidRDefault="00000000">
            <w:pPr>
              <w:spacing w:before="60" w:after="60"/>
              <w:rPr>
                <w:rFonts w:eastAsia="Calibri"/>
                <w:szCs w:val="24"/>
              </w:rPr>
            </w:pPr>
          </w:p>
        </w:tc>
        <w:tc>
          <w:tcPr>
            <w:tcW w:w="7095" w:type="dxa"/>
            <w:shd w:val="clear" w:color="auto" w:fill="auto"/>
            <w:vAlign w:val="center"/>
          </w:tcPr>
          <w:p w14:paraId="61D1F90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F4B9AB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57203" w14:paraId="15625EAD" w14:textId="77777777">
        <w:trPr>
          <w:cantSplit/>
          <w:trHeight w:val="964"/>
        </w:trPr>
        <w:tc>
          <w:tcPr>
            <w:tcW w:w="1260" w:type="dxa"/>
            <w:tcBorders>
              <w:bottom w:val="single" w:sz="4" w:space="0" w:color="000000"/>
            </w:tcBorders>
            <w:shd w:val="clear" w:color="auto" w:fill="FFFF00"/>
            <w:vAlign w:val="center"/>
          </w:tcPr>
          <w:p w14:paraId="51002C6E" w14:textId="77777777" w:rsidR="00000000" w:rsidRDefault="00000000">
            <w:pPr>
              <w:spacing w:before="60" w:after="60"/>
              <w:rPr>
                <w:rFonts w:eastAsia="Calibri"/>
                <w:szCs w:val="24"/>
              </w:rPr>
            </w:pPr>
          </w:p>
        </w:tc>
        <w:tc>
          <w:tcPr>
            <w:tcW w:w="7095" w:type="dxa"/>
            <w:shd w:val="clear" w:color="auto" w:fill="auto"/>
            <w:vAlign w:val="center"/>
          </w:tcPr>
          <w:p w14:paraId="0EB54FD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CC53A8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57203" w14:paraId="4966F11F" w14:textId="77777777">
        <w:trPr>
          <w:cantSplit/>
          <w:trHeight w:val="964"/>
        </w:trPr>
        <w:tc>
          <w:tcPr>
            <w:tcW w:w="1260" w:type="dxa"/>
            <w:tcBorders>
              <w:bottom w:val="single" w:sz="4" w:space="0" w:color="000000"/>
            </w:tcBorders>
            <w:shd w:val="clear" w:color="auto" w:fill="FFC800"/>
            <w:vAlign w:val="center"/>
          </w:tcPr>
          <w:p w14:paraId="79D6D75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20FB27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F3E704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57203" w14:paraId="6B8EA7BD" w14:textId="77777777">
        <w:trPr>
          <w:cantSplit/>
          <w:trHeight w:val="964"/>
        </w:trPr>
        <w:tc>
          <w:tcPr>
            <w:tcW w:w="1260" w:type="dxa"/>
            <w:shd w:val="clear" w:color="auto" w:fill="FF0000"/>
            <w:vAlign w:val="center"/>
          </w:tcPr>
          <w:p w14:paraId="0D3D001E" w14:textId="77777777" w:rsidR="00000000" w:rsidRDefault="00000000">
            <w:pPr>
              <w:spacing w:before="60" w:after="60"/>
              <w:rPr>
                <w:rFonts w:eastAsia="Calibri"/>
                <w:szCs w:val="24"/>
              </w:rPr>
            </w:pPr>
          </w:p>
        </w:tc>
        <w:tc>
          <w:tcPr>
            <w:tcW w:w="7095" w:type="dxa"/>
            <w:shd w:val="clear" w:color="auto" w:fill="auto"/>
            <w:vAlign w:val="center"/>
          </w:tcPr>
          <w:p w14:paraId="783A27C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A1610C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AC5EAC1" w14:textId="77777777" w:rsidR="00000000" w:rsidRDefault="00000000">
      <w:pPr>
        <w:pStyle w:val="Heading2"/>
        <w:spacing w:after="0"/>
        <w:rPr>
          <w:rFonts w:cs="Arial"/>
        </w:rPr>
      </w:pPr>
      <w:r>
        <w:rPr>
          <w:rFonts w:cs="Arial"/>
        </w:rPr>
        <w:t>General overview of the audit</w:t>
      </w:r>
    </w:p>
    <w:p w14:paraId="75CBD9EF" w14:textId="77777777" w:rsidR="00000000" w:rsidRDefault="00000000">
      <w:pPr>
        <w:spacing w:before="240" w:line="276" w:lineRule="auto"/>
        <w:rPr>
          <w:rFonts w:eastAsia="Calibri"/>
        </w:rPr>
      </w:pPr>
      <w:bookmarkStart w:id="13" w:name="GeneralOverview"/>
      <w:r w:rsidRPr="00A4268A">
        <w:rPr>
          <w:rFonts w:eastAsia="Calibri"/>
        </w:rPr>
        <w:t xml:space="preserve">Summerset Falls provides rest home and hospital-level care for up to 41 beds in the care centre and up to 44 rest home beds in the serviced apartments. On the day of the audit, there were 42 residents, including four rest home residents in serviced apartments. </w:t>
      </w:r>
    </w:p>
    <w:p w14:paraId="28748E47" w14:textId="77777777" w:rsidR="00E57203" w:rsidRPr="00A4268A" w:rsidRDefault="00000000">
      <w:pPr>
        <w:spacing w:before="240" w:line="276" w:lineRule="auto"/>
        <w:rPr>
          <w:rFonts w:eastAsia="Calibri"/>
        </w:rPr>
      </w:pPr>
      <w:r w:rsidRPr="00A4268A">
        <w:rPr>
          <w:rFonts w:eastAsia="Calibri"/>
        </w:rPr>
        <w:t>The service is managed by a village manager supported by a care centre manager, clinical nurse lead, nursing team, care staff, regional quality manager, and the governing body.</w:t>
      </w:r>
    </w:p>
    <w:p w14:paraId="1A82F55D" w14:textId="77777777" w:rsidR="00E57203"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staff, management, and the general practitioner.</w:t>
      </w:r>
    </w:p>
    <w:p w14:paraId="2D0BB3C6" w14:textId="77777777" w:rsidR="00E57203" w:rsidRPr="00A4268A" w:rsidRDefault="00000000">
      <w:pPr>
        <w:spacing w:before="240" w:line="276" w:lineRule="auto"/>
        <w:rPr>
          <w:rFonts w:eastAsia="Calibri"/>
        </w:rPr>
      </w:pPr>
      <w:r w:rsidRPr="00A4268A">
        <w:rPr>
          <w:rFonts w:eastAsia="Calibri"/>
        </w:rPr>
        <w:t xml:space="preserve">This surveillance audit did not identify any shortfalls. </w:t>
      </w:r>
    </w:p>
    <w:bookmarkEnd w:id="13"/>
    <w:p w14:paraId="34FC753E" w14:textId="77777777" w:rsidR="00E57203" w:rsidRPr="00A4268A" w:rsidRDefault="00E57203">
      <w:pPr>
        <w:spacing w:before="240" w:line="276" w:lineRule="auto"/>
        <w:rPr>
          <w:rFonts w:eastAsia="Calibri"/>
        </w:rPr>
      </w:pPr>
    </w:p>
    <w:p w14:paraId="542A9BD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7203" w14:paraId="3379F333" w14:textId="77777777" w:rsidTr="00A4268A">
        <w:trPr>
          <w:cantSplit/>
        </w:trPr>
        <w:tc>
          <w:tcPr>
            <w:tcW w:w="10206" w:type="dxa"/>
            <w:vAlign w:val="center"/>
          </w:tcPr>
          <w:p w14:paraId="01A9A2E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3DA83C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0FE54A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802EE3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873B3FB" w14:textId="77777777" w:rsidR="00000000" w:rsidRDefault="00000000">
      <w:pPr>
        <w:spacing w:before="240" w:line="276" w:lineRule="auto"/>
        <w:rPr>
          <w:rFonts w:eastAsia="Calibri"/>
        </w:rPr>
      </w:pPr>
      <w:bookmarkStart w:id="16" w:name="ConsumerRights"/>
      <w:r w:rsidRPr="00A4268A">
        <w:rPr>
          <w:rFonts w:eastAsia="Calibri"/>
        </w:rPr>
        <w:t xml:space="preserve">Summerset Falls provides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plan is in place. </w:t>
      </w:r>
    </w:p>
    <w:p w14:paraId="39CC96D3" w14:textId="77777777" w:rsidR="00E57203"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78C2F30B" w14:textId="77777777" w:rsidR="00E57203"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are understood, respected, and upheld by the service. Complaints processes are implemented, and complaints and concerns are actively managed and well documented.</w:t>
      </w:r>
    </w:p>
    <w:bookmarkEnd w:id="16"/>
    <w:p w14:paraId="69F2D764" w14:textId="77777777" w:rsidR="00E57203" w:rsidRPr="00A4268A" w:rsidRDefault="00E57203">
      <w:pPr>
        <w:spacing w:before="240" w:line="276" w:lineRule="auto"/>
        <w:rPr>
          <w:rFonts w:eastAsia="Calibri"/>
        </w:rPr>
      </w:pPr>
    </w:p>
    <w:p w14:paraId="243E14D6"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7203" w14:paraId="38E1D351" w14:textId="77777777" w:rsidTr="00A4268A">
        <w:trPr>
          <w:cantSplit/>
        </w:trPr>
        <w:tc>
          <w:tcPr>
            <w:tcW w:w="10206" w:type="dxa"/>
            <w:vAlign w:val="center"/>
          </w:tcPr>
          <w:p w14:paraId="7CB212B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6858A9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C22AA0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A749F2B"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quality and risk management systems are focused on provision of a quality service and a high level of care. The business plan includes a mission statement and outlines current objectives. There are quality and risk management processes that take a risk-based approach. Policies and procedures are current. </w:t>
      </w:r>
    </w:p>
    <w:p w14:paraId="770B1F2B" w14:textId="77777777" w:rsidR="00E57203" w:rsidRPr="00A4268A" w:rsidRDefault="00000000">
      <w:pPr>
        <w:spacing w:before="240" w:line="276" w:lineRule="auto"/>
        <w:rPr>
          <w:rFonts w:eastAsia="Calibri"/>
        </w:rPr>
      </w:pPr>
      <w:r w:rsidRPr="00A4268A">
        <w:rPr>
          <w:rFonts w:eastAsia="Calibri"/>
        </w:rPr>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00B799B4" w14:textId="77777777" w:rsidR="00E57203" w:rsidRPr="00A4268A" w:rsidRDefault="0000000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1E904338" w14:textId="77777777" w:rsidR="00E57203" w:rsidRPr="00A4268A" w:rsidRDefault="00E57203">
      <w:pPr>
        <w:spacing w:before="240" w:line="276" w:lineRule="auto"/>
        <w:rPr>
          <w:rFonts w:eastAsia="Calibri"/>
        </w:rPr>
      </w:pPr>
    </w:p>
    <w:p w14:paraId="1F6F70F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7203" w14:paraId="0D9EC2F9" w14:textId="77777777" w:rsidTr="00A4268A">
        <w:trPr>
          <w:cantSplit/>
        </w:trPr>
        <w:tc>
          <w:tcPr>
            <w:tcW w:w="10206" w:type="dxa"/>
            <w:vAlign w:val="center"/>
          </w:tcPr>
          <w:p w14:paraId="114EA7B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184D4B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FE209C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EAA7CD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 level of care required. The nursing team is responsible for the assessment, development, and evaluation of care plans. Care plans are individualised and based on the residents’ assessed needs and routines. Interventions are documented and evaluated.</w:t>
      </w:r>
    </w:p>
    <w:p w14:paraId="0D845D60" w14:textId="77777777" w:rsidR="00E57203" w:rsidRPr="00A4268A" w:rsidRDefault="00000000" w:rsidP="00621629">
      <w:pPr>
        <w:spacing w:before="240" w:line="276" w:lineRule="auto"/>
        <w:rPr>
          <w:rFonts w:eastAsia="Calibri"/>
        </w:rPr>
      </w:pPr>
      <w:r w:rsidRPr="00A4268A">
        <w:rPr>
          <w:rFonts w:eastAsia="Calibri"/>
        </w:rPr>
        <w:t>There is a medicine management system in place. All medications are reviewed by the general practitioner every three months. Staff involved in medication administration are assessed as competent to do so.</w:t>
      </w:r>
    </w:p>
    <w:p w14:paraId="29FEE11D" w14:textId="77777777" w:rsidR="00E57203" w:rsidRPr="00A4268A" w:rsidRDefault="00000000" w:rsidP="00621629">
      <w:pPr>
        <w:spacing w:before="240" w:line="276" w:lineRule="auto"/>
        <w:rPr>
          <w:rFonts w:eastAsia="Calibri"/>
        </w:rPr>
      </w:pPr>
      <w:r w:rsidRPr="00A4268A">
        <w:rPr>
          <w:rFonts w:eastAsia="Calibri"/>
        </w:rPr>
        <w:t xml:space="preserve">The food service provides for the specific dietary likes and dislikes of the residents. A current food control plan is in place. </w:t>
      </w:r>
    </w:p>
    <w:p w14:paraId="320EDE54" w14:textId="77777777" w:rsidR="00E57203"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7F7414F7" w14:textId="77777777" w:rsidR="00E57203" w:rsidRPr="00A4268A" w:rsidRDefault="00E57203" w:rsidP="00621629">
      <w:pPr>
        <w:spacing w:before="240" w:line="276" w:lineRule="auto"/>
        <w:rPr>
          <w:rFonts w:eastAsia="Calibri"/>
        </w:rPr>
      </w:pPr>
    </w:p>
    <w:p w14:paraId="2355452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7203" w14:paraId="6F5BCD95" w14:textId="77777777" w:rsidTr="00A4268A">
        <w:trPr>
          <w:cantSplit/>
        </w:trPr>
        <w:tc>
          <w:tcPr>
            <w:tcW w:w="10206" w:type="dxa"/>
            <w:vAlign w:val="center"/>
          </w:tcPr>
          <w:p w14:paraId="1949A26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8E7679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07CD09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FEAAFF6"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equipment and calibration are up to date. External areas are accessible, safe, and meet the needs of residents living in this care home.</w:t>
      </w:r>
    </w:p>
    <w:bookmarkEnd w:id="25"/>
    <w:p w14:paraId="596D3A52" w14:textId="77777777" w:rsidR="00E57203" w:rsidRPr="00A4268A" w:rsidRDefault="00E57203">
      <w:pPr>
        <w:spacing w:before="240" w:line="276" w:lineRule="auto"/>
        <w:rPr>
          <w:rFonts w:eastAsia="Calibri"/>
        </w:rPr>
      </w:pPr>
    </w:p>
    <w:p w14:paraId="4E63405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7203" w14:paraId="5A5F2BE8" w14:textId="77777777" w:rsidTr="00A4268A">
        <w:trPr>
          <w:cantSplit/>
        </w:trPr>
        <w:tc>
          <w:tcPr>
            <w:tcW w:w="10206" w:type="dxa"/>
            <w:vAlign w:val="center"/>
          </w:tcPr>
          <w:p w14:paraId="50A840A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1C5ABA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756DCB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02436D4"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the residents and staff through a planned infection prevention and antimicrobial stewardship programme that is appropriate to the size and complexity of the service. The registered nurse coordinates the programme.</w:t>
      </w:r>
    </w:p>
    <w:p w14:paraId="58582ACC" w14:textId="77777777" w:rsidR="00E57203" w:rsidRPr="00A4268A" w:rsidRDefault="00000000">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496EAE66" w14:textId="77777777" w:rsidR="00E57203" w:rsidRPr="00A4268A" w:rsidRDefault="00000000">
      <w:pPr>
        <w:spacing w:before="240" w:line="276" w:lineRule="auto"/>
        <w:rPr>
          <w:rFonts w:eastAsia="Calibri"/>
        </w:rPr>
      </w:pPr>
      <w:r w:rsidRPr="00A4268A">
        <w:rPr>
          <w:rFonts w:eastAsia="Calibri"/>
        </w:rPr>
        <w:lastRenderedPageBreak/>
        <w:t>Surveillance of health care-associated infections is undertaken, and results are shared with all staff. Follow-up action is taken as and when required. Infection outbreaks are managed according to the Ministry of Health guidelines.</w:t>
      </w:r>
    </w:p>
    <w:bookmarkEnd w:id="28"/>
    <w:p w14:paraId="3625542D" w14:textId="77777777" w:rsidR="00E57203" w:rsidRPr="00A4268A" w:rsidRDefault="00E57203">
      <w:pPr>
        <w:spacing w:before="240" w:line="276" w:lineRule="auto"/>
        <w:rPr>
          <w:rFonts w:eastAsia="Calibri"/>
        </w:rPr>
      </w:pPr>
    </w:p>
    <w:p w14:paraId="511B030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7203" w14:paraId="2AB2F5E8" w14:textId="77777777" w:rsidTr="00A4268A">
        <w:trPr>
          <w:cantSplit/>
        </w:trPr>
        <w:tc>
          <w:tcPr>
            <w:tcW w:w="10206" w:type="dxa"/>
            <w:vAlign w:val="center"/>
          </w:tcPr>
          <w:p w14:paraId="144F5A9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352234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121046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E907CE1" w14:textId="77777777" w:rsidR="00000000" w:rsidRDefault="00000000">
      <w:pPr>
        <w:spacing w:before="240" w:line="276" w:lineRule="auto"/>
        <w:rPr>
          <w:rFonts w:eastAsia="Calibri"/>
        </w:rPr>
      </w:pPr>
      <w:bookmarkStart w:id="31" w:name="InfectionPreventionAndControl"/>
      <w:r w:rsidRPr="00A4268A">
        <w:rPr>
          <w:rFonts w:eastAsia="Calibri"/>
        </w:rPr>
        <w:t>A non-restraint policy is applied by the organisation. A comprehensive assessment, approval, and monitoring process, with regular reviews, is in place. A suitably qualified restraint coordinator manages the process. The staff interviewed demonstrated a sound knowledge and understanding of providing the least restrictive practice, de-escalation techniques, alternative interventions to restraint, and restraint monitoring. There are no restraints in use at the service.</w:t>
      </w:r>
    </w:p>
    <w:bookmarkEnd w:id="31"/>
    <w:p w14:paraId="78139508" w14:textId="77777777" w:rsidR="00E57203" w:rsidRPr="00A4268A" w:rsidRDefault="00E57203">
      <w:pPr>
        <w:spacing w:before="240" w:line="276" w:lineRule="auto"/>
        <w:rPr>
          <w:rFonts w:eastAsia="Calibri"/>
        </w:rPr>
      </w:pPr>
    </w:p>
    <w:p w14:paraId="2249572F" w14:textId="77777777" w:rsidR="00000000" w:rsidRDefault="00000000" w:rsidP="000E6E02">
      <w:pPr>
        <w:pStyle w:val="Heading2"/>
        <w:spacing w:before="0"/>
        <w:rPr>
          <w:rFonts w:cs="Arial"/>
        </w:rPr>
      </w:pPr>
      <w:r>
        <w:rPr>
          <w:rFonts w:cs="Arial"/>
        </w:rPr>
        <w:lastRenderedPageBreak/>
        <w:t>Summary of attainment</w:t>
      </w:r>
    </w:p>
    <w:p w14:paraId="72A2628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57203" w14:paraId="7A18C23F" w14:textId="77777777">
        <w:tc>
          <w:tcPr>
            <w:tcW w:w="1384" w:type="dxa"/>
            <w:vAlign w:val="center"/>
          </w:tcPr>
          <w:p w14:paraId="5AAB386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59E989B" w14:textId="77777777" w:rsidR="00000000" w:rsidRDefault="00000000">
            <w:pPr>
              <w:keepNext/>
              <w:spacing w:before="60" w:after="60"/>
              <w:jc w:val="center"/>
              <w:rPr>
                <w:rFonts w:cs="Arial"/>
                <w:b/>
                <w:sz w:val="20"/>
                <w:szCs w:val="20"/>
              </w:rPr>
            </w:pPr>
            <w:r>
              <w:rPr>
                <w:rFonts w:cs="Arial"/>
                <w:b/>
                <w:sz w:val="20"/>
                <w:szCs w:val="20"/>
              </w:rPr>
              <w:t>Continuous Improvement</w:t>
            </w:r>
          </w:p>
          <w:p w14:paraId="60517B6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0F8EE06" w14:textId="77777777" w:rsidR="00000000" w:rsidRDefault="00000000">
            <w:pPr>
              <w:keepNext/>
              <w:spacing w:before="60" w:after="60"/>
              <w:jc w:val="center"/>
              <w:rPr>
                <w:rFonts w:cs="Arial"/>
                <w:b/>
                <w:sz w:val="20"/>
                <w:szCs w:val="20"/>
              </w:rPr>
            </w:pPr>
            <w:r>
              <w:rPr>
                <w:rFonts w:cs="Arial"/>
                <w:b/>
                <w:sz w:val="20"/>
                <w:szCs w:val="20"/>
              </w:rPr>
              <w:t>Fully Attained</w:t>
            </w:r>
          </w:p>
          <w:p w14:paraId="58D0257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439EC1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D223DF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5AFF4E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A527F4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9EAC12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E01E67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9F42F1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7BF4B7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0BFD4D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A556BE3" w14:textId="77777777" w:rsidR="00000000" w:rsidRDefault="00000000">
            <w:pPr>
              <w:keepNext/>
              <w:spacing w:before="60" w:after="60"/>
              <w:jc w:val="center"/>
              <w:rPr>
                <w:rFonts w:cs="Arial"/>
                <w:b/>
                <w:sz w:val="20"/>
                <w:szCs w:val="20"/>
              </w:rPr>
            </w:pPr>
            <w:r>
              <w:rPr>
                <w:rFonts w:cs="Arial"/>
                <w:b/>
                <w:sz w:val="20"/>
                <w:szCs w:val="20"/>
              </w:rPr>
              <w:t>(PA Critical)</w:t>
            </w:r>
          </w:p>
        </w:tc>
      </w:tr>
      <w:tr w:rsidR="00E57203" w14:paraId="36238AF5" w14:textId="77777777">
        <w:tc>
          <w:tcPr>
            <w:tcW w:w="1384" w:type="dxa"/>
            <w:vAlign w:val="center"/>
          </w:tcPr>
          <w:p w14:paraId="22E0E27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85D11E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5848B8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8E8C3B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4A9BE0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EEC6F0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F6D5BB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164E14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57203" w14:paraId="4100636B" w14:textId="77777777">
        <w:tc>
          <w:tcPr>
            <w:tcW w:w="1384" w:type="dxa"/>
            <w:vAlign w:val="center"/>
          </w:tcPr>
          <w:p w14:paraId="0C969FE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9809AD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5C1CA2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674368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35C60B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9F607A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E90184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8FF9B9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6F2D3D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57203" w14:paraId="6035F106" w14:textId="77777777">
        <w:tc>
          <w:tcPr>
            <w:tcW w:w="1384" w:type="dxa"/>
            <w:vAlign w:val="center"/>
          </w:tcPr>
          <w:p w14:paraId="6CB6B6E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892974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AC33C6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EF1875F" w14:textId="77777777" w:rsidR="00000000" w:rsidRDefault="00000000">
            <w:pPr>
              <w:keepNext/>
              <w:spacing w:before="60" w:after="60"/>
              <w:jc w:val="center"/>
              <w:rPr>
                <w:rFonts w:cs="Arial"/>
                <w:b/>
                <w:sz w:val="20"/>
                <w:szCs w:val="20"/>
              </w:rPr>
            </w:pPr>
            <w:r>
              <w:rPr>
                <w:rFonts w:cs="Arial"/>
                <w:b/>
                <w:sz w:val="20"/>
                <w:szCs w:val="20"/>
              </w:rPr>
              <w:t>Unattained Low Risk</w:t>
            </w:r>
          </w:p>
          <w:p w14:paraId="72E331A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0F5EF2D" w14:textId="77777777" w:rsidR="00000000" w:rsidRDefault="00000000">
            <w:pPr>
              <w:keepNext/>
              <w:spacing w:before="60" w:after="60"/>
              <w:jc w:val="center"/>
              <w:rPr>
                <w:rFonts w:cs="Arial"/>
                <w:b/>
                <w:sz w:val="20"/>
                <w:szCs w:val="20"/>
              </w:rPr>
            </w:pPr>
            <w:r>
              <w:rPr>
                <w:rFonts w:cs="Arial"/>
                <w:b/>
                <w:sz w:val="20"/>
                <w:szCs w:val="20"/>
              </w:rPr>
              <w:t>Unattained Moderate Risk</w:t>
            </w:r>
          </w:p>
          <w:p w14:paraId="45E55AB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AD57E91" w14:textId="77777777" w:rsidR="00000000" w:rsidRDefault="00000000">
            <w:pPr>
              <w:keepNext/>
              <w:spacing w:before="60" w:after="60"/>
              <w:jc w:val="center"/>
              <w:rPr>
                <w:rFonts w:cs="Arial"/>
                <w:b/>
                <w:sz w:val="20"/>
                <w:szCs w:val="20"/>
              </w:rPr>
            </w:pPr>
            <w:r>
              <w:rPr>
                <w:rFonts w:cs="Arial"/>
                <w:b/>
                <w:sz w:val="20"/>
                <w:szCs w:val="20"/>
              </w:rPr>
              <w:t>Unattained High Risk</w:t>
            </w:r>
          </w:p>
          <w:p w14:paraId="3B65259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260E6EE" w14:textId="77777777" w:rsidR="00000000" w:rsidRDefault="00000000">
            <w:pPr>
              <w:keepNext/>
              <w:spacing w:before="60" w:after="60"/>
              <w:jc w:val="center"/>
              <w:rPr>
                <w:rFonts w:cs="Arial"/>
                <w:b/>
                <w:sz w:val="20"/>
                <w:szCs w:val="20"/>
              </w:rPr>
            </w:pPr>
            <w:r>
              <w:rPr>
                <w:rFonts w:cs="Arial"/>
                <w:b/>
                <w:sz w:val="20"/>
                <w:szCs w:val="20"/>
              </w:rPr>
              <w:t>Unattained Critical Risk</w:t>
            </w:r>
          </w:p>
          <w:p w14:paraId="4A880BB5" w14:textId="77777777" w:rsidR="00000000" w:rsidRDefault="00000000">
            <w:pPr>
              <w:keepNext/>
              <w:spacing w:before="60" w:after="60"/>
              <w:jc w:val="center"/>
              <w:rPr>
                <w:rFonts w:cs="Arial"/>
                <w:b/>
                <w:sz w:val="20"/>
                <w:szCs w:val="20"/>
              </w:rPr>
            </w:pPr>
            <w:r>
              <w:rPr>
                <w:rFonts w:cs="Arial"/>
                <w:b/>
                <w:sz w:val="20"/>
                <w:szCs w:val="20"/>
              </w:rPr>
              <w:t>(UA Critical)</w:t>
            </w:r>
          </w:p>
        </w:tc>
      </w:tr>
      <w:tr w:rsidR="00E57203" w14:paraId="6CE540A4" w14:textId="77777777">
        <w:tc>
          <w:tcPr>
            <w:tcW w:w="1384" w:type="dxa"/>
            <w:vAlign w:val="center"/>
          </w:tcPr>
          <w:p w14:paraId="106C5DF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85D2D4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99E321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4F4728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0DA542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2DBFF7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57203" w14:paraId="4CC1B7DB" w14:textId="77777777">
        <w:tc>
          <w:tcPr>
            <w:tcW w:w="1384" w:type="dxa"/>
            <w:vAlign w:val="center"/>
          </w:tcPr>
          <w:p w14:paraId="31EDB27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6E34B0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8C22B4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C04080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1B5EE2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B7F468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EB72E5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4799B0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83CD95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16BE11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1374"/>
        <w:gridCol w:w="6986"/>
      </w:tblGrid>
      <w:tr w:rsidR="00E57203" w14:paraId="0F93D184" w14:textId="77777777">
        <w:tc>
          <w:tcPr>
            <w:tcW w:w="0" w:type="auto"/>
          </w:tcPr>
          <w:p w14:paraId="52A6DF1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6C91D9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81187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57203" w14:paraId="14E7B3F4" w14:textId="77777777">
        <w:tc>
          <w:tcPr>
            <w:tcW w:w="0" w:type="auto"/>
          </w:tcPr>
          <w:p w14:paraId="34D971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4DE263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96DFA3B" w14:textId="77777777" w:rsidR="00000000" w:rsidRPr="00BE00C7" w:rsidRDefault="00000000" w:rsidP="00BE00C7">
            <w:pPr>
              <w:pStyle w:val="OutcomeDescription"/>
              <w:spacing w:before="120" w:after="120"/>
              <w:rPr>
                <w:rFonts w:cs="Arial"/>
                <w:lang w:eastAsia="en-NZ"/>
              </w:rPr>
            </w:pPr>
          </w:p>
        </w:tc>
        <w:tc>
          <w:tcPr>
            <w:tcW w:w="0" w:type="auto"/>
          </w:tcPr>
          <w:p w14:paraId="7B257D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5AEF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Falls has a Māori Health Care Plan, which guides the delivery of care to Māori using te whare tapa whā and ensuring their mana motuhake is respected. The documentation reviewed contained templates for cultural assessments, Māori health care plans, and New Zealand strategy documents to inform culturally safe practices. </w:t>
            </w:r>
          </w:p>
          <w:p w14:paraId="039F84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developed policies, procedures, and processes to embed and enact Te Tiriti o Waitangi in all aspects of its work. The village manager (VM) and the care centre manager (CCM) reported that there were no residents or staff who identified as Māori.</w:t>
            </w:r>
          </w:p>
          <w:p w14:paraId="19B8AD1D"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and interviews with the management that include the VM, CCM, regional quality manager (RQM), property manager (PM), chef manager (CM), and staff (two registered nurses [RNs], four caregivers [CGs], clinical nurse lead [CNL], physiotherapist [PT]), confirmed that the service delivers a service that is focused on the health, well-being, and cultural needs of its residents.</w:t>
            </w:r>
          </w:p>
          <w:p w14:paraId="5CD5E60F" w14:textId="77777777" w:rsidR="00000000" w:rsidRPr="00BE00C7" w:rsidRDefault="00000000" w:rsidP="00BE00C7">
            <w:pPr>
              <w:pStyle w:val="OutcomeDescription"/>
              <w:spacing w:before="120" w:after="120"/>
              <w:rPr>
                <w:rFonts w:cs="Arial"/>
                <w:lang w:eastAsia="en-NZ"/>
              </w:rPr>
            </w:pPr>
          </w:p>
        </w:tc>
      </w:tr>
      <w:tr w:rsidR="00E57203" w14:paraId="19E9E47C" w14:textId="77777777">
        <w:tc>
          <w:tcPr>
            <w:tcW w:w="0" w:type="auto"/>
          </w:tcPr>
          <w:p w14:paraId="17EF5D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4EA6F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lastRenderedPageBreak/>
              <w:t>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0C44250" w14:textId="77777777" w:rsidR="00000000" w:rsidRPr="00BE00C7" w:rsidRDefault="00000000" w:rsidP="00BE00C7">
            <w:pPr>
              <w:pStyle w:val="OutcomeDescription"/>
              <w:spacing w:before="120" w:after="120"/>
              <w:rPr>
                <w:rFonts w:cs="Arial"/>
                <w:lang w:eastAsia="en-NZ"/>
              </w:rPr>
            </w:pPr>
          </w:p>
        </w:tc>
        <w:tc>
          <w:tcPr>
            <w:tcW w:w="0" w:type="auto"/>
          </w:tcPr>
          <w:p w14:paraId="4430D5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7A57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acknowledge respectful </w:t>
            </w:r>
            <w:r w:rsidRPr="00BE00C7">
              <w:rPr>
                <w:rFonts w:cs="Arial"/>
                <w:lang w:eastAsia="en-NZ"/>
              </w:rPr>
              <w:lastRenderedPageBreak/>
              <w:t>relationships, valuing families and provide high quality healthcare. The service had no residents who identify as Pacific. There are currently staff employed that identify as Pacific. The staff interviewed highlighted the importance of understanding and supporting each other’s culture.</w:t>
            </w:r>
          </w:p>
          <w:p w14:paraId="10835894" w14:textId="77777777" w:rsidR="00000000" w:rsidRPr="00BE00C7" w:rsidRDefault="00000000" w:rsidP="00BE00C7">
            <w:pPr>
              <w:pStyle w:val="OutcomeDescription"/>
              <w:spacing w:before="120" w:after="120"/>
              <w:rPr>
                <w:rFonts w:cs="Arial"/>
                <w:lang w:eastAsia="en-NZ"/>
              </w:rPr>
            </w:pPr>
          </w:p>
        </w:tc>
      </w:tr>
      <w:tr w:rsidR="00E57203" w14:paraId="1A9EDDDA" w14:textId="77777777">
        <w:tc>
          <w:tcPr>
            <w:tcW w:w="0" w:type="auto"/>
          </w:tcPr>
          <w:p w14:paraId="3CEF1D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C56F0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E47E839" w14:textId="77777777" w:rsidR="00000000" w:rsidRPr="00BE00C7" w:rsidRDefault="00000000" w:rsidP="00BE00C7">
            <w:pPr>
              <w:pStyle w:val="OutcomeDescription"/>
              <w:spacing w:before="120" w:after="120"/>
              <w:rPr>
                <w:rFonts w:cs="Arial"/>
                <w:lang w:eastAsia="en-NZ"/>
              </w:rPr>
            </w:pPr>
          </w:p>
        </w:tc>
        <w:tc>
          <w:tcPr>
            <w:tcW w:w="0" w:type="auto"/>
          </w:tcPr>
          <w:p w14:paraId="57A4CD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72CF7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Health and Disability Commissioner’s (HDC) Code of Health and Disability Services Consumers Rights (the Code) and were observed supporting residents to follow their wishes. Two family/whānau (hospital level of care), and six residents including four rest home and two hospital reported being made aware of the Code and the Nationwide Health and Disability Advocacy Service (Advocacy Service) and confirmed they were provided with opportunities to discuss and clarify their rights.</w:t>
            </w:r>
          </w:p>
          <w:p w14:paraId="178D1658" w14:textId="77777777" w:rsidR="00000000" w:rsidRPr="00BE00C7" w:rsidRDefault="00000000" w:rsidP="00BE00C7">
            <w:pPr>
              <w:pStyle w:val="OutcomeDescription"/>
              <w:spacing w:before="120" w:after="120"/>
              <w:rPr>
                <w:rFonts w:cs="Arial"/>
                <w:lang w:eastAsia="en-NZ"/>
              </w:rPr>
            </w:pPr>
          </w:p>
        </w:tc>
      </w:tr>
      <w:tr w:rsidR="00E57203" w14:paraId="5765A6D3" w14:textId="77777777">
        <w:tc>
          <w:tcPr>
            <w:tcW w:w="0" w:type="auto"/>
          </w:tcPr>
          <w:p w14:paraId="5BB1AA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9DEDE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60FA919" w14:textId="77777777" w:rsidR="00000000" w:rsidRPr="00BE00C7" w:rsidRDefault="00000000" w:rsidP="00BE00C7">
            <w:pPr>
              <w:pStyle w:val="OutcomeDescription"/>
              <w:spacing w:before="120" w:after="120"/>
              <w:rPr>
                <w:rFonts w:cs="Arial"/>
                <w:lang w:eastAsia="en-NZ"/>
              </w:rPr>
            </w:pPr>
          </w:p>
        </w:tc>
        <w:tc>
          <w:tcPr>
            <w:tcW w:w="0" w:type="auto"/>
          </w:tcPr>
          <w:p w14:paraId="21D6D9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51D80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40D9A4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VM and CCM reported that staff are guided by the code of conduct to ensure the environment is safe and free from any form of institutional and/or systemic racism. 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789A6D72" w14:textId="77777777" w:rsidR="00000000" w:rsidRPr="00BE00C7" w:rsidRDefault="00000000" w:rsidP="00BE00C7">
            <w:pPr>
              <w:pStyle w:val="OutcomeDescription"/>
              <w:spacing w:before="120" w:after="120"/>
              <w:rPr>
                <w:rFonts w:cs="Arial"/>
                <w:lang w:eastAsia="en-NZ"/>
              </w:rPr>
            </w:pPr>
          </w:p>
        </w:tc>
      </w:tr>
      <w:tr w:rsidR="00E57203" w14:paraId="0D227143" w14:textId="77777777">
        <w:tc>
          <w:tcPr>
            <w:tcW w:w="0" w:type="auto"/>
          </w:tcPr>
          <w:p w14:paraId="71BDC2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7DF28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714E9A3" w14:textId="77777777" w:rsidR="00000000" w:rsidRPr="00BE00C7" w:rsidRDefault="00000000" w:rsidP="00BE00C7">
            <w:pPr>
              <w:pStyle w:val="OutcomeDescription"/>
              <w:spacing w:before="120" w:after="120"/>
              <w:rPr>
                <w:rFonts w:cs="Arial"/>
                <w:lang w:eastAsia="en-NZ"/>
              </w:rPr>
            </w:pPr>
          </w:p>
        </w:tc>
        <w:tc>
          <w:tcPr>
            <w:tcW w:w="0" w:type="auto"/>
          </w:tcPr>
          <w:p w14:paraId="285401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C12229" w14:textId="77777777" w:rsidR="00000000" w:rsidRPr="00BE00C7" w:rsidRDefault="00000000"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Resuscitation forms, and care plans were signed by residents who are competent and able to consent, and a medical decision was made by the general practitioner (GP) for residents who were unable to provide consent.</w:t>
            </w:r>
          </w:p>
          <w:p w14:paraId="414848ED" w14:textId="77777777" w:rsidR="00000000" w:rsidRPr="00BE00C7" w:rsidRDefault="00000000" w:rsidP="00BE00C7">
            <w:pPr>
              <w:pStyle w:val="OutcomeDescription"/>
              <w:spacing w:before="120" w:after="120"/>
              <w:rPr>
                <w:rFonts w:cs="Arial"/>
                <w:lang w:eastAsia="en-NZ"/>
              </w:rPr>
            </w:pPr>
          </w:p>
        </w:tc>
      </w:tr>
      <w:tr w:rsidR="00E57203" w14:paraId="2322C194" w14:textId="77777777">
        <w:tc>
          <w:tcPr>
            <w:tcW w:w="0" w:type="auto"/>
          </w:tcPr>
          <w:p w14:paraId="7D5FBD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CF7BC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706E167" w14:textId="77777777" w:rsidR="00000000" w:rsidRPr="00BE00C7" w:rsidRDefault="00000000" w:rsidP="00BE00C7">
            <w:pPr>
              <w:pStyle w:val="OutcomeDescription"/>
              <w:spacing w:before="120" w:after="120"/>
              <w:rPr>
                <w:rFonts w:cs="Arial"/>
                <w:lang w:eastAsia="en-NZ"/>
              </w:rPr>
            </w:pPr>
          </w:p>
        </w:tc>
        <w:tc>
          <w:tcPr>
            <w:tcW w:w="0" w:type="auto"/>
          </w:tcPr>
          <w:p w14:paraId="4E01E5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D47B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policy and procedures were clearly documented to guide staff. The process complies with Right 10 of the Code, which is the right to complain, to be taken seriously, respected and to receive a timely response. The service maintains a complaints register. </w:t>
            </w:r>
          </w:p>
          <w:p w14:paraId="27A242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three complaints in 2024, and none in 2025 (year to date) since the previous audit. The VM reported that the complaint process timeframes are adhered to, and service improvement measures are implemented as required. Documentation, including follow-up letters and resolution, was completed and managed in accordance with guidelines set by the HDC. Discussions with residents and family/whānau confirmed that they are provided with information on the complaints process and remarked that any concerns or issues they had, were addressed promptly. The VM reported that any issues are discussed promptly with the residents before they escalate into complaints. Satisfaction and dissatisfaction outcomes of the complainant were documented.</w:t>
            </w:r>
          </w:p>
          <w:p w14:paraId="16D4A2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residents making a complaint can involve an independent support person in the process if they choose. The complaints process is linked to advocacy services. The Code is visible and available in te reo Māori and English. The residents and family/whānau spoken with expressed satisfaction with the complaint process. In the event of a </w:t>
            </w:r>
            <w:r w:rsidRPr="00BE00C7">
              <w:rPr>
                <w:rFonts w:cs="Arial"/>
                <w:lang w:eastAsia="en-NZ"/>
              </w:rPr>
              <w:lastRenderedPageBreak/>
              <w:t>complaint from a Māori resident or family/whānau member, the service would seek the assistance of an interpreter or cultural advisor if needed.</w:t>
            </w:r>
          </w:p>
          <w:p w14:paraId="767203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external complaints received since the last audit.</w:t>
            </w:r>
          </w:p>
          <w:p w14:paraId="0EEC87CF" w14:textId="77777777" w:rsidR="00000000" w:rsidRPr="00BE00C7" w:rsidRDefault="00000000" w:rsidP="00BE00C7">
            <w:pPr>
              <w:pStyle w:val="OutcomeDescription"/>
              <w:spacing w:before="120" w:after="120"/>
              <w:rPr>
                <w:rFonts w:cs="Arial"/>
                <w:lang w:eastAsia="en-NZ"/>
              </w:rPr>
            </w:pPr>
          </w:p>
        </w:tc>
      </w:tr>
      <w:tr w:rsidR="00E57203" w14:paraId="4ADB581E" w14:textId="77777777">
        <w:tc>
          <w:tcPr>
            <w:tcW w:w="0" w:type="auto"/>
          </w:tcPr>
          <w:p w14:paraId="076919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5F653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5F8704D" w14:textId="77777777" w:rsidR="00000000" w:rsidRPr="00BE00C7" w:rsidRDefault="00000000" w:rsidP="00BE00C7">
            <w:pPr>
              <w:pStyle w:val="OutcomeDescription"/>
              <w:spacing w:before="120" w:after="120"/>
              <w:rPr>
                <w:rFonts w:cs="Arial"/>
                <w:lang w:eastAsia="en-NZ"/>
              </w:rPr>
            </w:pPr>
          </w:p>
        </w:tc>
        <w:tc>
          <w:tcPr>
            <w:tcW w:w="0" w:type="auto"/>
          </w:tcPr>
          <w:p w14:paraId="16F91B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A4D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Falls is located in Warkworth. The care centre is situated on level one of a two story building. The service has 41 beds across the care centre and 44 rest home beds in the serviced apartments. All care centre beds are certified for dual purpose. There are no double or shared rooms. </w:t>
            </w:r>
          </w:p>
          <w:p w14:paraId="67D0AF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a total of 42 residents. There were 29 residents at hospital level of care and nine residents at rest home level of care, including one resident using respite care, and four residents in the serviced apartments. All residents were under the aged-related residential care contract (ARRC) apart from the resident using respite care. </w:t>
            </w:r>
          </w:p>
          <w:p w14:paraId="4BF5B3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an experienced village manager, supported by the care centre manager, clinical nurse lead, the wider senior leadership team, and the governing body.</w:t>
            </w:r>
          </w:p>
          <w:p w14:paraId="2C0089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overarching company-wide strategic business plan in place that outlines national goals. Summerset Falls operates with key village priorities that align with the organisation’s scope, direction, goals, values, and mission statement. The documentation describes both annual and long-term objectives, supported by associated operational plans. The objectives sighted were time-framed and included defined action steps, with regular reporting by the village manager to the group operations manager. The VM reported that key performance indicators are reviewed quarterly. Meeting minutes evidenced discussion of objectives and progress against these. A quality and risk management plan is in place and is updated as required and at least annually. The senior leadership team reviews all aspects of the quality programme on an annual basis.</w:t>
            </w:r>
          </w:p>
          <w:p w14:paraId="2BB1A4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holds accountability for the delivery of high-quality services, including supporting the meaningful inclusion of Māori and Pasifika in recognition of Te Tiriti o Waitangi and maintaining a focus on improving outcomes for Māori and Pasifika. Equity for Māori and Pasifika is addressed through policy documentation and is supported by promoting choice and control over supports, as well as the removal of barriers to accessing </w:t>
            </w:r>
            <w:r w:rsidRPr="00BE00C7">
              <w:rPr>
                <w:rFonts w:cs="Arial"/>
                <w:lang w:eastAsia="en-NZ"/>
              </w:rPr>
              <w:lastRenderedPageBreak/>
              <w:t>information, such as the provision of information in alternative languages for the Code, complaints processes, and infection prevention and control. Local Māori organisations are consulted in relation to policy development and the provision of cultural advice. The village manager was knowledgeable about relevant legislative and contractual requirements.</w:t>
            </w:r>
          </w:p>
          <w:p w14:paraId="590957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The national clinical review group (governing body) provides clinical governance over the care and clinical systems for Summerset operations.</w:t>
            </w:r>
          </w:p>
          <w:p w14:paraId="567B14D7" w14:textId="77777777" w:rsidR="00000000" w:rsidRPr="00BE00C7" w:rsidRDefault="00000000" w:rsidP="00BE00C7">
            <w:pPr>
              <w:pStyle w:val="OutcomeDescription"/>
              <w:spacing w:before="120" w:after="120"/>
              <w:rPr>
                <w:rFonts w:cs="Arial"/>
                <w:lang w:eastAsia="en-NZ"/>
              </w:rPr>
            </w:pPr>
          </w:p>
        </w:tc>
      </w:tr>
      <w:tr w:rsidR="00E57203" w14:paraId="4F2E9A8D" w14:textId="77777777">
        <w:tc>
          <w:tcPr>
            <w:tcW w:w="0" w:type="auto"/>
          </w:tcPr>
          <w:p w14:paraId="5BD052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206B0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5B60F35" w14:textId="77777777" w:rsidR="00000000" w:rsidRPr="00BE00C7" w:rsidRDefault="00000000" w:rsidP="00BE00C7">
            <w:pPr>
              <w:pStyle w:val="OutcomeDescription"/>
              <w:spacing w:before="120" w:after="120"/>
              <w:rPr>
                <w:rFonts w:cs="Arial"/>
                <w:lang w:eastAsia="en-NZ"/>
              </w:rPr>
            </w:pPr>
          </w:p>
        </w:tc>
        <w:tc>
          <w:tcPr>
            <w:tcW w:w="0" w:type="auto"/>
          </w:tcPr>
          <w:p w14:paraId="24723C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99D2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2126D15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clinical, such as infections, bruising, pressure injuries, skin tears, urinary tract infections, restraint, etc), quality data, health and safety, infection control/pandemic strategies, complaints received (if any), staffing, and education. Meeting minutes and quality data tables are also posted in the staffroom.</w:t>
            </w:r>
          </w:p>
          <w:p w14:paraId="693A7F0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 satisfaction surveys completed in September 2025 indicated high levels of satisfaction across all domains, including complaints management, communication, living in the village, and likelihood of recommending the village. The survey achieved a Net Promoter Score of +27, demonstrating a significant improvement compared with the score of -28 recorded in March 2023.</w:t>
            </w:r>
          </w:p>
          <w:p w14:paraId="042809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plan, along with associated policies and procedures, outlines identified internal and external risks and corresponding </w:t>
            </w:r>
            <w:r w:rsidRPr="00BE00C7">
              <w:rPr>
                <w:rFonts w:cs="Arial"/>
                <w:lang w:eastAsia="en-NZ"/>
              </w:rPr>
              <w:lastRenderedPageBreak/>
              <w:t>mitigation strategies in alignment with the National Adverse Event Reporting Policy. Management demonstrated knowledge of Severity Assessment Codes (SAC), including SAC 1 and SAC 2 reporting requirements. Incidents were reported in accordance with protocol and included five falls resulting in injury. Discussions with the management team evidenced awareness of requirements to notify relevant authorities in relation to essential notifications. Essential notifications sighted included a police investigation related to a resident scamming incident and a fire within the laundry department. Infection outbreak notifications for three outbreaks in 2024 were completed in accordance with reporting requirements.</w:t>
            </w:r>
          </w:p>
          <w:p w14:paraId="0F0B25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supported by a committee with representatives from each department that meets monthly. Hazard identification is completed electronically, and an up-to-date hazard register was sighted. Health and safety policies are overseen by the health and safety committee. Monthly meetings are held with the national health and safety manager, and a monthly ‘Golden Rule’ theme is used to maintain a focused approach to health and safety. There are regular manual handling sessions for staff. Staff state that they are kept informed on health and safety. </w:t>
            </w:r>
          </w:p>
          <w:p w14:paraId="39AF5646"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reports are completed for each incident/accident, with immediate action noted and any follow-up action(s) required. Incident and accident data is collated monthly and analysed for trends. Results are discussed at the meetings. Ten resident-related accident/incident forms were reviewed. Each event involving a resident reflected a clinical assessment and follow up by a registered nurse.</w:t>
            </w:r>
          </w:p>
          <w:p w14:paraId="168D8B88" w14:textId="77777777" w:rsidR="00000000" w:rsidRPr="00BE00C7" w:rsidRDefault="00000000" w:rsidP="00BE00C7">
            <w:pPr>
              <w:pStyle w:val="OutcomeDescription"/>
              <w:spacing w:before="120" w:after="120"/>
              <w:rPr>
                <w:rFonts w:cs="Arial"/>
                <w:lang w:eastAsia="en-NZ"/>
              </w:rPr>
            </w:pPr>
          </w:p>
        </w:tc>
      </w:tr>
      <w:tr w:rsidR="00E57203" w14:paraId="535AB653" w14:textId="77777777">
        <w:tc>
          <w:tcPr>
            <w:tcW w:w="0" w:type="auto"/>
          </w:tcPr>
          <w:p w14:paraId="49EBEB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AAD53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666C910F" w14:textId="77777777" w:rsidR="00000000" w:rsidRPr="00BE00C7" w:rsidRDefault="00000000" w:rsidP="00BE00C7">
            <w:pPr>
              <w:pStyle w:val="OutcomeDescription"/>
              <w:spacing w:before="120" w:after="120"/>
              <w:rPr>
                <w:rFonts w:cs="Arial"/>
                <w:lang w:eastAsia="en-NZ"/>
              </w:rPr>
            </w:pPr>
          </w:p>
        </w:tc>
        <w:tc>
          <w:tcPr>
            <w:tcW w:w="0" w:type="auto"/>
          </w:tcPr>
          <w:p w14:paraId="6E05D8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40F7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has been adequate staff at the service. Residents and family/whānau interviewed supported this.</w:t>
            </w:r>
          </w:p>
          <w:p w14:paraId="646E50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from the past four weeks showed that all shifts were covered by experienced registered nurses and care staff, with support from the management team. The service employs eight full-time registered nurses </w:t>
            </w:r>
            <w:r w:rsidRPr="00BE00C7">
              <w:rPr>
                <w:rFonts w:cs="Arial"/>
                <w:lang w:eastAsia="en-NZ"/>
              </w:rPr>
              <w:lastRenderedPageBreak/>
              <w:t>and three casuals. A significant number of staff members maintain current first-aid certificates, so there is always a first aider on site.</w:t>
            </w:r>
          </w:p>
          <w:p w14:paraId="77247B60"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CCM reported that most of the training is completed online or face-to-face, every month. Evidence of regular education provided to staff was sighted in attendance records. Training topics included (but not limited to): Covid-19 (donning and doffing of personal protective equipment and standard infection control precautions); moving and handling; medication; de-escalation; pain management; falls prevention and management; care planning; chemical training; skin management; safe food handling; effective communication; advocacy; sexuality and intimacy; skin and wound management; continence management; abuse and neglect; first aid; fire evacuation; and restraint management.</w:t>
            </w:r>
          </w:p>
          <w:p w14:paraId="4D9E10CE" w14:textId="77777777" w:rsidR="00000000" w:rsidRPr="00BE00C7" w:rsidRDefault="00000000" w:rsidP="00BE00C7">
            <w:pPr>
              <w:pStyle w:val="OutcomeDescription"/>
              <w:spacing w:before="120" w:after="120"/>
              <w:rPr>
                <w:rFonts w:cs="Arial"/>
                <w:lang w:eastAsia="en-NZ"/>
              </w:rPr>
            </w:pPr>
            <w:r w:rsidRPr="00BE00C7">
              <w:rPr>
                <w:rFonts w:cs="Arial"/>
                <w:lang w:eastAsia="en-NZ"/>
              </w:rPr>
              <w:t>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There are 30 care staff employed. Twelve have achieved NZQA qualification level four, six with level three, seven with level two, and five with level 0. The management team reported that the model of care ensured that all residents are treated equitably.</w:t>
            </w:r>
          </w:p>
          <w:p w14:paraId="43F77D49"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088E3A2E" w14:textId="77777777" w:rsidR="00000000" w:rsidRPr="00BE00C7" w:rsidRDefault="00000000" w:rsidP="00BE00C7">
            <w:pPr>
              <w:pStyle w:val="OutcomeDescription"/>
              <w:spacing w:before="120" w:after="120"/>
              <w:rPr>
                <w:rFonts w:cs="Arial"/>
                <w:lang w:eastAsia="en-NZ"/>
              </w:rPr>
            </w:pPr>
          </w:p>
        </w:tc>
      </w:tr>
      <w:tr w:rsidR="00E57203" w14:paraId="475FDB64" w14:textId="77777777">
        <w:tc>
          <w:tcPr>
            <w:tcW w:w="0" w:type="auto"/>
          </w:tcPr>
          <w:p w14:paraId="5A1170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A089E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67C2CF62" w14:textId="77777777" w:rsidR="00000000" w:rsidRPr="00BE00C7" w:rsidRDefault="00000000" w:rsidP="00BE00C7">
            <w:pPr>
              <w:pStyle w:val="OutcomeDescription"/>
              <w:spacing w:before="120" w:after="120"/>
              <w:rPr>
                <w:rFonts w:cs="Arial"/>
                <w:lang w:eastAsia="en-NZ"/>
              </w:rPr>
            </w:pPr>
          </w:p>
        </w:tc>
        <w:tc>
          <w:tcPr>
            <w:tcW w:w="0" w:type="auto"/>
          </w:tcPr>
          <w:p w14:paraId="379AD9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9D1A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08063F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registered nurses and associated health contractors. </w:t>
            </w:r>
          </w:p>
          <w:p w14:paraId="72D060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staff records reviewed confirmed the organisation’s policies are </w:t>
            </w:r>
            <w:r w:rsidRPr="00BE00C7">
              <w:rPr>
                <w:rFonts w:cs="Arial"/>
                <w:lang w:eastAsia="en-NZ"/>
              </w:rPr>
              <w:lastRenderedPageBreak/>
              <w:t>being consistently implemented. All staff records reviewed evidenced completed induction and orientation. A total of six staff files (care centre manager, clinical nurse lead, chef manager, diversional therapist [DT], caregiver, and one cleaner) were reviewed. Staff files included reference checks; police checks; appraisals; competencies; individual training plans; professional qualifications; orientation; employment agreements; and position descriptions.</w:t>
            </w:r>
          </w:p>
          <w:p w14:paraId="3F21B7D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0B975335" w14:textId="77777777" w:rsidR="00000000" w:rsidRPr="00BE00C7" w:rsidRDefault="00000000" w:rsidP="00BE00C7">
            <w:pPr>
              <w:pStyle w:val="OutcomeDescription"/>
              <w:spacing w:before="120" w:after="120"/>
              <w:rPr>
                <w:rFonts w:cs="Arial"/>
                <w:lang w:eastAsia="en-NZ"/>
              </w:rPr>
            </w:pPr>
          </w:p>
        </w:tc>
      </w:tr>
      <w:tr w:rsidR="00E57203" w14:paraId="7337E331" w14:textId="77777777">
        <w:tc>
          <w:tcPr>
            <w:tcW w:w="0" w:type="auto"/>
          </w:tcPr>
          <w:p w14:paraId="43705B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87604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2A4C8A1" w14:textId="77777777" w:rsidR="00000000" w:rsidRPr="00BE00C7" w:rsidRDefault="00000000" w:rsidP="00BE00C7">
            <w:pPr>
              <w:pStyle w:val="OutcomeDescription"/>
              <w:spacing w:before="120" w:after="120"/>
              <w:rPr>
                <w:rFonts w:cs="Arial"/>
                <w:lang w:eastAsia="en-NZ"/>
              </w:rPr>
            </w:pPr>
          </w:p>
        </w:tc>
        <w:tc>
          <w:tcPr>
            <w:tcW w:w="0" w:type="auto"/>
          </w:tcPr>
          <w:p w14:paraId="36B1B3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3F8492"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five resident files indicated that initial assessments and care plans were resident-centred and completed in a timely manner. Of these, three residents required hospital-level care and two required rest home-level care, including one resident on a respite contract. The service utilises assessment tools that take into account residents lived experiences, cultural needs, values, and beliefs. Nursing care is provided by appropriately trained and skilled staff, including the nursing team and care staff.</w:t>
            </w:r>
          </w:p>
          <w:p w14:paraId="51CDBDC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were completed within 21 days of admission, and long-term care plans were reviewed following these reassessments. Cultural assessments were conducted by the nursing team in consultation with residents and their family/whānau. Long-term care plans were developed for each resident, with evaluations completed at least six-monthly. Resident, family/whānau, enduring power of attorney (EPOA), and general practitioner (GP) involvement is actively encouraged in the planning of care.</w:t>
            </w:r>
          </w:p>
          <w:p w14:paraId="5CF6C5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completes the residents’ medical admission within the required timeframes and conducts medical reviews promptly. Completed medical records were sighted in all files sampled. The GP reported that communication was conducted in a transparent manner, medical input was sought in a timely manner, medical orders were followed, and care was resident centred. The residents’ files sampled identified service integration with other members of the health team. Multidisciplinary team (MDT) meetings were completed six-monthly.</w:t>
            </w:r>
          </w:p>
          <w:p w14:paraId="020A48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leader (CNL) and registered nurses reported that </w:t>
            </w:r>
            <w:r w:rsidRPr="00BE00C7">
              <w:rPr>
                <w:rFonts w:cs="Arial"/>
                <w:lang w:eastAsia="en-NZ"/>
              </w:rPr>
              <w:lastRenderedPageBreak/>
              <w:t>sufficient and appropriate information is shared at each staff handover. Interviewed staff confirmed they receive daily updates regarding each resident’s condition. Progress notes are completed every shift and more frequently when there are changes in a resident’s condition.</w:t>
            </w:r>
          </w:p>
          <w:p w14:paraId="5F96C658"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to address temporary problems or significant changes in a resident’s condition, with interventions clearly outlined to guide staff. These plans are reviewed weekly, or more frequently if clinically indicated, based on assessed risk. If a condition persists beyond three weeks, the short-term plan is incorporated into the long-term care plan. Any changes in condition are reported to the charge nurse or registered nurses, as evidenced in sampled records. Interviews also confirmed that residents and their family/whānau are kept informed and included in all updates.</w:t>
            </w:r>
          </w:p>
          <w:p w14:paraId="364405D3"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residents’ progress differed from expected outcomes, the service, in collaboration with the resident and/or family/whānau, responded by updating the care plan. Where a significant change in a resident’s condition occurred prior to the scheduled review, an InterRAI reassessment was completed. A range of equipment and resources were available, appropriate to the levels of care provided and aligned with residents’ needs. Interviews with residents and family/whānau confirmed their active involvement in evaluating progress and any subsequent changes to care.</w:t>
            </w:r>
          </w:p>
          <w:p w14:paraId="6AA030B0"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43 active wounds, comprising 27 skin tears or abrasions and 16 chronic wounds. Wound management plans were implemented, with regular evaluations completed. The CNL reported that wound nurse specialists attended to pressure injuries and chronic wounds as required.</w:t>
            </w:r>
          </w:p>
          <w:p w14:paraId="1E78C341"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monitoring charts were used to assess and monitor residents, including food and fluid balance charts, turning charts, weight charts, behaviour monitoring charts, restraint monitoring charts, neurological observation forms, blood glucose records, and bowel charts.</w:t>
            </w:r>
          </w:p>
          <w:p w14:paraId="7D8BB1FB" w14:textId="77777777" w:rsidR="00000000" w:rsidRPr="00BE00C7" w:rsidRDefault="00000000" w:rsidP="00AC228A">
            <w:pPr>
              <w:pStyle w:val="OutcomeDescription"/>
              <w:spacing w:before="120" w:after="120"/>
              <w:rPr>
                <w:rFonts w:cs="Arial"/>
                <w:lang w:eastAsia="en-NZ"/>
              </w:rPr>
            </w:pPr>
          </w:p>
        </w:tc>
      </w:tr>
      <w:tr w:rsidR="00E57203" w14:paraId="37BE5B0E" w14:textId="77777777">
        <w:tc>
          <w:tcPr>
            <w:tcW w:w="0" w:type="auto"/>
          </w:tcPr>
          <w:p w14:paraId="4213B6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93ED6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AA65DD4" w14:textId="77777777" w:rsidR="00000000" w:rsidRPr="00BE00C7" w:rsidRDefault="00000000" w:rsidP="00BE00C7">
            <w:pPr>
              <w:pStyle w:val="OutcomeDescription"/>
              <w:spacing w:before="120" w:after="120"/>
              <w:rPr>
                <w:rFonts w:cs="Arial"/>
                <w:lang w:eastAsia="en-NZ"/>
              </w:rPr>
            </w:pPr>
          </w:p>
        </w:tc>
        <w:tc>
          <w:tcPr>
            <w:tcW w:w="0" w:type="auto"/>
          </w:tcPr>
          <w:p w14:paraId="6B6A75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1EB7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Administration records were maintained. Medications are supplied to the facility from a contracted pharmacy. The GP completes three-monthly medication reviews. A total of </w:t>
            </w:r>
            <w:r w:rsidRPr="00BE00C7">
              <w:rPr>
                <w:rFonts w:cs="Arial"/>
                <w:lang w:eastAsia="en-NZ"/>
              </w:rPr>
              <w:lastRenderedPageBreak/>
              <w:t>10 medication charts, including six hospital and four rest home, including one respite, were reviewed. Allergies were documented, and indications for use are noted for pro re nata (PRN) medications. Eye drops were dated on opening.</w:t>
            </w:r>
          </w:p>
          <w:p w14:paraId="2B67675D"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 Medication incidents were completed in the event of a drug error, and corrective actions were acted upon. A sample of these was reviewed during the audit.</w:t>
            </w:r>
          </w:p>
          <w:p w14:paraId="38F51F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expired or unwanted medicines. Expired medicines are returned to the pharmacy promptly. The medicine fridge and medication room temperatures were monitored regularly, and deviations from normal were reported and attended to promptly. Records were sighted. There was no food in the medication fridge.</w:t>
            </w:r>
          </w:p>
          <w:p w14:paraId="2EB4D5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was observed administering medications safely and correctly. Medications were stored safely and securely in the trolleys, locked treatment rooms, and cupboards.</w:t>
            </w:r>
          </w:p>
          <w:p w14:paraId="6A5DDD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self-administering medications. Appropriate processes were in place to ensure this was managed safely. There is a self-medication policy in place, and this was sighted. There were no standing orders in use.</w:t>
            </w:r>
          </w:p>
          <w:p w14:paraId="2E1A0854" w14:textId="77777777" w:rsidR="00000000" w:rsidRPr="00BE00C7" w:rsidRDefault="00000000" w:rsidP="00BE00C7">
            <w:pPr>
              <w:pStyle w:val="OutcomeDescription"/>
              <w:spacing w:before="120" w:after="120"/>
              <w:rPr>
                <w:rFonts w:cs="Arial"/>
                <w:lang w:eastAsia="en-NZ"/>
              </w:rPr>
            </w:pPr>
          </w:p>
        </w:tc>
      </w:tr>
      <w:tr w:rsidR="00E57203" w14:paraId="4897424D" w14:textId="77777777">
        <w:tc>
          <w:tcPr>
            <w:tcW w:w="0" w:type="auto"/>
          </w:tcPr>
          <w:p w14:paraId="1CB7E8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64EFF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FA854AE" w14:textId="77777777" w:rsidR="00000000" w:rsidRPr="00BE00C7" w:rsidRDefault="00000000" w:rsidP="00BE00C7">
            <w:pPr>
              <w:pStyle w:val="OutcomeDescription"/>
              <w:spacing w:before="120" w:after="120"/>
              <w:rPr>
                <w:rFonts w:cs="Arial"/>
                <w:lang w:eastAsia="en-NZ"/>
              </w:rPr>
            </w:pPr>
          </w:p>
        </w:tc>
        <w:tc>
          <w:tcPr>
            <w:tcW w:w="0" w:type="auto"/>
          </w:tcPr>
          <w:p w14:paraId="67C557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B1FDE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electronic record management system.</w:t>
            </w:r>
          </w:p>
          <w:p w14:paraId="7F659E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27 June 2026.</w:t>
            </w:r>
          </w:p>
          <w:p w14:paraId="7885D319"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interviewed indicated satisfaction with the food service.</w:t>
            </w:r>
          </w:p>
          <w:p w14:paraId="41006E60" w14:textId="77777777" w:rsidR="00000000" w:rsidRPr="00BE00C7" w:rsidRDefault="00000000" w:rsidP="00BE00C7">
            <w:pPr>
              <w:pStyle w:val="OutcomeDescription"/>
              <w:spacing w:before="120" w:after="120"/>
              <w:rPr>
                <w:rFonts w:cs="Arial"/>
                <w:lang w:eastAsia="en-NZ"/>
              </w:rPr>
            </w:pPr>
          </w:p>
        </w:tc>
      </w:tr>
      <w:tr w:rsidR="00E57203" w14:paraId="1670C0C2" w14:textId="77777777">
        <w:tc>
          <w:tcPr>
            <w:tcW w:w="0" w:type="auto"/>
          </w:tcPr>
          <w:p w14:paraId="6DD74D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7BB82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w:t>
            </w:r>
            <w:r w:rsidRPr="00BE00C7">
              <w:rPr>
                <w:rFonts w:cs="Arial"/>
                <w:lang w:eastAsia="en-NZ"/>
              </w:rPr>
              <w:lastRenderedPageBreak/>
              <w:t>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F965B6C" w14:textId="77777777" w:rsidR="00000000" w:rsidRPr="00BE00C7" w:rsidRDefault="00000000" w:rsidP="00BE00C7">
            <w:pPr>
              <w:pStyle w:val="OutcomeDescription"/>
              <w:spacing w:before="120" w:after="120"/>
              <w:rPr>
                <w:rFonts w:cs="Arial"/>
                <w:lang w:eastAsia="en-NZ"/>
              </w:rPr>
            </w:pPr>
          </w:p>
        </w:tc>
        <w:tc>
          <w:tcPr>
            <w:tcW w:w="0" w:type="auto"/>
          </w:tcPr>
          <w:p w14:paraId="763E33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55F2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sampled evidenced that the transfer and discharge planning included risk mitigation and current residents’ needs. The discharge plan </w:t>
            </w:r>
            <w:r w:rsidRPr="00BE00C7">
              <w:rPr>
                <w:rFonts w:cs="Arial"/>
                <w:lang w:eastAsia="en-NZ"/>
              </w:rPr>
              <w:lastRenderedPageBreak/>
              <w:t>sampled confirmed that, where required, a referral to other allied health providers to ensure the safety of the resident was completed. The CCM and CNL reported that all transfers and discharges are developed in collaboration with the resident and family/whānau and the accepting service provider.</w:t>
            </w:r>
          </w:p>
          <w:p w14:paraId="3B506649" w14:textId="77777777" w:rsidR="00000000" w:rsidRPr="00BE00C7" w:rsidRDefault="00000000" w:rsidP="00BE00C7">
            <w:pPr>
              <w:pStyle w:val="OutcomeDescription"/>
              <w:spacing w:before="120" w:after="120"/>
              <w:rPr>
                <w:rFonts w:cs="Arial"/>
                <w:lang w:eastAsia="en-NZ"/>
              </w:rPr>
            </w:pPr>
          </w:p>
        </w:tc>
      </w:tr>
      <w:tr w:rsidR="00E57203" w14:paraId="340A39C8" w14:textId="77777777">
        <w:tc>
          <w:tcPr>
            <w:tcW w:w="0" w:type="auto"/>
          </w:tcPr>
          <w:p w14:paraId="7E9F9B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C2A0D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456A5AE" w14:textId="77777777" w:rsidR="00000000" w:rsidRPr="00BE00C7" w:rsidRDefault="00000000" w:rsidP="00BE00C7">
            <w:pPr>
              <w:pStyle w:val="OutcomeDescription"/>
              <w:spacing w:before="120" w:after="120"/>
              <w:rPr>
                <w:rFonts w:cs="Arial"/>
                <w:lang w:eastAsia="en-NZ"/>
              </w:rPr>
            </w:pPr>
          </w:p>
        </w:tc>
        <w:tc>
          <w:tcPr>
            <w:tcW w:w="0" w:type="auto"/>
          </w:tcPr>
          <w:p w14:paraId="0B1EB4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F8526E"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There is a current building warrant of fitness. Calibration of equipment, and electrical checks were completed, and an inventory is maintained. Hot water temperatures are monitored monthly, with the maintenance team addressing any issues as they arise. There is also a contracted electrician if required.</w:t>
            </w:r>
          </w:p>
          <w:p w14:paraId="587F18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family member’s needs. There were well-maintained garden areas. The environment was clean and tidy throughout the facility.</w:t>
            </w:r>
          </w:p>
          <w:p w14:paraId="1EEE38EA" w14:textId="77777777" w:rsidR="00000000" w:rsidRPr="00BE00C7" w:rsidRDefault="00000000" w:rsidP="00BE00C7">
            <w:pPr>
              <w:pStyle w:val="OutcomeDescription"/>
              <w:spacing w:before="120" w:after="120"/>
              <w:rPr>
                <w:rFonts w:cs="Arial"/>
                <w:lang w:eastAsia="en-NZ"/>
              </w:rPr>
            </w:pPr>
          </w:p>
        </w:tc>
      </w:tr>
      <w:tr w:rsidR="00E57203" w14:paraId="516E495C" w14:textId="77777777">
        <w:tc>
          <w:tcPr>
            <w:tcW w:w="0" w:type="auto"/>
          </w:tcPr>
          <w:p w14:paraId="075780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2DC31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463294F" w14:textId="77777777" w:rsidR="00000000" w:rsidRPr="00BE00C7" w:rsidRDefault="00000000" w:rsidP="00BE00C7">
            <w:pPr>
              <w:pStyle w:val="OutcomeDescription"/>
              <w:spacing w:before="120" w:after="120"/>
              <w:rPr>
                <w:rFonts w:cs="Arial"/>
                <w:lang w:eastAsia="en-NZ"/>
              </w:rPr>
            </w:pPr>
          </w:p>
        </w:tc>
        <w:tc>
          <w:tcPr>
            <w:tcW w:w="0" w:type="auto"/>
          </w:tcPr>
          <w:p w14:paraId="3B3465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1B94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developed with input from external IPC specialists. The programme has been approved by the clinical governance committee in consultation with the CCM, CNL and nursing team and is integrated with the quality improvement programme. The IPC programme is current, and associated policies have been developed by suitably qualified personnel in compliance with relevant legislation and accepted best practice. Policies reflect the requirements of infection prevention and control standards and include appropriate referencing.</w:t>
            </w:r>
          </w:p>
          <w:p w14:paraId="11120C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IPC education during orientation and through ongoing annual online training. Resident education is provided both individually and in group </w:t>
            </w:r>
            <w:r w:rsidRPr="00BE00C7">
              <w:rPr>
                <w:rFonts w:cs="Arial"/>
                <w:lang w:eastAsia="en-NZ"/>
              </w:rPr>
              <w:lastRenderedPageBreak/>
              <w:t>settings, such as residents’ meetings, covering topics including hand hygiene and advice to remain in their rooms when unwell. Interviews with residents and family/whānau confirmed understanding of these practices.</w:t>
            </w:r>
          </w:p>
          <w:p w14:paraId="7C7FE482" w14:textId="77777777" w:rsidR="00000000" w:rsidRPr="00BE00C7" w:rsidRDefault="00000000" w:rsidP="00BE00C7">
            <w:pPr>
              <w:pStyle w:val="OutcomeDescription"/>
              <w:spacing w:before="120" w:after="120"/>
              <w:rPr>
                <w:rFonts w:cs="Arial"/>
                <w:lang w:eastAsia="en-NZ"/>
              </w:rPr>
            </w:pPr>
          </w:p>
        </w:tc>
      </w:tr>
      <w:tr w:rsidR="00E57203" w14:paraId="240FB869" w14:textId="77777777">
        <w:tc>
          <w:tcPr>
            <w:tcW w:w="0" w:type="auto"/>
          </w:tcPr>
          <w:p w14:paraId="0F012B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AE55E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C742C1C" w14:textId="77777777" w:rsidR="00000000" w:rsidRPr="00BE00C7" w:rsidRDefault="00000000" w:rsidP="00BE00C7">
            <w:pPr>
              <w:pStyle w:val="OutcomeDescription"/>
              <w:spacing w:before="120" w:after="120"/>
              <w:rPr>
                <w:rFonts w:cs="Arial"/>
                <w:lang w:eastAsia="en-NZ"/>
              </w:rPr>
            </w:pPr>
          </w:p>
        </w:tc>
        <w:tc>
          <w:tcPr>
            <w:tcW w:w="0" w:type="auto"/>
          </w:tcPr>
          <w:p w14:paraId="5FCCE5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7AC9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performance are discussed at staff and management meetings and reported back to the governing body.</w:t>
            </w:r>
          </w:p>
          <w:p w14:paraId="4B83E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1DB36CF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compared with the previous month, the reason for the increase or decrease, and action advised. Any new infections were discussed at shift handovers for early interventions to be implemented. Benchmarking is completed internally.</w:t>
            </w:r>
          </w:p>
          <w:p w14:paraId="07682CD4"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previous audit, infections reported included a COVID-19 outbreak in November 2024, and scabies cases in July and December 2024. These were managed in accordance with the pandemic plan.</w:t>
            </w:r>
          </w:p>
          <w:p w14:paraId="428C8679" w14:textId="77777777" w:rsidR="00000000" w:rsidRPr="00BE00C7" w:rsidRDefault="00000000" w:rsidP="00BE00C7">
            <w:pPr>
              <w:pStyle w:val="OutcomeDescription"/>
              <w:spacing w:before="120" w:after="120"/>
              <w:rPr>
                <w:rFonts w:cs="Arial"/>
                <w:lang w:eastAsia="en-NZ"/>
              </w:rPr>
            </w:pPr>
          </w:p>
        </w:tc>
      </w:tr>
      <w:tr w:rsidR="00E57203" w14:paraId="1DD7B860" w14:textId="77777777">
        <w:tc>
          <w:tcPr>
            <w:tcW w:w="0" w:type="auto"/>
          </w:tcPr>
          <w:p w14:paraId="0A224F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15322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4D680420" w14:textId="77777777" w:rsidR="00000000" w:rsidRPr="00BE00C7" w:rsidRDefault="00000000" w:rsidP="00BE00C7">
            <w:pPr>
              <w:pStyle w:val="OutcomeDescription"/>
              <w:spacing w:before="120" w:after="120"/>
              <w:rPr>
                <w:rFonts w:cs="Arial"/>
                <w:lang w:eastAsia="en-NZ"/>
              </w:rPr>
            </w:pPr>
          </w:p>
        </w:tc>
        <w:tc>
          <w:tcPr>
            <w:tcW w:w="0" w:type="auto"/>
          </w:tcPr>
          <w:p w14:paraId="2A730F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1AED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elimination and safe practice specify that the organisation is committed to providing a restraint-free environment. This is supported by the governing body and management staff. At the time of the audit, there were no restraints in use.</w:t>
            </w:r>
          </w:p>
          <w:p w14:paraId="731ABB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records showed that all clinical staff attended restraint education and completed a restraint competency during orientation/induction. Training </w:t>
            </w:r>
            <w:r w:rsidRPr="00BE00C7">
              <w:rPr>
                <w:rFonts w:cs="Arial"/>
                <w:lang w:eastAsia="en-NZ"/>
              </w:rPr>
              <w:lastRenderedPageBreak/>
              <w:t>is planned annually.</w:t>
            </w:r>
          </w:p>
          <w:p w14:paraId="638FC725" w14:textId="77777777" w:rsidR="00000000" w:rsidRPr="00BE00C7" w:rsidRDefault="00000000" w:rsidP="00BE00C7">
            <w:pPr>
              <w:pStyle w:val="OutcomeDescription"/>
              <w:spacing w:before="120" w:after="120"/>
              <w:rPr>
                <w:rFonts w:cs="Arial"/>
                <w:lang w:eastAsia="en-NZ"/>
              </w:rPr>
            </w:pPr>
          </w:p>
        </w:tc>
      </w:tr>
    </w:tbl>
    <w:p w14:paraId="77C8FDD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4BFC998" w14:textId="77777777" w:rsidR="00000000" w:rsidRDefault="00000000">
      <w:pPr>
        <w:pStyle w:val="Heading1"/>
        <w:rPr>
          <w:rFonts w:cs="Arial"/>
        </w:rPr>
      </w:pPr>
      <w:r>
        <w:rPr>
          <w:rFonts w:cs="Arial"/>
        </w:rPr>
        <w:lastRenderedPageBreak/>
        <w:t>Specific results for criterion where corrective actions are required</w:t>
      </w:r>
    </w:p>
    <w:p w14:paraId="7CA5C2F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E35ED4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75DC8B6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57203" w14:paraId="2ADB406B" w14:textId="77777777">
        <w:tc>
          <w:tcPr>
            <w:tcW w:w="0" w:type="auto"/>
          </w:tcPr>
          <w:p w14:paraId="28DC6A0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843081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E9AFFB2" w14:textId="77777777" w:rsidR="00000000" w:rsidRDefault="00000000">
      <w:pPr>
        <w:pStyle w:val="Heading1"/>
        <w:rPr>
          <w:rFonts w:cs="Arial"/>
        </w:rPr>
      </w:pPr>
      <w:r>
        <w:rPr>
          <w:rFonts w:cs="Arial"/>
        </w:rPr>
        <w:lastRenderedPageBreak/>
        <w:t>Specific results for criterion where a continuous improvement has been recorded</w:t>
      </w:r>
    </w:p>
    <w:p w14:paraId="1B50549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C9E15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2D5F70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57203" w14:paraId="1FFB3556" w14:textId="77777777">
        <w:tc>
          <w:tcPr>
            <w:tcW w:w="0" w:type="auto"/>
          </w:tcPr>
          <w:p w14:paraId="0572CBA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339E72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F65A4D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FD7E" w14:textId="77777777" w:rsidR="00D65927" w:rsidRDefault="00D65927">
      <w:r>
        <w:separator/>
      </w:r>
    </w:p>
  </w:endnote>
  <w:endnote w:type="continuationSeparator" w:id="0">
    <w:p w14:paraId="3715EAB2" w14:textId="77777777" w:rsidR="00D65927" w:rsidRDefault="00D6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C1E3" w14:textId="77777777" w:rsidR="00000000" w:rsidRDefault="00000000">
    <w:pPr>
      <w:pStyle w:val="Footer"/>
    </w:pPr>
  </w:p>
  <w:p w14:paraId="04741ED3" w14:textId="77777777" w:rsidR="00000000" w:rsidRDefault="00000000"/>
  <w:p w14:paraId="75CF33B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944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Falls</w:t>
    </w:r>
    <w:bookmarkEnd w:id="59"/>
    <w:r>
      <w:rPr>
        <w:rFonts w:cs="Arial"/>
        <w:sz w:val="16"/>
        <w:szCs w:val="20"/>
      </w:rPr>
      <w:tab/>
      <w:t xml:space="preserve">Date of Audit: </w:t>
    </w:r>
    <w:bookmarkStart w:id="60" w:name="AuditStartDate1"/>
    <w:r>
      <w:rPr>
        <w:rFonts w:cs="Arial"/>
        <w:sz w:val="16"/>
        <w:szCs w:val="20"/>
      </w:rPr>
      <w:t>16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3B2802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000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96E7" w14:textId="77777777" w:rsidR="00D65927" w:rsidRDefault="00D65927">
      <w:r>
        <w:separator/>
      </w:r>
    </w:p>
  </w:footnote>
  <w:footnote w:type="continuationSeparator" w:id="0">
    <w:p w14:paraId="2180DDBD" w14:textId="77777777" w:rsidR="00D65927" w:rsidRDefault="00D65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EF25" w14:textId="77777777" w:rsidR="00000000" w:rsidRDefault="00000000">
    <w:pPr>
      <w:pStyle w:val="Header"/>
    </w:pPr>
  </w:p>
  <w:p w14:paraId="03F11B1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940B" w14:textId="77777777" w:rsidR="00000000" w:rsidRDefault="00000000">
    <w:pPr>
      <w:pStyle w:val="Header"/>
    </w:pPr>
  </w:p>
  <w:p w14:paraId="1AF165E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CC0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99610F4">
      <w:start w:val="1"/>
      <w:numFmt w:val="decimal"/>
      <w:lvlText w:val="%1."/>
      <w:lvlJc w:val="left"/>
      <w:pPr>
        <w:ind w:left="360" w:hanging="360"/>
      </w:pPr>
    </w:lvl>
    <w:lvl w:ilvl="1" w:tplc="D65636FA" w:tentative="1">
      <w:start w:val="1"/>
      <w:numFmt w:val="lowerLetter"/>
      <w:lvlText w:val="%2."/>
      <w:lvlJc w:val="left"/>
      <w:pPr>
        <w:ind w:left="1080" w:hanging="360"/>
      </w:pPr>
    </w:lvl>
    <w:lvl w:ilvl="2" w:tplc="9674768A" w:tentative="1">
      <w:start w:val="1"/>
      <w:numFmt w:val="lowerRoman"/>
      <w:lvlText w:val="%3."/>
      <w:lvlJc w:val="right"/>
      <w:pPr>
        <w:ind w:left="1800" w:hanging="180"/>
      </w:pPr>
    </w:lvl>
    <w:lvl w:ilvl="3" w:tplc="23F6D798" w:tentative="1">
      <w:start w:val="1"/>
      <w:numFmt w:val="decimal"/>
      <w:lvlText w:val="%4."/>
      <w:lvlJc w:val="left"/>
      <w:pPr>
        <w:ind w:left="2520" w:hanging="360"/>
      </w:pPr>
    </w:lvl>
    <w:lvl w:ilvl="4" w:tplc="7F485CC2" w:tentative="1">
      <w:start w:val="1"/>
      <w:numFmt w:val="lowerLetter"/>
      <w:lvlText w:val="%5."/>
      <w:lvlJc w:val="left"/>
      <w:pPr>
        <w:ind w:left="3240" w:hanging="360"/>
      </w:pPr>
    </w:lvl>
    <w:lvl w:ilvl="5" w:tplc="E8886EDA" w:tentative="1">
      <w:start w:val="1"/>
      <w:numFmt w:val="lowerRoman"/>
      <w:lvlText w:val="%6."/>
      <w:lvlJc w:val="right"/>
      <w:pPr>
        <w:ind w:left="3960" w:hanging="180"/>
      </w:pPr>
    </w:lvl>
    <w:lvl w:ilvl="6" w:tplc="1BE816B0" w:tentative="1">
      <w:start w:val="1"/>
      <w:numFmt w:val="decimal"/>
      <w:lvlText w:val="%7."/>
      <w:lvlJc w:val="left"/>
      <w:pPr>
        <w:ind w:left="4680" w:hanging="360"/>
      </w:pPr>
    </w:lvl>
    <w:lvl w:ilvl="7" w:tplc="A2121E96" w:tentative="1">
      <w:start w:val="1"/>
      <w:numFmt w:val="lowerLetter"/>
      <w:lvlText w:val="%8."/>
      <w:lvlJc w:val="left"/>
      <w:pPr>
        <w:ind w:left="5400" w:hanging="360"/>
      </w:pPr>
    </w:lvl>
    <w:lvl w:ilvl="8" w:tplc="B5CE263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FE77B6">
      <w:start w:val="1"/>
      <w:numFmt w:val="bullet"/>
      <w:lvlText w:val=""/>
      <w:lvlJc w:val="left"/>
      <w:pPr>
        <w:ind w:left="720" w:hanging="360"/>
      </w:pPr>
      <w:rPr>
        <w:rFonts w:ascii="Symbol" w:hAnsi="Symbol" w:hint="default"/>
      </w:rPr>
    </w:lvl>
    <w:lvl w:ilvl="1" w:tplc="E84A1F66" w:tentative="1">
      <w:start w:val="1"/>
      <w:numFmt w:val="bullet"/>
      <w:lvlText w:val="o"/>
      <w:lvlJc w:val="left"/>
      <w:pPr>
        <w:ind w:left="1440" w:hanging="360"/>
      </w:pPr>
      <w:rPr>
        <w:rFonts w:ascii="Courier New" w:hAnsi="Courier New" w:cs="Courier New" w:hint="default"/>
      </w:rPr>
    </w:lvl>
    <w:lvl w:ilvl="2" w:tplc="109A4188" w:tentative="1">
      <w:start w:val="1"/>
      <w:numFmt w:val="bullet"/>
      <w:lvlText w:val=""/>
      <w:lvlJc w:val="left"/>
      <w:pPr>
        <w:ind w:left="2160" w:hanging="360"/>
      </w:pPr>
      <w:rPr>
        <w:rFonts w:ascii="Wingdings" w:hAnsi="Wingdings" w:hint="default"/>
      </w:rPr>
    </w:lvl>
    <w:lvl w:ilvl="3" w:tplc="81A658D6" w:tentative="1">
      <w:start w:val="1"/>
      <w:numFmt w:val="bullet"/>
      <w:lvlText w:val=""/>
      <w:lvlJc w:val="left"/>
      <w:pPr>
        <w:ind w:left="2880" w:hanging="360"/>
      </w:pPr>
      <w:rPr>
        <w:rFonts w:ascii="Symbol" w:hAnsi="Symbol" w:hint="default"/>
      </w:rPr>
    </w:lvl>
    <w:lvl w:ilvl="4" w:tplc="6E205F40" w:tentative="1">
      <w:start w:val="1"/>
      <w:numFmt w:val="bullet"/>
      <w:lvlText w:val="o"/>
      <w:lvlJc w:val="left"/>
      <w:pPr>
        <w:ind w:left="3600" w:hanging="360"/>
      </w:pPr>
      <w:rPr>
        <w:rFonts w:ascii="Courier New" w:hAnsi="Courier New" w:cs="Courier New" w:hint="default"/>
      </w:rPr>
    </w:lvl>
    <w:lvl w:ilvl="5" w:tplc="9C20F068" w:tentative="1">
      <w:start w:val="1"/>
      <w:numFmt w:val="bullet"/>
      <w:lvlText w:val=""/>
      <w:lvlJc w:val="left"/>
      <w:pPr>
        <w:ind w:left="4320" w:hanging="360"/>
      </w:pPr>
      <w:rPr>
        <w:rFonts w:ascii="Wingdings" w:hAnsi="Wingdings" w:hint="default"/>
      </w:rPr>
    </w:lvl>
    <w:lvl w:ilvl="6" w:tplc="9044F2A0" w:tentative="1">
      <w:start w:val="1"/>
      <w:numFmt w:val="bullet"/>
      <w:lvlText w:val=""/>
      <w:lvlJc w:val="left"/>
      <w:pPr>
        <w:ind w:left="5040" w:hanging="360"/>
      </w:pPr>
      <w:rPr>
        <w:rFonts w:ascii="Symbol" w:hAnsi="Symbol" w:hint="default"/>
      </w:rPr>
    </w:lvl>
    <w:lvl w:ilvl="7" w:tplc="8892B3A4" w:tentative="1">
      <w:start w:val="1"/>
      <w:numFmt w:val="bullet"/>
      <w:lvlText w:val="o"/>
      <w:lvlJc w:val="left"/>
      <w:pPr>
        <w:ind w:left="5760" w:hanging="360"/>
      </w:pPr>
      <w:rPr>
        <w:rFonts w:ascii="Courier New" w:hAnsi="Courier New" w:cs="Courier New" w:hint="default"/>
      </w:rPr>
    </w:lvl>
    <w:lvl w:ilvl="8" w:tplc="4B627E00" w:tentative="1">
      <w:start w:val="1"/>
      <w:numFmt w:val="bullet"/>
      <w:lvlText w:val=""/>
      <w:lvlJc w:val="left"/>
      <w:pPr>
        <w:ind w:left="6480" w:hanging="360"/>
      </w:pPr>
      <w:rPr>
        <w:rFonts w:ascii="Wingdings" w:hAnsi="Wingdings" w:hint="default"/>
      </w:rPr>
    </w:lvl>
  </w:abstractNum>
  <w:num w:numId="1" w16cid:durableId="1204975764">
    <w:abstractNumId w:val="1"/>
  </w:num>
  <w:num w:numId="2" w16cid:durableId="186601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7203"/>
    <w:rsid w:val="00AC228A"/>
    <w:rsid w:val="00BA773F"/>
    <w:rsid w:val="00D65927"/>
    <w:rsid w:val="00E572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D317"/>
  <w15:docId w15:val="{40E2F1FD-C28F-48D4-A880-D52F23A6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7079</Words>
  <Characters>40355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2026-02-01T19:32:00Z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