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AB0B" w14:textId="77777777" w:rsidR="00000000" w:rsidRDefault="00000000">
      <w:pPr>
        <w:pStyle w:val="Heading1"/>
        <w:rPr>
          <w:rFonts w:cs="Arial"/>
        </w:rPr>
      </w:pPr>
      <w:bookmarkStart w:id="0" w:name="PRMS_RIName"/>
      <w:r>
        <w:rPr>
          <w:rFonts w:cs="Arial"/>
        </w:rPr>
        <w:t>Everil Orr Village Limited Partnership - Everil Orr Living</w:t>
      </w:r>
      <w:bookmarkEnd w:id="0"/>
    </w:p>
    <w:p w14:paraId="07D19459" w14:textId="77777777" w:rsidR="00000000" w:rsidRDefault="00000000">
      <w:pPr>
        <w:pStyle w:val="Heading2"/>
        <w:spacing w:after="0"/>
        <w:rPr>
          <w:rFonts w:cs="Arial"/>
        </w:rPr>
      </w:pPr>
      <w:r>
        <w:rPr>
          <w:rFonts w:cs="Arial"/>
        </w:rPr>
        <w:t>Introduction</w:t>
      </w:r>
    </w:p>
    <w:p w14:paraId="0E34DB86"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CD65835"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602A964"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F294DC1"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E989238" w14:textId="77777777" w:rsidR="00000000" w:rsidRDefault="00000000">
      <w:pPr>
        <w:spacing w:before="240" w:after="240"/>
        <w:rPr>
          <w:rFonts w:cs="Arial"/>
          <w:lang w:eastAsia="en-NZ"/>
        </w:rPr>
      </w:pPr>
      <w:r>
        <w:rPr>
          <w:rFonts w:cs="Arial"/>
          <w:lang w:eastAsia="en-NZ"/>
        </w:rPr>
        <w:t>The specifics of this audit included:</w:t>
      </w:r>
    </w:p>
    <w:p w14:paraId="7E2E5584"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293ADB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Everil Orr Village Limited Partnership</w:t>
      </w:r>
      <w:bookmarkEnd w:id="4"/>
    </w:p>
    <w:p w14:paraId="067C8D5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Everil Orr Living</w:t>
      </w:r>
      <w:bookmarkEnd w:id="5"/>
    </w:p>
    <w:p w14:paraId="7346209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Geriatric services (excl. psychogeriatric); Rest home care (excluding dementia care)</w:t>
      </w:r>
      <w:bookmarkEnd w:id="6"/>
    </w:p>
    <w:p w14:paraId="645DE5C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21 November 2025</w:t>
      </w:r>
      <w:bookmarkEnd w:id="7"/>
      <w:r w:rsidRPr="009418D4">
        <w:rPr>
          <w:rFonts w:cs="Arial"/>
        </w:rPr>
        <w:tab/>
        <w:t xml:space="preserve">End date: </w:t>
      </w:r>
      <w:bookmarkStart w:id="8" w:name="AuditEndDate"/>
      <w:r>
        <w:rPr>
          <w:rFonts w:cs="Arial"/>
        </w:rPr>
        <w:t>21 November 2025</w:t>
      </w:r>
      <w:bookmarkEnd w:id="8"/>
    </w:p>
    <w:p w14:paraId="0143D1F1"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interim board chairperson reported that the three governing boards were amalgamated into a single governing body in April 2025, and further formalisation processes are still ongoing. Required notifications would be completed once all documentation had been signed off. To verify the provider’s suitability to deliver hospital medical services.</w:t>
      </w:r>
    </w:p>
    <w:bookmarkEnd w:id="9"/>
    <w:p w14:paraId="21D9C034" w14:textId="77777777" w:rsidR="00D71A6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52</w:t>
      </w:r>
      <w:bookmarkEnd w:id="10"/>
    </w:p>
    <w:p w14:paraId="39AF4077"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348F5B4" w14:textId="77777777" w:rsidR="00000000" w:rsidRDefault="00000000">
      <w:pPr>
        <w:pStyle w:val="Heading1"/>
        <w:rPr>
          <w:rFonts w:cs="Arial"/>
        </w:rPr>
      </w:pPr>
      <w:r>
        <w:rPr>
          <w:rFonts w:cs="Arial"/>
        </w:rPr>
        <w:lastRenderedPageBreak/>
        <w:t>Executive summary of the audit</w:t>
      </w:r>
    </w:p>
    <w:p w14:paraId="7106BBBA" w14:textId="77777777" w:rsidR="00000000" w:rsidRDefault="00000000">
      <w:pPr>
        <w:pStyle w:val="Heading2"/>
        <w:rPr>
          <w:rFonts w:cs="Arial"/>
        </w:rPr>
      </w:pPr>
      <w:r>
        <w:rPr>
          <w:rFonts w:cs="Arial"/>
        </w:rPr>
        <w:t>Introduction</w:t>
      </w:r>
    </w:p>
    <w:p w14:paraId="2A5CB766"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1F47C0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B46E651"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9FEA01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8509D6C"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7B416DE"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2DE2C4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0563DCC"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78D7AF2"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71A63" w14:paraId="75B4C10B" w14:textId="77777777">
        <w:trPr>
          <w:cantSplit/>
          <w:tblHeader/>
        </w:trPr>
        <w:tc>
          <w:tcPr>
            <w:tcW w:w="1260" w:type="dxa"/>
            <w:tcBorders>
              <w:bottom w:val="single" w:sz="4" w:space="0" w:color="000000"/>
            </w:tcBorders>
            <w:vAlign w:val="center"/>
          </w:tcPr>
          <w:p w14:paraId="69B28CD3"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1D15E9C"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82745FC" w14:textId="77777777" w:rsidR="00000000" w:rsidRDefault="00000000">
            <w:pPr>
              <w:spacing w:before="60" w:after="60"/>
              <w:rPr>
                <w:rFonts w:eastAsia="Calibri"/>
                <w:b/>
                <w:szCs w:val="24"/>
              </w:rPr>
            </w:pPr>
            <w:r>
              <w:rPr>
                <w:rFonts w:eastAsia="Calibri"/>
                <w:b/>
                <w:szCs w:val="24"/>
              </w:rPr>
              <w:t>Definition</w:t>
            </w:r>
          </w:p>
        </w:tc>
      </w:tr>
      <w:tr w:rsidR="00D71A63" w14:paraId="7462FF94" w14:textId="77777777">
        <w:trPr>
          <w:cantSplit/>
          <w:trHeight w:val="964"/>
        </w:trPr>
        <w:tc>
          <w:tcPr>
            <w:tcW w:w="1260" w:type="dxa"/>
            <w:tcBorders>
              <w:bottom w:val="single" w:sz="4" w:space="0" w:color="000000"/>
            </w:tcBorders>
            <w:shd w:val="clear" w:color="0066FF" w:fill="0000FF"/>
            <w:vAlign w:val="center"/>
          </w:tcPr>
          <w:p w14:paraId="325EB470"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63D06D3"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E3BBA33"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71A63" w14:paraId="1B5ADE92" w14:textId="77777777">
        <w:trPr>
          <w:cantSplit/>
          <w:trHeight w:val="964"/>
        </w:trPr>
        <w:tc>
          <w:tcPr>
            <w:tcW w:w="1260" w:type="dxa"/>
            <w:shd w:val="clear" w:color="33CC33" w:fill="00FF00"/>
            <w:vAlign w:val="center"/>
          </w:tcPr>
          <w:p w14:paraId="14F3D4CB" w14:textId="77777777" w:rsidR="00000000" w:rsidRDefault="00000000">
            <w:pPr>
              <w:spacing w:before="60" w:after="60"/>
              <w:rPr>
                <w:rFonts w:eastAsia="Calibri"/>
                <w:szCs w:val="24"/>
              </w:rPr>
            </w:pPr>
          </w:p>
        </w:tc>
        <w:tc>
          <w:tcPr>
            <w:tcW w:w="7095" w:type="dxa"/>
            <w:shd w:val="clear" w:color="auto" w:fill="auto"/>
            <w:vAlign w:val="center"/>
          </w:tcPr>
          <w:p w14:paraId="69372551"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39F8FC3"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D71A63" w14:paraId="6DB5CD22" w14:textId="77777777">
        <w:trPr>
          <w:cantSplit/>
          <w:trHeight w:val="964"/>
        </w:trPr>
        <w:tc>
          <w:tcPr>
            <w:tcW w:w="1260" w:type="dxa"/>
            <w:tcBorders>
              <w:bottom w:val="single" w:sz="4" w:space="0" w:color="000000"/>
            </w:tcBorders>
            <w:shd w:val="clear" w:color="auto" w:fill="FFFF00"/>
            <w:vAlign w:val="center"/>
          </w:tcPr>
          <w:p w14:paraId="08193965" w14:textId="77777777" w:rsidR="00000000" w:rsidRDefault="00000000">
            <w:pPr>
              <w:spacing w:before="60" w:after="60"/>
              <w:rPr>
                <w:rFonts w:eastAsia="Calibri"/>
                <w:szCs w:val="24"/>
              </w:rPr>
            </w:pPr>
          </w:p>
        </w:tc>
        <w:tc>
          <w:tcPr>
            <w:tcW w:w="7095" w:type="dxa"/>
            <w:shd w:val="clear" w:color="auto" w:fill="auto"/>
            <w:vAlign w:val="center"/>
          </w:tcPr>
          <w:p w14:paraId="4ABB8D91"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832BE28"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D71A63" w14:paraId="4D287455" w14:textId="77777777">
        <w:trPr>
          <w:cantSplit/>
          <w:trHeight w:val="964"/>
        </w:trPr>
        <w:tc>
          <w:tcPr>
            <w:tcW w:w="1260" w:type="dxa"/>
            <w:tcBorders>
              <w:bottom w:val="single" w:sz="4" w:space="0" w:color="000000"/>
            </w:tcBorders>
            <w:shd w:val="clear" w:color="auto" w:fill="FFC800"/>
            <w:vAlign w:val="center"/>
          </w:tcPr>
          <w:p w14:paraId="728B91E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F6A259C"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631BCE5"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D71A63" w14:paraId="1CA36AF3" w14:textId="77777777">
        <w:trPr>
          <w:cantSplit/>
          <w:trHeight w:val="964"/>
        </w:trPr>
        <w:tc>
          <w:tcPr>
            <w:tcW w:w="1260" w:type="dxa"/>
            <w:shd w:val="clear" w:color="auto" w:fill="FF0000"/>
            <w:vAlign w:val="center"/>
          </w:tcPr>
          <w:p w14:paraId="2403C43C" w14:textId="77777777" w:rsidR="00000000" w:rsidRDefault="00000000">
            <w:pPr>
              <w:spacing w:before="60" w:after="60"/>
              <w:rPr>
                <w:rFonts w:eastAsia="Calibri"/>
                <w:szCs w:val="24"/>
              </w:rPr>
            </w:pPr>
          </w:p>
        </w:tc>
        <w:tc>
          <w:tcPr>
            <w:tcW w:w="7095" w:type="dxa"/>
            <w:shd w:val="clear" w:color="auto" w:fill="auto"/>
            <w:vAlign w:val="center"/>
          </w:tcPr>
          <w:p w14:paraId="3F8C0617"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9D28774"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44A9EDB" w14:textId="77777777" w:rsidR="00000000" w:rsidRDefault="00000000">
      <w:pPr>
        <w:pStyle w:val="Heading2"/>
        <w:spacing w:after="0"/>
        <w:rPr>
          <w:rFonts w:cs="Arial"/>
        </w:rPr>
      </w:pPr>
      <w:r>
        <w:rPr>
          <w:rFonts w:cs="Arial"/>
        </w:rPr>
        <w:t>General overview of the audit</w:t>
      </w:r>
    </w:p>
    <w:p w14:paraId="7DBD0255" w14:textId="77777777" w:rsidR="00000000" w:rsidRDefault="00000000">
      <w:pPr>
        <w:spacing w:before="240" w:line="276" w:lineRule="auto"/>
        <w:rPr>
          <w:rFonts w:eastAsia="Calibri"/>
        </w:rPr>
      </w:pPr>
      <w:bookmarkStart w:id="13" w:name="GeneralOverview"/>
      <w:r w:rsidRPr="00A4268A">
        <w:rPr>
          <w:rFonts w:eastAsia="Calibri"/>
        </w:rPr>
        <w:t>Everil Orr Living is owned and operated by Everil Orr Village Limited Partnership. The facility can provide services for up to 68 residents requiring rest home and hospital levels of care. There were 52 residents in the facility on the day of the audit.</w:t>
      </w:r>
    </w:p>
    <w:p w14:paraId="570F81B8" w14:textId="77777777" w:rsidR="00D71A63" w:rsidRPr="00A4268A" w:rsidRDefault="00000000">
      <w:pPr>
        <w:spacing w:before="240" w:line="276" w:lineRule="auto"/>
        <w:rPr>
          <w:rFonts w:eastAsia="Calibri"/>
        </w:rPr>
      </w:pPr>
      <w:r w:rsidRPr="00A4268A">
        <w:rPr>
          <w:rFonts w:eastAsia="Calibri"/>
        </w:rPr>
        <w:t>Significant changes to the service and facilities since the previous audit included the amalgamation of the three governing boards, and the appointments of the maintenance manager and the clinical coordinator. The service was audited to verify the provider’s suitability to deliver hospital medical services.</w:t>
      </w:r>
    </w:p>
    <w:p w14:paraId="08F06004" w14:textId="77777777" w:rsidR="00D71A63" w:rsidRPr="00A4268A" w:rsidRDefault="00000000">
      <w:pPr>
        <w:spacing w:before="240" w:line="276" w:lineRule="auto"/>
        <w:rPr>
          <w:rFonts w:eastAsia="Calibri"/>
        </w:rPr>
      </w:pPr>
      <w:r w:rsidRPr="00A4268A">
        <w:rPr>
          <w:rFonts w:eastAsia="Calibri"/>
        </w:rPr>
        <w:t xml:space="preserve">This surveillance audit process included review of policies and procedures, review of residents’ and staff files, observations, and interviews with residents, whānau, members of the governance group, managers, staff, and a nurse practitioner. </w:t>
      </w:r>
    </w:p>
    <w:p w14:paraId="08A029B6" w14:textId="77777777" w:rsidR="00D71A63" w:rsidRPr="00A4268A" w:rsidRDefault="00000000">
      <w:pPr>
        <w:spacing w:before="240" w:line="276" w:lineRule="auto"/>
        <w:rPr>
          <w:rFonts w:eastAsia="Calibri"/>
        </w:rPr>
      </w:pPr>
      <w:r w:rsidRPr="00A4268A">
        <w:rPr>
          <w:rFonts w:eastAsia="Calibri"/>
        </w:rPr>
        <w:t>The corrective actions required from the previous audit have been addressed, with improvements made to reviewing the restraint minimisation and safe practice policy and signing off on corrective action plans upon completion.</w:t>
      </w:r>
    </w:p>
    <w:p w14:paraId="036CDDB3" w14:textId="77777777" w:rsidR="00D71A63" w:rsidRPr="00A4268A" w:rsidRDefault="00000000">
      <w:pPr>
        <w:spacing w:before="240" w:line="276" w:lineRule="auto"/>
        <w:rPr>
          <w:rFonts w:eastAsia="Calibri"/>
        </w:rPr>
      </w:pPr>
      <w:r w:rsidRPr="00A4268A">
        <w:rPr>
          <w:rFonts w:eastAsia="Calibri"/>
        </w:rPr>
        <w:t>As a result of this surveillance audit, improvements are required in relation to reviewing the infection prevention and control programme and including ethnicity data in the monthly surveillance of infections.</w:t>
      </w:r>
    </w:p>
    <w:bookmarkEnd w:id="13"/>
    <w:p w14:paraId="0281C072" w14:textId="77777777" w:rsidR="00D71A63" w:rsidRPr="00A4268A" w:rsidRDefault="00D71A63">
      <w:pPr>
        <w:spacing w:before="240" w:line="276" w:lineRule="auto"/>
        <w:rPr>
          <w:rFonts w:eastAsia="Calibri"/>
        </w:rPr>
      </w:pPr>
    </w:p>
    <w:p w14:paraId="46C09388"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1A63" w14:paraId="4E576B0C" w14:textId="77777777" w:rsidTr="00A4268A">
        <w:trPr>
          <w:cantSplit/>
        </w:trPr>
        <w:tc>
          <w:tcPr>
            <w:tcW w:w="10206" w:type="dxa"/>
            <w:vAlign w:val="center"/>
          </w:tcPr>
          <w:p w14:paraId="64E89223"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93B2F5E"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E94FD24"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4C03FAC"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AB282BB" w14:textId="77777777" w:rsidR="00000000" w:rsidRDefault="00000000">
      <w:pPr>
        <w:spacing w:before="240" w:line="276" w:lineRule="auto"/>
        <w:rPr>
          <w:rFonts w:eastAsia="Calibri"/>
        </w:rPr>
      </w:pPr>
      <w:bookmarkStart w:id="16" w:name="ConsumerRights"/>
      <w:r w:rsidRPr="00A4268A">
        <w:rPr>
          <w:rFonts w:eastAsia="Calibri"/>
        </w:rPr>
        <w:t xml:space="preserve">Everil Orr Living works collaboratively to support and encourage a Māori world view of health in service delivery. Māori are provided with equitable and effective services based on Te Tiriti o Waitangi and the principles of mana motuhake. </w:t>
      </w:r>
    </w:p>
    <w:p w14:paraId="7D4DEB77" w14:textId="77777777" w:rsidR="00D71A63" w:rsidRPr="00A4268A" w:rsidRDefault="00000000">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314F2287" w14:textId="77777777" w:rsidR="00D71A63" w:rsidRPr="00A4268A" w:rsidRDefault="00000000">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Service providers maintain professional boundaries and there was no evidence of abuse, neglect, discrimination or other exploitation. The property of residents was respected. </w:t>
      </w:r>
    </w:p>
    <w:p w14:paraId="43EC56E8" w14:textId="77777777" w:rsidR="00D71A63" w:rsidRPr="00A4268A" w:rsidRDefault="00000000">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5CCECF28" w14:textId="77777777" w:rsidR="00D71A63" w:rsidRPr="00A4268A" w:rsidRDefault="00000000">
      <w:pPr>
        <w:spacing w:before="240" w:line="276" w:lineRule="auto"/>
        <w:rPr>
          <w:rFonts w:eastAsia="Calibri"/>
        </w:rPr>
      </w:pPr>
      <w:r w:rsidRPr="00A4268A">
        <w:rPr>
          <w:rFonts w:eastAsia="Calibri"/>
        </w:rPr>
        <w:t>Complaints are resolved promptly, equitably and effectively in collaboration with all parties involved.</w:t>
      </w:r>
    </w:p>
    <w:bookmarkEnd w:id="16"/>
    <w:p w14:paraId="04EE1950" w14:textId="77777777" w:rsidR="00D71A63" w:rsidRPr="00A4268A" w:rsidRDefault="00D71A63">
      <w:pPr>
        <w:spacing w:before="240" w:line="276" w:lineRule="auto"/>
        <w:rPr>
          <w:rFonts w:eastAsia="Calibri"/>
        </w:rPr>
      </w:pPr>
    </w:p>
    <w:p w14:paraId="3D4DB521"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1A63" w14:paraId="31F4DC8E" w14:textId="77777777" w:rsidTr="00A4268A">
        <w:trPr>
          <w:cantSplit/>
        </w:trPr>
        <w:tc>
          <w:tcPr>
            <w:tcW w:w="10206" w:type="dxa"/>
            <w:vAlign w:val="center"/>
          </w:tcPr>
          <w:p w14:paraId="692A8D2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074F22C"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17B4AE4"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9BDF141" w14:textId="77777777" w:rsidR="00000000" w:rsidRDefault="00000000">
      <w:pPr>
        <w:spacing w:before="240" w:line="276" w:lineRule="auto"/>
        <w:rPr>
          <w:rFonts w:eastAsia="Calibri"/>
        </w:rPr>
      </w:pPr>
      <w:bookmarkStart w:id="19" w:name="OrganisationalManagement"/>
      <w:r w:rsidRPr="00A4268A">
        <w:rPr>
          <w:rFonts w:eastAsia="Calibri"/>
        </w:rPr>
        <w:lastRenderedPageBreak/>
        <w:t>The governing body assumes accountability for delivering a high-quality service. This includes ensuring compliance with legislative and contractual requirements, supporting quality and risk management systems, and reducing barriers to improve outcomes for Māori.</w:t>
      </w:r>
    </w:p>
    <w:p w14:paraId="26DD10E6" w14:textId="77777777" w:rsidR="00D71A63"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09DE0992" w14:textId="77777777" w:rsidR="00D71A63" w:rsidRPr="00A4268A" w:rsidRDefault="00000000">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2621DA7E" w14:textId="77777777" w:rsidR="00D71A63"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includes the collection and analysis of quality improvement data, identifies trends, and leads to improvements. Actual and potential risks are identified and mitigated. </w:t>
      </w:r>
    </w:p>
    <w:p w14:paraId="7BC7CCF1" w14:textId="77777777" w:rsidR="00D71A63" w:rsidRPr="00A4268A" w:rsidRDefault="00000000">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3B0E2A18" w14:textId="77777777" w:rsidR="00D71A63"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equitable service delivery. </w:t>
      </w:r>
    </w:p>
    <w:p w14:paraId="2971ADF7" w14:textId="77777777" w:rsidR="00D71A63" w:rsidRPr="00A4268A" w:rsidRDefault="00000000">
      <w:pPr>
        <w:spacing w:before="240" w:line="276" w:lineRule="auto"/>
        <w:rPr>
          <w:rFonts w:eastAsia="Calibri"/>
        </w:rPr>
      </w:pPr>
      <w:r w:rsidRPr="00A4268A">
        <w:rPr>
          <w:rFonts w:eastAsia="Calibri"/>
        </w:rPr>
        <w:t>Professional qualifications are validated prior to employment. Staff felt well supported through the orientation and induction programme, with regular performance reviews implemented.</w:t>
      </w:r>
    </w:p>
    <w:bookmarkEnd w:id="19"/>
    <w:p w14:paraId="092BAF01" w14:textId="77777777" w:rsidR="00D71A63" w:rsidRPr="00A4268A" w:rsidRDefault="00D71A63">
      <w:pPr>
        <w:spacing w:before="240" w:line="276" w:lineRule="auto"/>
        <w:rPr>
          <w:rFonts w:eastAsia="Calibri"/>
        </w:rPr>
      </w:pPr>
    </w:p>
    <w:p w14:paraId="6BE57DC5"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1A63" w14:paraId="0DCACC9F" w14:textId="77777777" w:rsidTr="00A4268A">
        <w:trPr>
          <w:cantSplit/>
        </w:trPr>
        <w:tc>
          <w:tcPr>
            <w:tcW w:w="10206" w:type="dxa"/>
            <w:vAlign w:val="center"/>
          </w:tcPr>
          <w:p w14:paraId="5E16E88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FE437F9"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144219F"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3818ACE7"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lastRenderedPageBreak/>
        <w:t xml:space="preserve">The service works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25ADFC27" w14:textId="77777777" w:rsidR="00D71A63" w:rsidRPr="00A4268A" w:rsidRDefault="00000000"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1EAF1CAB" w14:textId="77777777" w:rsidR="00D71A63" w:rsidRPr="00A4268A" w:rsidRDefault="00000000" w:rsidP="00621629">
      <w:pPr>
        <w:spacing w:before="240" w:line="276" w:lineRule="auto"/>
        <w:rPr>
          <w:rFonts w:eastAsia="Calibri"/>
        </w:rPr>
      </w:pPr>
      <w:r w:rsidRPr="00A4268A">
        <w:rPr>
          <w:rFonts w:eastAsia="Calibri"/>
        </w:rPr>
        <w:t xml:space="preserve">The food service meets the nutritional and cultural needs of the residents. Food is safely managed, supported by an approved food control plan. </w:t>
      </w:r>
    </w:p>
    <w:p w14:paraId="3EEB7DF3" w14:textId="77777777" w:rsidR="00D71A63"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6B4BA519" w14:textId="77777777" w:rsidR="00D71A63" w:rsidRPr="00A4268A" w:rsidRDefault="00D71A63" w:rsidP="00621629">
      <w:pPr>
        <w:spacing w:before="240" w:line="276" w:lineRule="auto"/>
        <w:rPr>
          <w:rFonts w:eastAsia="Calibri"/>
        </w:rPr>
      </w:pPr>
    </w:p>
    <w:p w14:paraId="50099768"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1A63" w14:paraId="4E7F9AFE" w14:textId="77777777" w:rsidTr="00A4268A">
        <w:trPr>
          <w:cantSplit/>
        </w:trPr>
        <w:tc>
          <w:tcPr>
            <w:tcW w:w="10206" w:type="dxa"/>
            <w:vAlign w:val="center"/>
          </w:tcPr>
          <w:p w14:paraId="1B025D3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4BE675C"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7901B99"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1069D705" w14:textId="77777777" w:rsidR="00000000" w:rsidRDefault="00000000">
      <w:pPr>
        <w:spacing w:before="240" w:line="276" w:lineRule="auto"/>
        <w:rPr>
          <w:rFonts w:eastAsia="Calibri"/>
        </w:rPr>
      </w:pPr>
      <w:bookmarkStart w:id="25" w:name="SafeAndAppropriateEnvironment"/>
      <w:r w:rsidRPr="00A4268A">
        <w:rPr>
          <w:rFonts w:eastAsia="Calibri"/>
        </w:rPr>
        <w:t>The facility, plant and equipment meet the needs of residents and are culturally inclusive. A current building warrant of fitness and planned maintenance programme ensure safety. Electrical equipment is tested as required.</w:t>
      </w:r>
    </w:p>
    <w:bookmarkEnd w:id="25"/>
    <w:p w14:paraId="476A9F00" w14:textId="77777777" w:rsidR="00D71A63" w:rsidRPr="00A4268A" w:rsidRDefault="00D71A63">
      <w:pPr>
        <w:spacing w:before="240" w:line="276" w:lineRule="auto"/>
        <w:rPr>
          <w:rFonts w:eastAsia="Calibri"/>
        </w:rPr>
      </w:pPr>
    </w:p>
    <w:p w14:paraId="6062A814"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1A63" w14:paraId="0E8F0C94" w14:textId="77777777" w:rsidTr="00A4268A">
        <w:trPr>
          <w:cantSplit/>
        </w:trPr>
        <w:tc>
          <w:tcPr>
            <w:tcW w:w="10206" w:type="dxa"/>
            <w:vAlign w:val="center"/>
          </w:tcPr>
          <w:p w14:paraId="43D6E26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25B77849"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A8E4238"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20E24004"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and is linked with the quality improvement programme. </w:t>
      </w:r>
    </w:p>
    <w:p w14:paraId="22BEA06A" w14:textId="77777777" w:rsidR="00D71A63" w:rsidRPr="00A4268A" w:rsidRDefault="0000000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061CB683" w14:textId="77777777" w:rsidR="00D71A63" w:rsidRPr="00A4268A" w:rsidRDefault="00000000">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16927551" w14:textId="77777777" w:rsidR="00D71A63" w:rsidRPr="00A4268A" w:rsidRDefault="00D71A63">
      <w:pPr>
        <w:spacing w:before="240" w:line="276" w:lineRule="auto"/>
        <w:rPr>
          <w:rFonts w:eastAsia="Calibri"/>
        </w:rPr>
      </w:pPr>
    </w:p>
    <w:p w14:paraId="0BAB60F9"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1A63" w14:paraId="51FACEEF" w14:textId="77777777" w:rsidTr="00A4268A">
        <w:trPr>
          <w:cantSplit/>
        </w:trPr>
        <w:tc>
          <w:tcPr>
            <w:tcW w:w="10206" w:type="dxa"/>
            <w:vAlign w:val="center"/>
          </w:tcPr>
          <w:p w14:paraId="48B3DAF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6E32904"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3A953A6"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DE1998B" w14:textId="77777777" w:rsidR="00000000" w:rsidRDefault="00000000">
      <w:pPr>
        <w:spacing w:before="240" w:line="276" w:lineRule="auto"/>
        <w:rPr>
          <w:rFonts w:eastAsia="Calibri"/>
        </w:rPr>
      </w:pPr>
      <w:bookmarkStart w:id="31" w:name="InfectionPreventionAndControl"/>
      <w:r w:rsidRPr="00A4268A">
        <w:rPr>
          <w:rFonts w:eastAsia="Calibri"/>
        </w:rPr>
        <w:t>The service is a restraint-free environment. This is supported by the governing body and policies and procedures. There were no residents using restraints at the time of the audit and this has been the case since the previous audit.</w:t>
      </w:r>
    </w:p>
    <w:p w14:paraId="72CC207E" w14:textId="77777777" w:rsidR="00D71A63" w:rsidRPr="00A4268A" w:rsidRDefault="00000000">
      <w:pPr>
        <w:spacing w:before="240" w:line="276" w:lineRule="auto"/>
        <w:rPr>
          <w:rFonts w:eastAsia="Calibri"/>
        </w:rPr>
      </w:pPr>
      <w:r w:rsidRPr="00A4268A">
        <w:rPr>
          <w:rFonts w:eastAsia="Calibri"/>
        </w:rPr>
        <w:lastRenderedPageBreak/>
        <w:t>Staff have been trained in providing the least restrictive practice, de-escalation techniques, and alternative interventions, and demonstrated effective practice.</w:t>
      </w:r>
    </w:p>
    <w:bookmarkEnd w:id="31"/>
    <w:p w14:paraId="1C07680E" w14:textId="77777777" w:rsidR="00D71A63" w:rsidRPr="00A4268A" w:rsidRDefault="00D71A63">
      <w:pPr>
        <w:spacing w:before="240" w:line="276" w:lineRule="auto"/>
        <w:rPr>
          <w:rFonts w:eastAsia="Calibri"/>
        </w:rPr>
      </w:pPr>
    </w:p>
    <w:p w14:paraId="632F9250" w14:textId="77777777" w:rsidR="00000000" w:rsidRDefault="00000000" w:rsidP="000E6E02">
      <w:pPr>
        <w:pStyle w:val="Heading2"/>
        <w:spacing w:before="0"/>
        <w:rPr>
          <w:rFonts w:cs="Arial"/>
        </w:rPr>
      </w:pPr>
      <w:r>
        <w:rPr>
          <w:rFonts w:cs="Arial"/>
        </w:rPr>
        <w:t>Summary of attainment</w:t>
      </w:r>
    </w:p>
    <w:p w14:paraId="330CEDDD"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71A63" w14:paraId="3F75DBDD" w14:textId="77777777">
        <w:tc>
          <w:tcPr>
            <w:tcW w:w="1384" w:type="dxa"/>
            <w:vAlign w:val="center"/>
          </w:tcPr>
          <w:p w14:paraId="120E193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1EA3C54" w14:textId="77777777" w:rsidR="00000000" w:rsidRDefault="00000000">
            <w:pPr>
              <w:keepNext/>
              <w:spacing w:before="60" w:after="60"/>
              <w:jc w:val="center"/>
              <w:rPr>
                <w:rFonts w:cs="Arial"/>
                <w:b/>
                <w:sz w:val="20"/>
                <w:szCs w:val="20"/>
              </w:rPr>
            </w:pPr>
            <w:r>
              <w:rPr>
                <w:rFonts w:cs="Arial"/>
                <w:b/>
                <w:sz w:val="20"/>
                <w:szCs w:val="20"/>
              </w:rPr>
              <w:t>Continuous Improvement</w:t>
            </w:r>
          </w:p>
          <w:p w14:paraId="52194B31"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F666720" w14:textId="77777777" w:rsidR="00000000" w:rsidRDefault="00000000">
            <w:pPr>
              <w:keepNext/>
              <w:spacing w:before="60" w:after="60"/>
              <w:jc w:val="center"/>
              <w:rPr>
                <w:rFonts w:cs="Arial"/>
                <w:b/>
                <w:sz w:val="20"/>
                <w:szCs w:val="20"/>
              </w:rPr>
            </w:pPr>
            <w:r>
              <w:rPr>
                <w:rFonts w:cs="Arial"/>
                <w:b/>
                <w:sz w:val="20"/>
                <w:szCs w:val="20"/>
              </w:rPr>
              <w:t>Fully Attained</w:t>
            </w:r>
          </w:p>
          <w:p w14:paraId="068F05AE"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7D98987"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F7DC50E"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6FD68BB"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2A77BB7"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E41F4A6"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3533DA0"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B6FFB3E"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206446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57A0253"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4B7EFC3" w14:textId="77777777" w:rsidR="00000000" w:rsidRDefault="00000000">
            <w:pPr>
              <w:keepNext/>
              <w:spacing w:before="60" w:after="60"/>
              <w:jc w:val="center"/>
              <w:rPr>
                <w:rFonts w:cs="Arial"/>
                <w:b/>
                <w:sz w:val="20"/>
                <w:szCs w:val="20"/>
              </w:rPr>
            </w:pPr>
            <w:r>
              <w:rPr>
                <w:rFonts w:cs="Arial"/>
                <w:b/>
                <w:sz w:val="20"/>
                <w:szCs w:val="20"/>
              </w:rPr>
              <w:t>(PA Critical)</w:t>
            </w:r>
          </w:p>
        </w:tc>
      </w:tr>
      <w:tr w:rsidR="00D71A63" w14:paraId="0D1BFC25" w14:textId="77777777">
        <w:tc>
          <w:tcPr>
            <w:tcW w:w="1384" w:type="dxa"/>
            <w:vAlign w:val="center"/>
          </w:tcPr>
          <w:p w14:paraId="278086D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8C128D1"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5479D6F"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576F9E6A"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01D2258"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28BB8201"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C7739E7"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4F52F14"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71A63" w14:paraId="5F169398" w14:textId="77777777">
        <w:tc>
          <w:tcPr>
            <w:tcW w:w="1384" w:type="dxa"/>
            <w:vAlign w:val="center"/>
          </w:tcPr>
          <w:p w14:paraId="05A4BDC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C1261AD"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839FB86"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47</w:t>
            </w:r>
            <w:bookmarkEnd w:id="40"/>
          </w:p>
        </w:tc>
        <w:tc>
          <w:tcPr>
            <w:tcW w:w="1843" w:type="dxa"/>
            <w:vAlign w:val="center"/>
          </w:tcPr>
          <w:p w14:paraId="3372F6B5"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C6F4BF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34C2A7F0"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AB16E2B"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3DC2223"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0292A3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71A63" w14:paraId="13DF8797" w14:textId="77777777">
        <w:tc>
          <w:tcPr>
            <w:tcW w:w="1384" w:type="dxa"/>
            <w:vAlign w:val="center"/>
          </w:tcPr>
          <w:p w14:paraId="4645BE2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C9C91CB"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D9206BE"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6197361" w14:textId="77777777" w:rsidR="00000000" w:rsidRDefault="00000000">
            <w:pPr>
              <w:keepNext/>
              <w:spacing w:before="60" w:after="60"/>
              <w:jc w:val="center"/>
              <w:rPr>
                <w:rFonts w:cs="Arial"/>
                <w:b/>
                <w:sz w:val="20"/>
                <w:szCs w:val="20"/>
              </w:rPr>
            </w:pPr>
            <w:r>
              <w:rPr>
                <w:rFonts w:cs="Arial"/>
                <w:b/>
                <w:sz w:val="20"/>
                <w:szCs w:val="20"/>
              </w:rPr>
              <w:t>Unattained Low Risk</w:t>
            </w:r>
          </w:p>
          <w:p w14:paraId="196C073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05E6F13" w14:textId="77777777" w:rsidR="00000000" w:rsidRDefault="00000000">
            <w:pPr>
              <w:keepNext/>
              <w:spacing w:before="60" w:after="60"/>
              <w:jc w:val="center"/>
              <w:rPr>
                <w:rFonts w:cs="Arial"/>
                <w:b/>
                <w:sz w:val="20"/>
                <w:szCs w:val="20"/>
              </w:rPr>
            </w:pPr>
            <w:r>
              <w:rPr>
                <w:rFonts w:cs="Arial"/>
                <w:b/>
                <w:sz w:val="20"/>
                <w:szCs w:val="20"/>
              </w:rPr>
              <w:t>Unattained Moderate Risk</w:t>
            </w:r>
          </w:p>
          <w:p w14:paraId="21D8036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707FFB4" w14:textId="77777777" w:rsidR="00000000" w:rsidRDefault="00000000">
            <w:pPr>
              <w:keepNext/>
              <w:spacing w:before="60" w:after="60"/>
              <w:jc w:val="center"/>
              <w:rPr>
                <w:rFonts w:cs="Arial"/>
                <w:b/>
                <w:sz w:val="20"/>
                <w:szCs w:val="20"/>
              </w:rPr>
            </w:pPr>
            <w:r>
              <w:rPr>
                <w:rFonts w:cs="Arial"/>
                <w:b/>
                <w:sz w:val="20"/>
                <w:szCs w:val="20"/>
              </w:rPr>
              <w:t>Unattained High Risk</w:t>
            </w:r>
          </w:p>
          <w:p w14:paraId="08E98272"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13E122E" w14:textId="77777777" w:rsidR="00000000" w:rsidRDefault="00000000">
            <w:pPr>
              <w:keepNext/>
              <w:spacing w:before="60" w:after="60"/>
              <w:jc w:val="center"/>
              <w:rPr>
                <w:rFonts w:cs="Arial"/>
                <w:b/>
                <w:sz w:val="20"/>
                <w:szCs w:val="20"/>
              </w:rPr>
            </w:pPr>
            <w:r>
              <w:rPr>
                <w:rFonts w:cs="Arial"/>
                <w:b/>
                <w:sz w:val="20"/>
                <w:szCs w:val="20"/>
              </w:rPr>
              <w:t>Unattained Critical Risk</w:t>
            </w:r>
          </w:p>
          <w:p w14:paraId="454C1C1E" w14:textId="77777777" w:rsidR="00000000" w:rsidRDefault="00000000">
            <w:pPr>
              <w:keepNext/>
              <w:spacing w:before="60" w:after="60"/>
              <w:jc w:val="center"/>
              <w:rPr>
                <w:rFonts w:cs="Arial"/>
                <w:b/>
                <w:sz w:val="20"/>
                <w:szCs w:val="20"/>
              </w:rPr>
            </w:pPr>
            <w:r>
              <w:rPr>
                <w:rFonts w:cs="Arial"/>
                <w:b/>
                <w:sz w:val="20"/>
                <w:szCs w:val="20"/>
              </w:rPr>
              <w:t>(UA Critical)</w:t>
            </w:r>
          </w:p>
        </w:tc>
      </w:tr>
      <w:tr w:rsidR="00D71A63" w14:paraId="0A2CE5FB" w14:textId="77777777">
        <w:tc>
          <w:tcPr>
            <w:tcW w:w="1384" w:type="dxa"/>
            <w:vAlign w:val="center"/>
          </w:tcPr>
          <w:p w14:paraId="01615EE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F81D254"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26EAC46"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AD3AA8B"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5428607"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41CA683"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71A63" w14:paraId="1DA80013" w14:textId="77777777">
        <w:tc>
          <w:tcPr>
            <w:tcW w:w="1384" w:type="dxa"/>
            <w:vAlign w:val="center"/>
          </w:tcPr>
          <w:p w14:paraId="777F815B"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192829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CA87828"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6164AE9"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0447ED9"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EC31921"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117A0C2"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27F13B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024E44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256F8A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1374"/>
        <w:gridCol w:w="6766"/>
      </w:tblGrid>
      <w:tr w:rsidR="00D71A63" w14:paraId="3F585B73" w14:textId="77777777">
        <w:tc>
          <w:tcPr>
            <w:tcW w:w="0" w:type="auto"/>
          </w:tcPr>
          <w:p w14:paraId="2D8DC542"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2D53D5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99FB7B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D71A63" w14:paraId="0CC2ADD4" w14:textId="77777777">
        <w:tc>
          <w:tcPr>
            <w:tcW w:w="0" w:type="auto"/>
          </w:tcPr>
          <w:p w14:paraId="3BB90E7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56BB95A"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0B2834B" w14:textId="77777777" w:rsidR="00000000" w:rsidRPr="00BE00C7" w:rsidRDefault="00000000" w:rsidP="00BE00C7">
            <w:pPr>
              <w:pStyle w:val="OutcomeDescription"/>
              <w:spacing w:before="120" w:after="120"/>
              <w:rPr>
                <w:rFonts w:cs="Arial"/>
                <w:lang w:eastAsia="en-NZ"/>
              </w:rPr>
            </w:pPr>
          </w:p>
        </w:tc>
        <w:tc>
          <w:tcPr>
            <w:tcW w:w="0" w:type="auto"/>
          </w:tcPr>
          <w:p w14:paraId="6B63A6A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FDC077" w14:textId="77777777" w:rsidR="00000000" w:rsidRPr="00BE00C7" w:rsidRDefault="00000000" w:rsidP="00BE00C7">
            <w:pPr>
              <w:pStyle w:val="OutcomeDescription"/>
              <w:spacing w:before="120" w:after="120"/>
              <w:rPr>
                <w:rFonts w:cs="Arial"/>
                <w:lang w:eastAsia="en-NZ"/>
              </w:rPr>
            </w:pPr>
            <w:r w:rsidRPr="00BE00C7">
              <w:rPr>
                <w:rFonts w:cs="Arial"/>
                <w:lang w:eastAsia="en-NZ"/>
              </w:rPr>
              <w:t>Everil Orr Living has developed policies, procedures and processes to embed and enact Te Tiriti o Waitangi in all aspects of its work. Mana motuhake is respected. Partnerships have been established with local Māori organisations through an appointed pou manukura and the board to support service integration, planning, equity approaches, and support for Māori. There were no Māori residents at the time of the audit. The interviewed staff members further confirmed that culturally safe support is given to residents and that mana is respected.</w:t>
            </w:r>
          </w:p>
          <w:p w14:paraId="69CD870B" w14:textId="77777777" w:rsidR="00000000" w:rsidRPr="00BE00C7" w:rsidRDefault="00000000" w:rsidP="00BE00C7">
            <w:pPr>
              <w:pStyle w:val="OutcomeDescription"/>
              <w:spacing w:before="120" w:after="120"/>
              <w:rPr>
                <w:rFonts w:cs="Arial"/>
                <w:lang w:eastAsia="en-NZ"/>
              </w:rPr>
            </w:pPr>
          </w:p>
        </w:tc>
      </w:tr>
      <w:tr w:rsidR="00D71A63" w14:paraId="0D560E0E" w14:textId="77777777">
        <w:tc>
          <w:tcPr>
            <w:tcW w:w="0" w:type="auto"/>
          </w:tcPr>
          <w:p w14:paraId="2393690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930B7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D09707A" w14:textId="77777777" w:rsidR="00000000" w:rsidRPr="00BE00C7" w:rsidRDefault="00000000" w:rsidP="00BE00C7">
            <w:pPr>
              <w:pStyle w:val="OutcomeDescription"/>
              <w:spacing w:before="120" w:after="120"/>
              <w:rPr>
                <w:rFonts w:cs="Arial"/>
                <w:lang w:eastAsia="en-NZ"/>
              </w:rPr>
            </w:pPr>
          </w:p>
        </w:tc>
        <w:tc>
          <w:tcPr>
            <w:tcW w:w="0" w:type="auto"/>
          </w:tcPr>
          <w:p w14:paraId="3E2CA2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16BB26E" w14:textId="77777777" w:rsidR="00000000" w:rsidRPr="00BE00C7" w:rsidRDefault="00000000" w:rsidP="00BE00C7">
            <w:pPr>
              <w:pStyle w:val="OutcomeDescription"/>
              <w:spacing w:before="120" w:after="120"/>
              <w:rPr>
                <w:rFonts w:cs="Arial"/>
                <w:lang w:eastAsia="en-NZ"/>
              </w:rPr>
            </w:pPr>
            <w:r w:rsidRPr="00BE00C7">
              <w:rPr>
                <w:rFonts w:cs="Arial"/>
                <w:lang w:eastAsia="en-NZ"/>
              </w:rPr>
              <w:t>Everil Orr Living provides services that are underpinned by Pacific worldviews. Pacific residents interviewed felt their worldview, and cultural and spiritual beliefs, were embraced. There is a Pacific health plan that commits to providing appropriate and equitable care for residents who identify as Pacific people. There were residents and staff of Pacific origin.</w:t>
            </w:r>
          </w:p>
          <w:p w14:paraId="2BA8FF47" w14:textId="77777777" w:rsidR="00000000" w:rsidRPr="00BE00C7" w:rsidRDefault="00000000" w:rsidP="00BE00C7">
            <w:pPr>
              <w:pStyle w:val="OutcomeDescription"/>
              <w:spacing w:before="120" w:after="120"/>
              <w:rPr>
                <w:rFonts w:cs="Arial"/>
                <w:lang w:eastAsia="en-NZ"/>
              </w:rPr>
            </w:pPr>
          </w:p>
        </w:tc>
      </w:tr>
      <w:tr w:rsidR="00D71A63" w14:paraId="59115C72" w14:textId="77777777">
        <w:tc>
          <w:tcPr>
            <w:tcW w:w="0" w:type="auto"/>
          </w:tcPr>
          <w:p w14:paraId="3965D89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133331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DF2BC7B" w14:textId="77777777" w:rsidR="00000000" w:rsidRPr="00BE00C7" w:rsidRDefault="00000000" w:rsidP="00BE00C7">
            <w:pPr>
              <w:pStyle w:val="OutcomeDescription"/>
              <w:spacing w:before="120" w:after="120"/>
              <w:rPr>
                <w:rFonts w:cs="Arial"/>
                <w:lang w:eastAsia="en-NZ"/>
              </w:rPr>
            </w:pPr>
          </w:p>
        </w:tc>
        <w:tc>
          <w:tcPr>
            <w:tcW w:w="0" w:type="auto"/>
          </w:tcPr>
          <w:p w14:paraId="54357D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1A523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of the Code were posted at the reception area.</w:t>
            </w:r>
          </w:p>
          <w:p w14:paraId="43CFB1C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11E353C5" w14:textId="77777777" w:rsidR="00000000" w:rsidRPr="00BE00C7" w:rsidRDefault="00000000" w:rsidP="00BE00C7">
            <w:pPr>
              <w:pStyle w:val="OutcomeDescription"/>
              <w:spacing w:before="120" w:after="120"/>
              <w:rPr>
                <w:rFonts w:cs="Arial"/>
                <w:lang w:eastAsia="en-NZ"/>
              </w:rPr>
            </w:pPr>
          </w:p>
        </w:tc>
      </w:tr>
      <w:tr w:rsidR="00D71A63" w14:paraId="42695D0C" w14:textId="77777777">
        <w:tc>
          <w:tcPr>
            <w:tcW w:w="0" w:type="auto"/>
          </w:tcPr>
          <w:p w14:paraId="0A145DE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4A6239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54EAA15" w14:textId="77777777" w:rsidR="00000000" w:rsidRPr="00BE00C7" w:rsidRDefault="00000000" w:rsidP="00BE00C7">
            <w:pPr>
              <w:pStyle w:val="OutcomeDescription"/>
              <w:spacing w:before="120" w:after="120"/>
              <w:rPr>
                <w:rFonts w:cs="Arial"/>
                <w:lang w:eastAsia="en-NZ"/>
              </w:rPr>
            </w:pPr>
          </w:p>
        </w:tc>
        <w:tc>
          <w:tcPr>
            <w:tcW w:w="0" w:type="auto"/>
          </w:tcPr>
          <w:p w14:paraId="25DFC2F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4767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receive services free of discrimination, coercion, harassment, exploitation, and abuse and neglect, supported by policies and staff education. There were no examples identified during the audit through staff and/or resident or whānau interviews, or in documentation reviewed. </w:t>
            </w:r>
          </w:p>
          <w:p w14:paraId="126151E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reported that their property was respected. Residents’ clothes are labelled on admission to the service. A ‘charge back’ mechanism is used to avoid handling residents’ cash. Residents are invoiced for any extra expenses that are not covered by their funding.</w:t>
            </w:r>
          </w:p>
          <w:p w14:paraId="3A900700" w14:textId="77777777" w:rsidR="00000000" w:rsidRPr="00BE00C7" w:rsidRDefault="00000000" w:rsidP="00BE00C7">
            <w:pPr>
              <w:pStyle w:val="OutcomeDescription"/>
              <w:spacing w:before="120" w:after="120"/>
              <w:rPr>
                <w:rFonts w:cs="Arial"/>
                <w:lang w:eastAsia="en-NZ"/>
              </w:rPr>
            </w:pPr>
          </w:p>
        </w:tc>
      </w:tr>
      <w:tr w:rsidR="00D71A63" w14:paraId="516D1C89" w14:textId="77777777">
        <w:tc>
          <w:tcPr>
            <w:tcW w:w="0" w:type="auto"/>
          </w:tcPr>
          <w:p w14:paraId="5F236B3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6CD570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and </w:t>
            </w:r>
            <w:r w:rsidRPr="00BE00C7">
              <w:rPr>
                <w:rFonts w:cs="Arial"/>
                <w:lang w:eastAsia="en-NZ"/>
              </w:rPr>
              <w:lastRenderedPageBreak/>
              <w:t>their ability to exercise independence, choice, and control.</w:t>
            </w:r>
          </w:p>
          <w:p w14:paraId="533896B6" w14:textId="77777777" w:rsidR="00000000" w:rsidRPr="00BE00C7" w:rsidRDefault="00000000" w:rsidP="00BE00C7">
            <w:pPr>
              <w:pStyle w:val="OutcomeDescription"/>
              <w:spacing w:before="120" w:after="120"/>
              <w:rPr>
                <w:rFonts w:cs="Arial"/>
                <w:lang w:eastAsia="en-NZ"/>
              </w:rPr>
            </w:pPr>
          </w:p>
        </w:tc>
        <w:tc>
          <w:tcPr>
            <w:tcW w:w="0" w:type="auto"/>
          </w:tcPr>
          <w:p w14:paraId="3CFAA4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9305C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in line with the Code. Those interviewed, and where appropriate their whānau, felt empowered to actively participate in decision-making. Signed general consent forms were available in the records reviewed.</w:t>
            </w:r>
          </w:p>
          <w:p w14:paraId="015181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w:t>
            </w:r>
          </w:p>
          <w:p w14:paraId="2ED58C1E" w14:textId="77777777" w:rsidR="00000000" w:rsidRPr="00BE00C7" w:rsidRDefault="00000000" w:rsidP="00BE00C7">
            <w:pPr>
              <w:pStyle w:val="OutcomeDescription"/>
              <w:spacing w:before="120" w:after="120"/>
              <w:rPr>
                <w:rFonts w:cs="Arial"/>
                <w:lang w:eastAsia="en-NZ"/>
              </w:rPr>
            </w:pPr>
          </w:p>
        </w:tc>
      </w:tr>
      <w:tr w:rsidR="00D71A63" w14:paraId="718BCFB3" w14:textId="77777777">
        <w:tc>
          <w:tcPr>
            <w:tcW w:w="0" w:type="auto"/>
          </w:tcPr>
          <w:p w14:paraId="61EC9D9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D671F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83AA7F4" w14:textId="77777777" w:rsidR="00000000" w:rsidRPr="00BE00C7" w:rsidRDefault="00000000" w:rsidP="00BE00C7">
            <w:pPr>
              <w:pStyle w:val="OutcomeDescription"/>
              <w:spacing w:before="120" w:after="120"/>
              <w:rPr>
                <w:rFonts w:cs="Arial"/>
                <w:lang w:eastAsia="en-NZ"/>
              </w:rPr>
            </w:pPr>
          </w:p>
        </w:tc>
        <w:tc>
          <w:tcPr>
            <w:tcW w:w="0" w:type="auto"/>
          </w:tcPr>
          <w:p w14:paraId="4D49F7E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B774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was in place to receive and resolve complaints that led to improvements. The process met the requirements of the Code. Residents and whānau understood their right to make a complaint and knew how to do so.   </w:t>
            </w:r>
          </w:p>
          <w:p w14:paraId="7DFAD6A2"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the investigation. The general manager (GM) and clinical manager (CM) are responsible for complaints management, with the support of the trust board for significant complaints.  In the event of a complaint from a Māori resident or whānau member, the GM advised they would ask how the resident/whānau wanted the complaint investigation and follow-up process to occur and would seek the assistance of a te reo Māori interpreter if this was required, or an external Māori health service if applicable. The complaints form was available in English and te reo Māori.</w:t>
            </w:r>
          </w:p>
          <w:p w14:paraId="1B08FE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received from external sources since the previous audit.</w:t>
            </w:r>
          </w:p>
          <w:p w14:paraId="43280670" w14:textId="77777777" w:rsidR="00000000" w:rsidRPr="00BE00C7" w:rsidRDefault="00000000" w:rsidP="00BE00C7">
            <w:pPr>
              <w:pStyle w:val="OutcomeDescription"/>
              <w:spacing w:before="120" w:after="120"/>
              <w:rPr>
                <w:rFonts w:cs="Arial"/>
                <w:lang w:eastAsia="en-NZ"/>
              </w:rPr>
            </w:pPr>
          </w:p>
        </w:tc>
      </w:tr>
      <w:tr w:rsidR="00D71A63" w14:paraId="71AC585A" w14:textId="77777777">
        <w:tc>
          <w:tcPr>
            <w:tcW w:w="0" w:type="auto"/>
          </w:tcPr>
          <w:p w14:paraId="1BABFE2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304165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7D233E0" w14:textId="77777777" w:rsidR="00000000" w:rsidRPr="00BE00C7" w:rsidRDefault="00000000" w:rsidP="00BE00C7">
            <w:pPr>
              <w:pStyle w:val="OutcomeDescription"/>
              <w:spacing w:before="120" w:after="120"/>
              <w:rPr>
                <w:rFonts w:cs="Arial"/>
                <w:lang w:eastAsia="en-NZ"/>
              </w:rPr>
            </w:pPr>
          </w:p>
        </w:tc>
        <w:tc>
          <w:tcPr>
            <w:tcW w:w="0" w:type="auto"/>
          </w:tcPr>
          <w:p w14:paraId="361D06B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989638" w14:textId="77777777" w:rsidR="00000000" w:rsidRPr="00BE00C7" w:rsidRDefault="00000000" w:rsidP="00BE00C7">
            <w:pPr>
              <w:pStyle w:val="OutcomeDescription"/>
              <w:spacing w:before="120" w:after="120"/>
              <w:rPr>
                <w:rFonts w:cs="Arial"/>
                <w:lang w:eastAsia="en-NZ"/>
              </w:rPr>
            </w:pPr>
            <w:r w:rsidRPr="00BE00C7">
              <w:rPr>
                <w:rFonts w:cs="Arial"/>
                <w:lang w:eastAsia="en-NZ"/>
              </w:rPr>
              <w:t>Everil Orr Village Limited Partnership owns Everil Orr Living. The organisation previously operated under three governing boards: Airdale Property Trust, Methodist Mission Northern, and Lifewise Trust. The interim board chairperson reported that these boards have been amalgamated following recommendations from the commissioner to the church. The new governing board comprises four church-appointed members and three independent members. The governance restructure will result in the appointment of a single chief executive officer (CEO), with other executive roles to be disestablished. The interim board chairperson advised that formalisation processes were ongoing and that required notifications would be completed once all documentation had been signed off.</w:t>
            </w:r>
          </w:p>
          <w:p w14:paraId="02C7AB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Significant changes to the service and facilities since the previous audit also included the appointments of the maintenance manager and the clinical coordinator.  </w:t>
            </w:r>
          </w:p>
          <w:p w14:paraId="40FBC6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managed by a general manager (GM), who is a registered </w:t>
            </w:r>
            <w:r w:rsidRPr="00BE00C7">
              <w:rPr>
                <w:rFonts w:cs="Arial"/>
                <w:lang w:eastAsia="en-NZ"/>
              </w:rPr>
              <w:lastRenderedPageBreak/>
              <w:t>nurse, and is supported by the clinical manager (CM), clinical coordinator (CC), registered nurses, and care staff. Oversight is provided by the trust board. The governing body maintains accountability for ensuring a high-quality service for residents and their whānau. Compliance with legislative, contractual, and regulatory requirements is monitored by the leadership team and governance group, with external expertise accessed when required.</w:t>
            </w:r>
          </w:p>
          <w:p w14:paraId="15F0B1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organisation’s purpose, values, direction, scope, and goals are defined, and performance is monitored through regular scheduled reporting. A focus on identifying barriers to access, improving outcomes, and achieving equity for Māori was evident in strategic plans, and monitoring documentation, and this was confirmed interviews with the interim board chairperson and GM. The GM stated that ethnicity data is reviewed monthly to identify any potential inequities for Māori residents and their whānau. A strong commitment to the quality and risk management system was demonstrated.</w:t>
            </w:r>
          </w:p>
          <w:p w14:paraId="4DDE49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board meets monthly, or more often if required. Organisational performance, including financial results, management reports, and policy and procedure approvals, is monitored at each meeting. Performance monitoring and review occur as part of the regular board reporting processes.</w:t>
            </w:r>
          </w:p>
          <w:p w14:paraId="63AE82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governance structure is appropriate to the size and complexity of the organisation, with reporting during staff meetings and monitoring of resident safety and clinical indicators.    </w:t>
            </w:r>
          </w:p>
          <w:p w14:paraId="38C716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Health New Zealand – Te Whatu Ora for the provision of age-related residential care at hospital and rest home levels, and with the Accident Compensation Corporation (ACC). At the time of the audit, there were 52 residents, including 23 hospital-level residents (three under ACC contracts) and 29 residents receiving rest home–level care.</w:t>
            </w:r>
          </w:p>
          <w:p w14:paraId="48AEA3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been providing hospital medical services to ACC clients. Verification confirmed that the provider meets the required criteria to deliver these services.</w:t>
            </w:r>
          </w:p>
          <w:p w14:paraId="6ED16213" w14:textId="77777777" w:rsidR="00000000" w:rsidRPr="00BE00C7" w:rsidRDefault="00000000" w:rsidP="00BE00C7">
            <w:pPr>
              <w:pStyle w:val="OutcomeDescription"/>
              <w:spacing w:before="120" w:after="120"/>
              <w:rPr>
                <w:rFonts w:cs="Arial"/>
                <w:lang w:eastAsia="en-NZ"/>
              </w:rPr>
            </w:pPr>
          </w:p>
        </w:tc>
      </w:tr>
      <w:tr w:rsidR="00D71A63" w14:paraId="348EF89E" w14:textId="77777777">
        <w:tc>
          <w:tcPr>
            <w:tcW w:w="0" w:type="auto"/>
          </w:tcPr>
          <w:p w14:paraId="7BC672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72EF0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EDD6E78" w14:textId="77777777" w:rsidR="00000000" w:rsidRPr="00BE00C7" w:rsidRDefault="00000000" w:rsidP="00BE00C7">
            <w:pPr>
              <w:pStyle w:val="OutcomeDescription"/>
              <w:spacing w:before="120" w:after="120"/>
              <w:rPr>
                <w:rFonts w:cs="Arial"/>
                <w:lang w:eastAsia="en-NZ"/>
              </w:rPr>
            </w:pPr>
          </w:p>
        </w:tc>
        <w:tc>
          <w:tcPr>
            <w:tcW w:w="0" w:type="auto"/>
          </w:tcPr>
          <w:p w14:paraId="7FE3B82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1D74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operates a planned quality and risk management system that reflects the principles of continuous quality improvement. The system includes the management of incidents and complaints, audit activities, regular resident satisfaction surveys, monitoring of outcomes, policies and procedures, clinical incidents including infections, and restraint management.</w:t>
            </w:r>
          </w:p>
          <w:p w14:paraId="2B00EC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previous audit finding regarding the signing of internal audit corrective actions has been addressed. All completed internal audits had been appropriately dated and signed off.</w:t>
            </w:r>
          </w:p>
          <w:p w14:paraId="5D724887"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resident satisfaction survey was completed in August 2025, and a staff satisfaction survey in July 2025. Results indicated positive outcomes in nursing care, communication, and the provision of a safe and supportive environment. A food services survey conducted in January 2025 also showed satisfactory results. Findings were reported at monthly staff, registered nurse, and heads of department meetings. Corrective actions were developed and implemented for any identified shortfalls, and progress against quality outcomes is monitored and evaluated.</w:t>
            </w:r>
          </w:p>
          <w:p w14:paraId="04554162"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reviewed were current and covered all required aspects of the service and contractual obligations. The GM is responsible for overseeing the document control process. The policies comprehensively address the needs of residents requiring hospital medical services.</w:t>
            </w:r>
          </w:p>
          <w:p w14:paraId="55B9F4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described established processes for the identification, documentation, monitoring, review, and reporting of risks, including health and safety risks. Mitigation strategies were developed and implemented as required.</w:t>
            </w:r>
          </w:p>
          <w:p w14:paraId="59D305C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 adverse and near-miss events in accordance with the National Adverse Events Policy. Learning from harm is discussed with staff during regular staff meetings. A sample of incident forms reviewed showed that documentation was complete, incidents were investigated, action plans were developed, and corrective actions were followed up in a timely manner.</w:t>
            </w:r>
          </w:p>
          <w:p w14:paraId="0F90C8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GM demonstrated an understanding of, and compliance with, essential notification reporting requirements. Two Section 31 notifications have been submitted to HealthCERT since the previous audit, both relating to resident absconding events. The GM confirmed that there have been no adverse </w:t>
            </w:r>
            <w:r w:rsidRPr="00BE00C7">
              <w:rPr>
                <w:rFonts w:cs="Arial"/>
                <w:lang w:eastAsia="en-NZ"/>
              </w:rPr>
              <w:lastRenderedPageBreak/>
              <w:t>events requiring notification to the Health Quality &amp; Safety Commission.</w:t>
            </w:r>
          </w:p>
          <w:p w14:paraId="405C6B58" w14:textId="77777777" w:rsidR="00000000" w:rsidRPr="00BE00C7" w:rsidRDefault="00000000" w:rsidP="00BE00C7">
            <w:pPr>
              <w:pStyle w:val="OutcomeDescription"/>
              <w:spacing w:before="120" w:after="120"/>
              <w:rPr>
                <w:rFonts w:cs="Arial"/>
                <w:lang w:eastAsia="en-NZ"/>
              </w:rPr>
            </w:pPr>
          </w:p>
        </w:tc>
      </w:tr>
      <w:tr w:rsidR="00D71A63" w14:paraId="2969AC37" w14:textId="77777777">
        <w:tc>
          <w:tcPr>
            <w:tcW w:w="0" w:type="auto"/>
          </w:tcPr>
          <w:p w14:paraId="6BE4A3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D6471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15C9A6D" w14:textId="77777777" w:rsidR="00000000" w:rsidRPr="00BE00C7" w:rsidRDefault="00000000" w:rsidP="00BE00C7">
            <w:pPr>
              <w:pStyle w:val="OutcomeDescription"/>
              <w:spacing w:before="120" w:after="120"/>
              <w:rPr>
                <w:rFonts w:cs="Arial"/>
                <w:lang w:eastAsia="en-NZ"/>
              </w:rPr>
            </w:pPr>
          </w:p>
        </w:tc>
        <w:tc>
          <w:tcPr>
            <w:tcW w:w="0" w:type="auto"/>
          </w:tcPr>
          <w:p w14:paraId="689D2B8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9CA5E6" w14:textId="77777777" w:rsidR="00000000" w:rsidRPr="00BE00C7" w:rsidRDefault="00000000" w:rsidP="00BE00C7">
            <w:pPr>
              <w:pStyle w:val="OutcomeDescription"/>
              <w:spacing w:before="120" w:after="120"/>
              <w:rPr>
                <w:rFonts w:cs="Arial"/>
                <w:lang w:eastAsia="en-NZ"/>
              </w:rPr>
            </w:pPr>
            <w:r w:rsidRPr="00BE00C7">
              <w:rPr>
                <w:rFonts w:cs="Arial"/>
                <w:lang w:eastAsia="en-NZ"/>
              </w:rPr>
              <w:t>A documented and implemented process is in place to determine staffing levels and skill mix to ensure culturally, and clinically safe care is provided 24 hours a day, seven days a week (24/7). Staffing levels are adjusted to meet the changing needs of residents. A multidisciplinary team (MDT) approach supports comprehensive service delivery. Staff reported that there are sufficient personnel to complete allocated duties, and residents and whānau confirmed this. At least one staff member on each shift holds a current first aid certificate. Management demonstrated awareness and understanding of the requirements for the addition of hospital medical services. Training will be implemented in accordance with the training calendar. Staffing levels will remain unchanged.</w:t>
            </w:r>
          </w:p>
          <w:p w14:paraId="4495550D" w14:textId="77777777" w:rsidR="00000000" w:rsidRPr="00BE00C7" w:rsidRDefault="00000000" w:rsidP="00BE00C7">
            <w:pPr>
              <w:pStyle w:val="OutcomeDescription"/>
              <w:spacing w:before="120" w:after="120"/>
              <w:rPr>
                <w:rFonts w:cs="Arial"/>
                <w:lang w:eastAsia="en-NZ"/>
              </w:rPr>
            </w:pPr>
            <w:r w:rsidRPr="00BE00C7">
              <w:rPr>
                <w:rFonts w:cs="Arial"/>
                <w:lang w:eastAsia="en-NZ"/>
              </w:rPr>
              <w:t>Clinical advice is available as required to support safe care provision. An out-of-hours on-call policy clearly outlines how and when to contact the nurse practitioner and management team outside of standard hours.</w:t>
            </w:r>
          </w:p>
          <w:p w14:paraId="2FECAE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employment process includes job descriptions that define the skills, qualifications, and attributes required for each role, ensuring services are delivered to meet the needs of residents.</w:t>
            </w:r>
          </w:p>
          <w:p w14:paraId="25E23DF4"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annually and includes mandatory training requirements. Relevant competencies are assessed to support safe and equitable service delivery. Records reviewed demonstrated that required training and competency assessments have been completed in accordance with the Ngā Paerewa standards and Health New Zealand – Te Whatu Ora contract requirements. Staff reported feeling well supported in their professional development.</w:t>
            </w:r>
          </w:p>
          <w:p w14:paraId="736F720F"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assistants (HCAs) have either completed or commenced a New Zealand Qualifications Authority (NZQA) education programme to meet the requirements of the provider’s agreement with Health New Zealand – Te Whatu Ora. On the day of the audit, there were 28 HCAs: four had completed Level 4, and 12 had completed Level 3. Twelve HCAs are yet to be enrolled in the New Zealand Qualifications Authority (NZQA) education programme.</w:t>
            </w:r>
          </w:p>
          <w:p w14:paraId="1577A10A" w14:textId="77777777" w:rsidR="00000000" w:rsidRPr="00BE00C7" w:rsidRDefault="00000000" w:rsidP="00BE00C7">
            <w:pPr>
              <w:pStyle w:val="OutcomeDescription"/>
              <w:spacing w:before="120" w:after="120"/>
              <w:rPr>
                <w:rFonts w:cs="Arial"/>
                <w:lang w:eastAsia="en-NZ"/>
              </w:rPr>
            </w:pPr>
          </w:p>
        </w:tc>
      </w:tr>
      <w:tr w:rsidR="00D71A63" w14:paraId="355C97E0" w14:textId="77777777">
        <w:tc>
          <w:tcPr>
            <w:tcW w:w="0" w:type="auto"/>
          </w:tcPr>
          <w:p w14:paraId="56007A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B6AFC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267419B" w14:textId="77777777" w:rsidR="00000000" w:rsidRPr="00BE00C7" w:rsidRDefault="00000000" w:rsidP="00BE00C7">
            <w:pPr>
              <w:pStyle w:val="OutcomeDescription"/>
              <w:spacing w:before="120" w:after="120"/>
              <w:rPr>
                <w:rFonts w:cs="Arial"/>
                <w:lang w:eastAsia="en-NZ"/>
              </w:rPr>
            </w:pPr>
          </w:p>
        </w:tc>
        <w:tc>
          <w:tcPr>
            <w:tcW w:w="0" w:type="auto"/>
          </w:tcPr>
          <w:p w14:paraId="4E4C9A5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CAF7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 management policies and processes are based on good employment practices and relevant legislation. The annual practising certificates of all health professionals are reviewed annually, and a record is maintained, including evidence of qualifications and registration (where applicable). A sample of staff records reviewed confirmed that the organisation’s policies are being consistently implemented. There was evidence of good recruitment processes, including letters of offer, signed employment agreements and position descriptions, validation of qualifications, police vetting, orientation, and performance appraisals. A total of seven staff files were reviewed.  </w:t>
            </w:r>
          </w:p>
          <w:p w14:paraId="649109F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evidence of this was seen in the reviewed files. As confirmed in the records reviewed, opportunities to discuss and review performance occur three months following appointment and yearly thereafter.</w:t>
            </w:r>
          </w:p>
          <w:p w14:paraId="2B379C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stated they were aware of the Age-Related Residential Care (ARRC) contract requirements for staff training. They confirmed that current staffing levels will be adjusted to meet the needs of residents requiring hospital medical services.</w:t>
            </w:r>
          </w:p>
          <w:p w14:paraId="0F6874FC" w14:textId="77777777" w:rsidR="00000000" w:rsidRPr="00BE00C7" w:rsidRDefault="00000000" w:rsidP="00BE00C7">
            <w:pPr>
              <w:pStyle w:val="OutcomeDescription"/>
              <w:spacing w:before="120" w:after="120"/>
              <w:rPr>
                <w:rFonts w:cs="Arial"/>
                <w:lang w:eastAsia="en-NZ"/>
              </w:rPr>
            </w:pPr>
          </w:p>
        </w:tc>
      </w:tr>
      <w:tr w:rsidR="00D71A63" w14:paraId="6E26B10F" w14:textId="77777777">
        <w:tc>
          <w:tcPr>
            <w:tcW w:w="0" w:type="auto"/>
          </w:tcPr>
          <w:p w14:paraId="3C3B4C4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49EA53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D85CA34" w14:textId="77777777" w:rsidR="00000000" w:rsidRPr="00BE00C7" w:rsidRDefault="00000000" w:rsidP="00BE00C7">
            <w:pPr>
              <w:pStyle w:val="OutcomeDescription"/>
              <w:spacing w:before="120" w:after="120"/>
              <w:rPr>
                <w:rFonts w:cs="Arial"/>
                <w:lang w:eastAsia="en-NZ"/>
              </w:rPr>
            </w:pPr>
          </w:p>
        </w:tc>
        <w:tc>
          <w:tcPr>
            <w:tcW w:w="0" w:type="auto"/>
          </w:tcPr>
          <w:p w14:paraId="50AAF31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3CE7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works in partnership with the resident and whānau to support wellbeing. A care plan is developed by the registered nurses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  </w:t>
            </w:r>
          </w:p>
          <w:p w14:paraId="40898558" w14:textId="77777777" w:rsidR="00000000" w:rsidRPr="00BE00C7" w:rsidRDefault="00000000" w:rsidP="00BE00C7">
            <w:pPr>
              <w:pStyle w:val="OutcomeDescription"/>
              <w:spacing w:before="120" w:after="120"/>
              <w:rPr>
                <w:rFonts w:cs="Arial"/>
                <w:lang w:eastAsia="en-NZ"/>
              </w:rPr>
            </w:pPr>
            <w:r w:rsidRPr="00BE00C7">
              <w:rPr>
                <w:rFonts w:cs="Arial"/>
                <w:lang w:eastAsia="en-NZ"/>
              </w:rPr>
              <w:t>Timeframes for the initial assessment, nurse practitioner (NP) assessment, initial care plan, long-term care plan, and review timeframes meet contractual and policy requirements. Staff support Māori and whānau to identify their own pae ora outcomes in their care plan when required. This was verified by sampling residents’ records, and from interviews of clinical staff, residents, and whānau.</w:t>
            </w:r>
          </w:p>
          <w:p w14:paraId="76CD60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contracted medical practice provides on-site medical support twice </w:t>
            </w:r>
            <w:r w:rsidRPr="00BE00C7">
              <w:rPr>
                <w:rFonts w:cs="Arial"/>
                <w:lang w:eastAsia="en-NZ"/>
              </w:rPr>
              <w:lastRenderedPageBreak/>
              <w:t>weekly and after-hours on-call services. Management of specific medical conditions is well documented, with systematic monitoring and regular evaluation of responses to planned care using appropriate outcome measures. When progress varies from expected outcomes, care plans are updated in collaboration with the resident and/or whānau. Residents and whānau interviewed confirmed they are actively involved in the review and decision-making process. The service provides suitable care for residents receiving hospital medical services. Referrals to a wide variety of allied health providers are made in a timely manner based on assessed needs, and recommendations from allied health providers are incorporated into the resident’s care plan.</w:t>
            </w:r>
          </w:p>
          <w:p w14:paraId="73F4B003" w14:textId="47974A0A" w:rsidR="00000000" w:rsidRPr="00BE00C7" w:rsidRDefault="00000000" w:rsidP="00BE00C7">
            <w:pPr>
              <w:pStyle w:val="OutcomeDescription"/>
              <w:spacing w:before="120" w:after="120"/>
              <w:rPr>
                <w:rFonts w:cs="Arial"/>
                <w:lang w:eastAsia="en-NZ"/>
              </w:rPr>
            </w:pPr>
            <w:r w:rsidRPr="00BE00C7">
              <w:rPr>
                <w:rFonts w:cs="Arial"/>
                <w:lang w:eastAsia="en-NZ"/>
              </w:rPr>
              <w:t>Residents’ records, observations, and interviews verified that the care provided to residents was consistent with their assessed needs, goals, and aspirations. A range of equipment and resources were available, suited to the levels of care provided and in accordance with the residents’ needs.</w:t>
            </w:r>
          </w:p>
          <w:p w14:paraId="0D115CED" w14:textId="77777777" w:rsidR="00000000" w:rsidRPr="00BE00C7" w:rsidRDefault="00000000" w:rsidP="00BE00C7">
            <w:pPr>
              <w:pStyle w:val="OutcomeDescription"/>
              <w:spacing w:before="120" w:after="120"/>
              <w:rPr>
                <w:rFonts w:cs="Arial"/>
                <w:lang w:eastAsia="en-NZ"/>
              </w:rPr>
            </w:pPr>
          </w:p>
        </w:tc>
      </w:tr>
      <w:tr w:rsidR="00D71A63" w14:paraId="2CE02BB4" w14:textId="77777777">
        <w:tc>
          <w:tcPr>
            <w:tcW w:w="0" w:type="auto"/>
          </w:tcPr>
          <w:p w14:paraId="5D6378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C1DF6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49069B6" w14:textId="77777777" w:rsidR="00000000" w:rsidRPr="00BE00C7" w:rsidRDefault="00000000" w:rsidP="00BE00C7">
            <w:pPr>
              <w:pStyle w:val="OutcomeDescription"/>
              <w:spacing w:before="120" w:after="120"/>
              <w:rPr>
                <w:rFonts w:cs="Arial"/>
                <w:lang w:eastAsia="en-NZ"/>
              </w:rPr>
            </w:pPr>
          </w:p>
        </w:tc>
        <w:tc>
          <w:tcPr>
            <w:tcW w:w="0" w:type="auto"/>
          </w:tcPr>
          <w:p w14:paraId="233440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AB03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and current best practice. The service’s responsibilities in relation to each stage of medicine management are clearly documented in the policies and procedures. A safe system for medicine management using an electronic system was observed on the day of audit. A registered nurse was observed administering lunchtime medicine. All staff who administer medicines were competent to perform the function they managed. Current medication administration competencies were available in staff records reviewed.</w:t>
            </w:r>
          </w:p>
          <w:p w14:paraId="09B83C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Medicines are stored safely, including controlled drugs. The required stock checks had been completed. Medicines stored were within the recommended temperature range. </w:t>
            </w:r>
          </w:p>
          <w:p w14:paraId="7BE811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meet requirements, as confirmed in the sample of records reviewed. Medicine-related allergies or sensitivities were recorded, and any adverse events responded to appropriately. The required three-monthly NP review was consistently recorded on the medicine chart. Standing orders are not used. </w:t>
            </w:r>
          </w:p>
          <w:p w14:paraId="10F1BF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Self-administration of medication is facilitated and managed safely. There </w:t>
            </w:r>
            <w:r w:rsidRPr="00BE00C7">
              <w:rPr>
                <w:rFonts w:cs="Arial"/>
                <w:lang w:eastAsia="en-NZ"/>
              </w:rPr>
              <w:lastRenderedPageBreak/>
              <w:t>were three residents who were administering medicine at the time of the audit.</w:t>
            </w:r>
          </w:p>
          <w:p w14:paraId="25579AF3" w14:textId="77777777" w:rsidR="00000000" w:rsidRPr="00BE00C7" w:rsidRDefault="00000000" w:rsidP="00BE00C7">
            <w:pPr>
              <w:pStyle w:val="OutcomeDescription"/>
              <w:spacing w:before="120" w:after="120"/>
              <w:rPr>
                <w:rFonts w:cs="Arial"/>
                <w:lang w:eastAsia="en-NZ"/>
              </w:rPr>
            </w:pPr>
          </w:p>
        </w:tc>
      </w:tr>
      <w:tr w:rsidR="00D71A63" w14:paraId="1025CFB2" w14:textId="77777777">
        <w:tc>
          <w:tcPr>
            <w:tcW w:w="0" w:type="auto"/>
          </w:tcPr>
          <w:p w14:paraId="2EF960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FF9B1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9202E01" w14:textId="77777777" w:rsidR="00000000" w:rsidRPr="00BE00C7" w:rsidRDefault="00000000" w:rsidP="00BE00C7">
            <w:pPr>
              <w:pStyle w:val="OutcomeDescription"/>
              <w:spacing w:before="120" w:after="120"/>
              <w:rPr>
                <w:rFonts w:cs="Arial"/>
                <w:lang w:eastAsia="en-NZ"/>
              </w:rPr>
            </w:pPr>
          </w:p>
        </w:tc>
        <w:tc>
          <w:tcPr>
            <w:tcW w:w="0" w:type="auto"/>
          </w:tcPr>
          <w:p w14:paraId="02919E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89C2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has been developed in line with recognised nutritional guidelines for people using the services, taking into consideration the food and cultural preferences of those using the service. Evidence of resident satisfaction with meals was verified from resident and whānau interviews, satisfaction surveys, and resident meeting minutes.</w:t>
            </w:r>
          </w:p>
          <w:p w14:paraId="6B025B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operates with an approved food safety plan and registration that is valid until 1 August 2026.</w:t>
            </w:r>
          </w:p>
          <w:p w14:paraId="5485128F" w14:textId="77777777" w:rsidR="00000000" w:rsidRPr="00BE00C7" w:rsidRDefault="00000000" w:rsidP="00BE00C7">
            <w:pPr>
              <w:pStyle w:val="OutcomeDescription"/>
              <w:spacing w:before="120" w:after="120"/>
              <w:rPr>
                <w:rFonts w:cs="Arial"/>
                <w:lang w:eastAsia="en-NZ"/>
              </w:rPr>
            </w:pPr>
          </w:p>
        </w:tc>
      </w:tr>
      <w:tr w:rsidR="00D71A63" w14:paraId="6210CF21" w14:textId="77777777">
        <w:tc>
          <w:tcPr>
            <w:tcW w:w="0" w:type="auto"/>
          </w:tcPr>
          <w:p w14:paraId="159D87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76AD1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7F55EDE" w14:textId="77777777" w:rsidR="00000000" w:rsidRPr="00BE00C7" w:rsidRDefault="00000000" w:rsidP="00BE00C7">
            <w:pPr>
              <w:pStyle w:val="OutcomeDescription"/>
              <w:spacing w:before="120" w:after="120"/>
              <w:rPr>
                <w:rFonts w:cs="Arial"/>
                <w:lang w:eastAsia="en-NZ"/>
              </w:rPr>
            </w:pPr>
          </w:p>
        </w:tc>
        <w:tc>
          <w:tcPr>
            <w:tcW w:w="0" w:type="auto"/>
          </w:tcPr>
          <w:p w14:paraId="5B454C4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8C33A3"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Whānau reported being kept well informed during the transfer of their relative.</w:t>
            </w:r>
          </w:p>
          <w:p w14:paraId="79A5A0A5" w14:textId="77777777" w:rsidR="00000000" w:rsidRPr="00BE00C7" w:rsidRDefault="00000000" w:rsidP="00BE00C7">
            <w:pPr>
              <w:pStyle w:val="OutcomeDescription"/>
              <w:spacing w:before="120" w:after="120"/>
              <w:rPr>
                <w:rFonts w:cs="Arial"/>
                <w:lang w:eastAsia="en-NZ"/>
              </w:rPr>
            </w:pPr>
          </w:p>
        </w:tc>
      </w:tr>
      <w:tr w:rsidR="00D71A63" w14:paraId="2DD910C9" w14:textId="77777777">
        <w:tc>
          <w:tcPr>
            <w:tcW w:w="0" w:type="auto"/>
          </w:tcPr>
          <w:p w14:paraId="39E7022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E4956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w:t>
            </w:r>
            <w:r w:rsidRPr="00BE00C7">
              <w:rPr>
                <w:rFonts w:cs="Arial"/>
                <w:lang w:eastAsia="en-NZ"/>
              </w:rPr>
              <w:lastRenderedPageBreak/>
              <w:t>maintained, tidy, and comfortable and accessible, and the people we deliver services to can move independently and freely throughout. The physical environment optimises people’s sense of belonging, independence, interaction, and function.</w:t>
            </w:r>
          </w:p>
          <w:p w14:paraId="0E9B5885" w14:textId="77777777" w:rsidR="00000000" w:rsidRPr="00BE00C7" w:rsidRDefault="00000000" w:rsidP="00BE00C7">
            <w:pPr>
              <w:pStyle w:val="OutcomeDescription"/>
              <w:spacing w:before="120" w:after="120"/>
              <w:rPr>
                <w:rFonts w:cs="Arial"/>
                <w:lang w:eastAsia="en-NZ"/>
              </w:rPr>
            </w:pPr>
          </w:p>
        </w:tc>
        <w:tc>
          <w:tcPr>
            <w:tcW w:w="0" w:type="auto"/>
          </w:tcPr>
          <w:p w14:paraId="789F9E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9989E3"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are fit for purpose, consider the cultural needs of residents, and comply with relevant legislation. A current building warrant of fitness is in place, expiring in January 2026. Electrical testing and tagging, as well as biomedical equipment testing by a preferred provider, were up to date. An inventory of all equipment and resources requiring verification or calibration was maintained.</w:t>
            </w:r>
          </w:p>
          <w:p w14:paraId="034B79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w:t>
            </w:r>
            <w:r w:rsidRPr="00BE00C7">
              <w:rPr>
                <w:rFonts w:cs="Arial"/>
                <w:lang w:eastAsia="en-NZ"/>
              </w:rPr>
              <w:lastRenderedPageBreak/>
              <w:t xml:space="preserve">and ventilation, natural light, privacy, and maintenance.    </w:t>
            </w:r>
          </w:p>
          <w:p w14:paraId="016F81F4" w14:textId="77777777" w:rsidR="00000000" w:rsidRPr="00BE00C7" w:rsidRDefault="00000000" w:rsidP="00BE00C7">
            <w:pPr>
              <w:pStyle w:val="OutcomeDescription"/>
              <w:spacing w:before="120" w:after="120"/>
              <w:rPr>
                <w:rFonts w:cs="Arial"/>
                <w:lang w:eastAsia="en-NZ"/>
              </w:rPr>
            </w:pPr>
          </w:p>
        </w:tc>
      </w:tr>
      <w:tr w:rsidR="00D71A63" w14:paraId="4D8BE592" w14:textId="77777777">
        <w:tc>
          <w:tcPr>
            <w:tcW w:w="0" w:type="auto"/>
          </w:tcPr>
          <w:p w14:paraId="7B65C0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9A0C6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7DAD4C9" w14:textId="77777777" w:rsidR="00000000" w:rsidRPr="00BE00C7" w:rsidRDefault="00000000" w:rsidP="00BE00C7">
            <w:pPr>
              <w:pStyle w:val="OutcomeDescription"/>
              <w:spacing w:before="120" w:after="120"/>
              <w:rPr>
                <w:rFonts w:cs="Arial"/>
                <w:lang w:eastAsia="en-NZ"/>
              </w:rPr>
            </w:pPr>
          </w:p>
        </w:tc>
        <w:tc>
          <w:tcPr>
            <w:tcW w:w="0" w:type="auto"/>
          </w:tcPr>
          <w:p w14:paraId="21220AB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2021D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(IPCC) is responsible for overseeing and implementing the IP programme. Annual review of the IP programme has not been completed.</w:t>
            </w:r>
          </w:p>
          <w:p w14:paraId="1639076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are educated about infection prevention in a manner that meets their needs.</w:t>
            </w:r>
          </w:p>
          <w:p w14:paraId="24DD0169" w14:textId="77777777" w:rsidR="00000000" w:rsidRPr="00BE00C7" w:rsidRDefault="00000000" w:rsidP="00BE00C7">
            <w:pPr>
              <w:pStyle w:val="OutcomeDescription"/>
              <w:spacing w:before="120" w:after="120"/>
              <w:rPr>
                <w:rFonts w:cs="Arial"/>
                <w:lang w:eastAsia="en-NZ"/>
              </w:rPr>
            </w:pPr>
          </w:p>
        </w:tc>
      </w:tr>
      <w:tr w:rsidR="00D71A63" w14:paraId="4470F6FE" w14:textId="77777777">
        <w:tc>
          <w:tcPr>
            <w:tcW w:w="0" w:type="auto"/>
          </w:tcPr>
          <w:p w14:paraId="0AF2F65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5E256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715C639" w14:textId="77777777" w:rsidR="00000000" w:rsidRPr="00BE00C7" w:rsidRDefault="00000000" w:rsidP="00BE00C7">
            <w:pPr>
              <w:pStyle w:val="OutcomeDescription"/>
              <w:spacing w:before="120" w:after="120"/>
              <w:rPr>
                <w:rFonts w:cs="Arial"/>
                <w:lang w:eastAsia="en-NZ"/>
              </w:rPr>
            </w:pPr>
          </w:p>
        </w:tc>
        <w:tc>
          <w:tcPr>
            <w:tcW w:w="0" w:type="auto"/>
          </w:tcPr>
          <w:p w14:paraId="19627B6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224300C"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is collated and analysed to identify any trends, possible causative factors, and required actions. Surveillance did not include ethnicity data.  Results of the surveillance programme are shared with staff at staff meetings and reported to the governing body through monthly board reports. There were COVID-19 outbreaks reported since the previous audit. A summary report for a recent COVID-19 infection outbreak was reviewed, and it demonstrated a thorough process for investigation and follow-up. Learnings from the event have now been incorporated into practice.</w:t>
            </w:r>
          </w:p>
          <w:p w14:paraId="71542734" w14:textId="77777777" w:rsidR="00000000" w:rsidRPr="00BE00C7" w:rsidRDefault="00000000" w:rsidP="00BE00C7">
            <w:pPr>
              <w:pStyle w:val="OutcomeDescription"/>
              <w:spacing w:before="120" w:after="120"/>
              <w:rPr>
                <w:rFonts w:cs="Arial"/>
                <w:lang w:eastAsia="en-NZ"/>
              </w:rPr>
            </w:pPr>
          </w:p>
        </w:tc>
      </w:tr>
      <w:tr w:rsidR="00D71A63" w14:paraId="2E81FBC2" w14:textId="77777777">
        <w:tc>
          <w:tcPr>
            <w:tcW w:w="0" w:type="auto"/>
          </w:tcPr>
          <w:p w14:paraId="3CC046E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76D54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r>
            <w:r w:rsidRPr="00BE00C7">
              <w:rPr>
                <w:rFonts w:cs="Arial"/>
                <w:lang w:eastAsia="en-NZ"/>
              </w:rPr>
              <w:lastRenderedPageBreak/>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846F664" w14:textId="77777777" w:rsidR="00000000" w:rsidRPr="00BE00C7" w:rsidRDefault="00000000" w:rsidP="00BE00C7">
            <w:pPr>
              <w:pStyle w:val="OutcomeDescription"/>
              <w:spacing w:before="120" w:after="120"/>
              <w:rPr>
                <w:rFonts w:cs="Arial"/>
                <w:lang w:eastAsia="en-NZ"/>
              </w:rPr>
            </w:pPr>
          </w:p>
        </w:tc>
        <w:tc>
          <w:tcPr>
            <w:tcW w:w="0" w:type="auto"/>
          </w:tcPr>
          <w:p w14:paraId="556748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6563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governing body demonstrated commitment to this through documented policy and regular reporting requirements. The previous audit finding relating to reviewing the restraint policy has been addressed. A current </w:t>
            </w:r>
            <w:r w:rsidRPr="00BE00C7">
              <w:rPr>
                <w:rFonts w:cs="Arial"/>
                <w:lang w:eastAsia="en-NZ"/>
              </w:rPr>
              <w:lastRenderedPageBreak/>
              <w:t xml:space="preserve">restraint elimination and safe practice policy, which aligns with NZS 8134:2021 Ngā Paerewa standards, was sighted. The registered nurse is the restraint coordinator for this service and is fully informed about the restraint standard and requirements.  </w:t>
            </w:r>
          </w:p>
          <w:p w14:paraId="2AA5D5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no resident was using a restraint, and this has been the case since the previous audit.  Staff reported, and documentation evidenced, that staff have been trained in the least restrictive practice, safe restraint practice, alternative cultural-specific interventions, and de-escalation techniques.   </w:t>
            </w:r>
          </w:p>
          <w:p w14:paraId="36F6A0C2" w14:textId="77777777" w:rsidR="00000000" w:rsidRPr="00BE00C7" w:rsidRDefault="00000000" w:rsidP="00BE00C7">
            <w:pPr>
              <w:pStyle w:val="OutcomeDescription"/>
              <w:spacing w:before="120" w:after="120"/>
              <w:rPr>
                <w:rFonts w:cs="Arial"/>
                <w:lang w:eastAsia="en-NZ"/>
              </w:rPr>
            </w:pPr>
          </w:p>
        </w:tc>
      </w:tr>
    </w:tbl>
    <w:p w14:paraId="4BA40DAE"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FAD9BA2" w14:textId="77777777" w:rsidR="00000000" w:rsidRDefault="00000000">
      <w:pPr>
        <w:pStyle w:val="Heading1"/>
        <w:rPr>
          <w:rFonts w:cs="Arial"/>
        </w:rPr>
      </w:pPr>
      <w:r>
        <w:rPr>
          <w:rFonts w:cs="Arial"/>
        </w:rPr>
        <w:lastRenderedPageBreak/>
        <w:t>Specific results for criterion where corrective actions are required</w:t>
      </w:r>
    </w:p>
    <w:p w14:paraId="7238845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D3B075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C95F59D"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gridCol w:w="1335"/>
        <w:gridCol w:w="4599"/>
        <w:gridCol w:w="2372"/>
        <w:gridCol w:w="2236"/>
      </w:tblGrid>
      <w:tr w:rsidR="00D71A63" w14:paraId="7EA02B12" w14:textId="77777777">
        <w:tc>
          <w:tcPr>
            <w:tcW w:w="0" w:type="auto"/>
          </w:tcPr>
          <w:p w14:paraId="7FFC73DA"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2F5810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F630BA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5C3156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818131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D71A63" w14:paraId="110667A1" w14:textId="77777777">
        <w:tc>
          <w:tcPr>
            <w:tcW w:w="0" w:type="auto"/>
          </w:tcPr>
          <w:p w14:paraId="61A13EB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5.2.2</w:t>
            </w:r>
          </w:p>
          <w:p w14:paraId="01EF98A0"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have a clearly defined and documented IP programme that shall be:</w:t>
            </w:r>
            <w:r w:rsidRPr="00BE00C7">
              <w:rPr>
                <w:rFonts w:cs="Arial"/>
                <w:lang w:eastAsia="en-NZ"/>
              </w:rPr>
              <w:br/>
              <w:t>(a) Developed by those with IP expertise;</w:t>
            </w:r>
            <w:r w:rsidRPr="00BE00C7">
              <w:rPr>
                <w:rFonts w:cs="Arial"/>
                <w:lang w:eastAsia="en-NZ"/>
              </w:rPr>
              <w:br/>
              <w:t>(b) Approved by the governance body;</w:t>
            </w:r>
            <w:r w:rsidRPr="00BE00C7">
              <w:rPr>
                <w:rFonts w:cs="Arial"/>
                <w:lang w:eastAsia="en-NZ"/>
              </w:rPr>
              <w:br/>
              <w:t>(c) Linked to the quality improvement programme; and</w:t>
            </w:r>
            <w:r w:rsidRPr="00BE00C7">
              <w:rPr>
                <w:rFonts w:cs="Arial"/>
                <w:lang w:eastAsia="en-NZ"/>
              </w:rPr>
              <w:br/>
              <w:t>(d) Reviewed and reported on annually.</w:t>
            </w:r>
          </w:p>
          <w:p w14:paraId="5FBED0B2" w14:textId="77777777" w:rsidR="00000000" w:rsidRPr="00BE00C7" w:rsidRDefault="00000000" w:rsidP="00BE00C7">
            <w:pPr>
              <w:pStyle w:val="OutcomeDescription"/>
              <w:spacing w:before="120" w:after="120"/>
              <w:rPr>
                <w:rFonts w:cs="Arial"/>
                <w:lang w:eastAsia="en-NZ"/>
              </w:rPr>
            </w:pPr>
          </w:p>
        </w:tc>
        <w:tc>
          <w:tcPr>
            <w:tcW w:w="0" w:type="auto"/>
          </w:tcPr>
          <w:p w14:paraId="36591AB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36234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 programme has been developed by those with IP expertise and approved by Everil Orr governance body. The programme is linked to the quality improvement programme. However, it has not been reviewed and reported on annually. This was confirmed by the IPCC and review of the programme documentation.</w:t>
            </w:r>
          </w:p>
          <w:p w14:paraId="397D1755" w14:textId="77777777" w:rsidR="00000000" w:rsidRPr="00BE00C7" w:rsidRDefault="00000000" w:rsidP="00BE00C7">
            <w:pPr>
              <w:pStyle w:val="OutcomeDescription"/>
              <w:spacing w:before="120" w:after="120"/>
              <w:rPr>
                <w:rFonts w:cs="Arial"/>
                <w:lang w:eastAsia="en-NZ"/>
              </w:rPr>
            </w:pPr>
          </w:p>
        </w:tc>
        <w:tc>
          <w:tcPr>
            <w:tcW w:w="0" w:type="auto"/>
          </w:tcPr>
          <w:p w14:paraId="0EF4FB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 programme has not been reviewed.</w:t>
            </w:r>
          </w:p>
          <w:p w14:paraId="6770DFED" w14:textId="77777777" w:rsidR="00000000" w:rsidRPr="00BE00C7" w:rsidRDefault="00000000" w:rsidP="00BE00C7">
            <w:pPr>
              <w:pStyle w:val="OutcomeDescription"/>
              <w:spacing w:before="120" w:after="120"/>
              <w:rPr>
                <w:rFonts w:cs="Arial"/>
                <w:lang w:eastAsia="en-NZ"/>
              </w:rPr>
            </w:pPr>
          </w:p>
        </w:tc>
        <w:tc>
          <w:tcPr>
            <w:tcW w:w="0" w:type="auto"/>
          </w:tcPr>
          <w:p w14:paraId="704B6F78"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IP programme is reviewed annually to meet the criterion requirements.</w:t>
            </w:r>
          </w:p>
          <w:p w14:paraId="19004FC6" w14:textId="77777777" w:rsidR="00000000" w:rsidRPr="00BE00C7" w:rsidRDefault="00000000" w:rsidP="00BE00C7">
            <w:pPr>
              <w:pStyle w:val="OutcomeDescription"/>
              <w:spacing w:before="120" w:after="120"/>
              <w:rPr>
                <w:rFonts w:cs="Arial"/>
                <w:lang w:eastAsia="en-NZ"/>
              </w:rPr>
            </w:pPr>
          </w:p>
          <w:p w14:paraId="3C01181A"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D71A63" w14:paraId="3EAE5F99" w14:textId="77777777">
        <w:tc>
          <w:tcPr>
            <w:tcW w:w="0" w:type="auto"/>
          </w:tcPr>
          <w:p w14:paraId="3DC2383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5.4.3</w:t>
            </w:r>
          </w:p>
          <w:p w14:paraId="5EF3A7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methods, tools, documentation, analysis, and </w:t>
            </w:r>
            <w:r w:rsidRPr="00BE00C7">
              <w:rPr>
                <w:rFonts w:cs="Arial"/>
                <w:lang w:eastAsia="en-NZ"/>
              </w:rPr>
              <w:lastRenderedPageBreak/>
              <w:t>assignment of responsibilities shall be described and documented using standardised surveillance definitions. Surveillance includes ethnicity data.</w:t>
            </w:r>
          </w:p>
        </w:tc>
        <w:tc>
          <w:tcPr>
            <w:tcW w:w="0" w:type="auto"/>
          </w:tcPr>
          <w:p w14:paraId="445C1DA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CEA3C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surveillance programme includes standardised surveillance definitions. Surveillance methods, tools, documentation, analysis, and assignment of responsibilities are described and </w:t>
            </w:r>
            <w:r w:rsidRPr="00BE00C7">
              <w:rPr>
                <w:rFonts w:cs="Arial"/>
                <w:lang w:eastAsia="en-NZ"/>
              </w:rPr>
              <w:lastRenderedPageBreak/>
              <w:t>documented in the infection surveillance policy. Review of surveillance data and discussion with staff confirmed that ethnicity data is not included.</w:t>
            </w:r>
          </w:p>
          <w:p w14:paraId="61136024" w14:textId="77777777" w:rsidR="00000000" w:rsidRPr="00BE00C7" w:rsidRDefault="00000000" w:rsidP="00BE00C7">
            <w:pPr>
              <w:pStyle w:val="OutcomeDescription"/>
              <w:spacing w:before="120" w:after="120"/>
              <w:rPr>
                <w:rFonts w:cs="Arial"/>
                <w:lang w:eastAsia="en-NZ"/>
              </w:rPr>
            </w:pPr>
          </w:p>
        </w:tc>
        <w:tc>
          <w:tcPr>
            <w:tcW w:w="0" w:type="auto"/>
          </w:tcPr>
          <w:p w14:paraId="3F5C1E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Ethnicity is not included in the surveillance data. This does not meet the requirement for </w:t>
            </w:r>
            <w:r w:rsidRPr="00BE00C7">
              <w:rPr>
                <w:rFonts w:cs="Arial"/>
                <w:lang w:eastAsia="en-NZ"/>
              </w:rPr>
              <w:lastRenderedPageBreak/>
              <w:t>surveillance to include ethnicity data.</w:t>
            </w:r>
          </w:p>
          <w:p w14:paraId="4BFB5077" w14:textId="77777777" w:rsidR="00000000" w:rsidRPr="00BE00C7" w:rsidRDefault="00000000" w:rsidP="00BE00C7">
            <w:pPr>
              <w:pStyle w:val="OutcomeDescription"/>
              <w:spacing w:before="120" w:after="120"/>
              <w:rPr>
                <w:rFonts w:cs="Arial"/>
                <w:lang w:eastAsia="en-NZ"/>
              </w:rPr>
            </w:pPr>
          </w:p>
        </w:tc>
        <w:tc>
          <w:tcPr>
            <w:tcW w:w="0" w:type="auto"/>
          </w:tcPr>
          <w:p w14:paraId="034AC5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that ethnicity is incorporated into the surveillance data to meet the criterion </w:t>
            </w:r>
            <w:r w:rsidRPr="00BE00C7">
              <w:rPr>
                <w:rFonts w:cs="Arial"/>
                <w:lang w:eastAsia="en-NZ"/>
              </w:rPr>
              <w:lastRenderedPageBreak/>
              <w:t>requirements.</w:t>
            </w:r>
          </w:p>
          <w:p w14:paraId="668AFBF5" w14:textId="77777777" w:rsidR="00000000" w:rsidRPr="00BE00C7" w:rsidRDefault="00000000" w:rsidP="00BE00C7">
            <w:pPr>
              <w:pStyle w:val="OutcomeDescription"/>
              <w:spacing w:before="120" w:after="120"/>
              <w:rPr>
                <w:rFonts w:cs="Arial"/>
                <w:lang w:eastAsia="en-NZ"/>
              </w:rPr>
            </w:pPr>
          </w:p>
          <w:p w14:paraId="7CF0D87E"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429633F1"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75389B5" w14:textId="77777777" w:rsidR="00000000" w:rsidRDefault="00000000">
      <w:pPr>
        <w:pStyle w:val="Heading1"/>
        <w:rPr>
          <w:rFonts w:cs="Arial"/>
        </w:rPr>
      </w:pPr>
      <w:r>
        <w:rPr>
          <w:rFonts w:cs="Arial"/>
        </w:rPr>
        <w:lastRenderedPageBreak/>
        <w:t>Specific results for criterion where a continuous improvement has been recorded</w:t>
      </w:r>
    </w:p>
    <w:p w14:paraId="7AD6A078"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6D712E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3FC222C"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71A63" w14:paraId="46C2DE75" w14:textId="77777777">
        <w:tc>
          <w:tcPr>
            <w:tcW w:w="0" w:type="auto"/>
          </w:tcPr>
          <w:p w14:paraId="0AB7C30F"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CDCF756"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4096700"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1F552" w14:textId="77777777" w:rsidR="00F349B4" w:rsidRDefault="00F349B4">
      <w:r>
        <w:separator/>
      </w:r>
    </w:p>
  </w:endnote>
  <w:endnote w:type="continuationSeparator" w:id="0">
    <w:p w14:paraId="786B1496" w14:textId="77777777" w:rsidR="00F349B4" w:rsidRDefault="00F3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4E07" w14:textId="77777777" w:rsidR="00000000" w:rsidRDefault="00000000">
    <w:pPr>
      <w:pStyle w:val="Footer"/>
    </w:pPr>
  </w:p>
  <w:p w14:paraId="1E1E1246" w14:textId="77777777" w:rsidR="00000000" w:rsidRDefault="00000000"/>
  <w:p w14:paraId="02AFD5F5"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E790"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Everil Orr Village Limited Partnership - Everil Orr Living</w:t>
    </w:r>
    <w:bookmarkEnd w:id="59"/>
    <w:r>
      <w:rPr>
        <w:rFonts w:cs="Arial"/>
        <w:sz w:val="16"/>
        <w:szCs w:val="20"/>
      </w:rPr>
      <w:tab/>
      <w:t xml:space="preserve">Date of Audit: </w:t>
    </w:r>
    <w:bookmarkStart w:id="60" w:name="AuditStartDate1"/>
    <w:r>
      <w:rPr>
        <w:rFonts w:cs="Arial"/>
        <w:sz w:val="16"/>
        <w:szCs w:val="20"/>
      </w:rPr>
      <w:t>21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1765255"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F9B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BF1F4" w14:textId="77777777" w:rsidR="00F349B4" w:rsidRDefault="00F349B4">
      <w:r>
        <w:separator/>
      </w:r>
    </w:p>
  </w:footnote>
  <w:footnote w:type="continuationSeparator" w:id="0">
    <w:p w14:paraId="7D64CABA" w14:textId="77777777" w:rsidR="00F349B4" w:rsidRDefault="00F34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8261" w14:textId="77777777" w:rsidR="00000000" w:rsidRDefault="00000000">
    <w:pPr>
      <w:pStyle w:val="Header"/>
    </w:pPr>
  </w:p>
  <w:p w14:paraId="7E24959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48A8" w14:textId="77777777" w:rsidR="00000000" w:rsidRDefault="00000000">
    <w:pPr>
      <w:pStyle w:val="Header"/>
    </w:pPr>
  </w:p>
  <w:p w14:paraId="054E5876"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B37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3002085E">
      <w:start w:val="1"/>
      <w:numFmt w:val="decimal"/>
      <w:lvlText w:val="%1."/>
      <w:lvlJc w:val="left"/>
      <w:pPr>
        <w:ind w:left="360" w:hanging="360"/>
      </w:pPr>
    </w:lvl>
    <w:lvl w:ilvl="1" w:tplc="64104D5C" w:tentative="1">
      <w:start w:val="1"/>
      <w:numFmt w:val="lowerLetter"/>
      <w:lvlText w:val="%2."/>
      <w:lvlJc w:val="left"/>
      <w:pPr>
        <w:ind w:left="1080" w:hanging="360"/>
      </w:pPr>
    </w:lvl>
    <w:lvl w:ilvl="2" w:tplc="5BD2F6DA" w:tentative="1">
      <w:start w:val="1"/>
      <w:numFmt w:val="lowerRoman"/>
      <w:lvlText w:val="%3."/>
      <w:lvlJc w:val="right"/>
      <w:pPr>
        <w:ind w:left="1800" w:hanging="180"/>
      </w:pPr>
    </w:lvl>
    <w:lvl w:ilvl="3" w:tplc="B5CCD60A" w:tentative="1">
      <w:start w:val="1"/>
      <w:numFmt w:val="decimal"/>
      <w:lvlText w:val="%4."/>
      <w:lvlJc w:val="left"/>
      <w:pPr>
        <w:ind w:left="2520" w:hanging="360"/>
      </w:pPr>
    </w:lvl>
    <w:lvl w:ilvl="4" w:tplc="DC426B9C" w:tentative="1">
      <w:start w:val="1"/>
      <w:numFmt w:val="lowerLetter"/>
      <w:lvlText w:val="%5."/>
      <w:lvlJc w:val="left"/>
      <w:pPr>
        <w:ind w:left="3240" w:hanging="360"/>
      </w:pPr>
    </w:lvl>
    <w:lvl w:ilvl="5" w:tplc="DE561D62" w:tentative="1">
      <w:start w:val="1"/>
      <w:numFmt w:val="lowerRoman"/>
      <w:lvlText w:val="%6."/>
      <w:lvlJc w:val="right"/>
      <w:pPr>
        <w:ind w:left="3960" w:hanging="180"/>
      </w:pPr>
    </w:lvl>
    <w:lvl w:ilvl="6" w:tplc="83E0CE34" w:tentative="1">
      <w:start w:val="1"/>
      <w:numFmt w:val="decimal"/>
      <w:lvlText w:val="%7."/>
      <w:lvlJc w:val="left"/>
      <w:pPr>
        <w:ind w:left="4680" w:hanging="360"/>
      </w:pPr>
    </w:lvl>
    <w:lvl w:ilvl="7" w:tplc="55BC8A90" w:tentative="1">
      <w:start w:val="1"/>
      <w:numFmt w:val="lowerLetter"/>
      <w:lvlText w:val="%8."/>
      <w:lvlJc w:val="left"/>
      <w:pPr>
        <w:ind w:left="5400" w:hanging="360"/>
      </w:pPr>
    </w:lvl>
    <w:lvl w:ilvl="8" w:tplc="348643D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38C4466">
      <w:start w:val="1"/>
      <w:numFmt w:val="bullet"/>
      <w:lvlText w:val=""/>
      <w:lvlJc w:val="left"/>
      <w:pPr>
        <w:ind w:left="720" w:hanging="360"/>
      </w:pPr>
      <w:rPr>
        <w:rFonts w:ascii="Symbol" w:hAnsi="Symbol" w:hint="default"/>
      </w:rPr>
    </w:lvl>
    <w:lvl w:ilvl="1" w:tplc="59523814" w:tentative="1">
      <w:start w:val="1"/>
      <w:numFmt w:val="bullet"/>
      <w:lvlText w:val="o"/>
      <w:lvlJc w:val="left"/>
      <w:pPr>
        <w:ind w:left="1440" w:hanging="360"/>
      </w:pPr>
      <w:rPr>
        <w:rFonts w:ascii="Courier New" w:hAnsi="Courier New" w:cs="Courier New" w:hint="default"/>
      </w:rPr>
    </w:lvl>
    <w:lvl w:ilvl="2" w:tplc="B5366D12" w:tentative="1">
      <w:start w:val="1"/>
      <w:numFmt w:val="bullet"/>
      <w:lvlText w:val=""/>
      <w:lvlJc w:val="left"/>
      <w:pPr>
        <w:ind w:left="2160" w:hanging="360"/>
      </w:pPr>
      <w:rPr>
        <w:rFonts w:ascii="Wingdings" w:hAnsi="Wingdings" w:hint="default"/>
      </w:rPr>
    </w:lvl>
    <w:lvl w:ilvl="3" w:tplc="E48A0838" w:tentative="1">
      <w:start w:val="1"/>
      <w:numFmt w:val="bullet"/>
      <w:lvlText w:val=""/>
      <w:lvlJc w:val="left"/>
      <w:pPr>
        <w:ind w:left="2880" w:hanging="360"/>
      </w:pPr>
      <w:rPr>
        <w:rFonts w:ascii="Symbol" w:hAnsi="Symbol" w:hint="default"/>
      </w:rPr>
    </w:lvl>
    <w:lvl w:ilvl="4" w:tplc="ADB21400" w:tentative="1">
      <w:start w:val="1"/>
      <w:numFmt w:val="bullet"/>
      <w:lvlText w:val="o"/>
      <w:lvlJc w:val="left"/>
      <w:pPr>
        <w:ind w:left="3600" w:hanging="360"/>
      </w:pPr>
      <w:rPr>
        <w:rFonts w:ascii="Courier New" w:hAnsi="Courier New" w:cs="Courier New" w:hint="default"/>
      </w:rPr>
    </w:lvl>
    <w:lvl w:ilvl="5" w:tplc="8EA60370" w:tentative="1">
      <w:start w:val="1"/>
      <w:numFmt w:val="bullet"/>
      <w:lvlText w:val=""/>
      <w:lvlJc w:val="left"/>
      <w:pPr>
        <w:ind w:left="4320" w:hanging="360"/>
      </w:pPr>
      <w:rPr>
        <w:rFonts w:ascii="Wingdings" w:hAnsi="Wingdings" w:hint="default"/>
      </w:rPr>
    </w:lvl>
    <w:lvl w:ilvl="6" w:tplc="52306E3E" w:tentative="1">
      <w:start w:val="1"/>
      <w:numFmt w:val="bullet"/>
      <w:lvlText w:val=""/>
      <w:lvlJc w:val="left"/>
      <w:pPr>
        <w:ind w:left="5040" w:hanging="360"/>
      </w:pPr>
      <w:rPr>
        <w:rFonts w:ascii="Symbol" w:hAnsi="Symbol" w:hint="default"/>
      </w:rPr>
    </w:lvl>
    <w:lvl w:ilvl="7" w:tplc="B61A9300" w:tentative="1">
      <w:start w:val="1"/>
      <w:numFmt w:val="bullet"/>
      <w:lvlText w:val="o"/>
      <w:lvlJc w:val="left"/>
      <w:pPr>
        <w:ind w:left="5760" w:hanging="360"/>
      </w:pPr>
      <w:rPr>
        <w:rFonts w:ascii="Courier New" w:hAnsi="Courier New" w:cs="Courier New" w:hint="default"/>
      </w:rPr>
    </w:lvl>
    <w:lvl w:ilvl="8" w:tplc="1138CF72" w:tentative="1">
      <w:start w:val="1"/>
      <w:numFmt w:val="bullet"/>
      <w:lvlText w:val=""/>
      <w:lvlJc w:val="left"/>
      <w:pPr>
        <w:ind w:left="6480" w:hanging="360"/>
      </w:pPr>
      <w:rPr>
        <w:rFonts w:ascii="Wingdings" w:hAnsi="Wingdings" w:hint="default"/>
      </w:rPr>
    </w:lvl>
  </w:abstractNum>
  <w:num w:numId="1" w16cid:durableId="2066298067">
    <w:abstractNumId w:val="1"/>
  </w:num>
  <w:num w:numId="2" w16cid:durableId="1100612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63"/>
    <w:rsid w:val="009509B3"/>
    <w:rsid w:val="00B32975"/>
    <w:rsid w:val="00D71A63"/>
    <w:rsid w:val="00F349B4"/>
    <w:rsid w:val="00FB76A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79FA1"/>
  <w15:docId w15:val="{4B8A63E6-C7A9-4269-947E-A7B491C1C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6579</Words>
  <Characters>37501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2026-01-22T22:08:00Z</dcterms:created>
  <dcterms:modified xsi:type="dcterms:W3CDTF">2026-01-22T22:08:00Z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