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56C6" w14:textId="77777777" w:rsidR="00000000" w:rsidRDefault="00000000">
      <w:pPr>
        <w:pStyle w:val="Heading1"/>
        <w:rPr>
          <w:rFonts w:cs="Arial"/>
        </w:rPr>
      </w:pPr>
      <w:bookmarkStart w:id="0" w:name="PRMS_RIName"/>
      <w:r>
        <w:rPr>
          <w:rFonts w:cs="Arial"/>
        </w:rPr>
        <w:t>Bupa Care Services NZ Limited - Ashford Care Home</w:t>
      </w:r>
      <w:bookmarkEnd w:id="0"/>
    </w:p>
    <w:p w14:paraId="2443E424" w14:textId="77777777" w:rsidR="00000000" w:rsidRDefault="00000000">
      <w:pPr>
        <w:pStyle w:val="Heading2"/>
        <w:spacing w:after="0"/>
        <w:rPr>
          <w:rFonts w:cs="Arial"/>
        </w:rPr>
      </w:pPr>
      <w:r>
        <w:rPr>
          <w:rFonts w:cs="Arial"/>
        </w:rPr>
        <w:t>Introduction</w:t>
      </w:r>
    </w:p>
    <w:p w14:paraId="5B93F67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662443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2DEB7F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543252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BF49D55" w14:textId="77777777" w:rsidR="00000000" w:rsidRDefault="00000000">
      <w:pPr>
        <w:spacing w:before="240" w:after="240"/>
        <w:rPr>
          <w:rFonts w:cs="Arial"/>
          <w:lang w:eastAsia="en-NZ"/>
        </w:rPr>
      </w:pPr>
      <w:r>
        <w:rPr>
          <w:rFonts w:cs="Arial"/>
          <w:lang w:eastAsia="en-NZ"/>
        </w:rPr>
        <w:t>The specifics of this audit included:</w:t>
      </w:r>
    </w:p>
    <w:p w14:paraId="7244BC1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1F196A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C2D50B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Ashford Care Home</w:t>
      </w:r>
      <w:bookmarkEnd w:id="5"/>
    </w:p>
    <w:p w14:paraId="317E8A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E9B9F1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November 2025</w:t>
      </w:r>
      <w:bookmarkEnd w:id="7"/>
      <w:r w:rsidRPr="009418D4">
        <w:rPr>
          <w:rFonts w:cs="Arial"/>
        </w:rPr>
        <w:tab/>
        <w:t xml:space="preserve">End date: </w:t>
      </w:r>
      <w:bookmarkStart w:id="8" w:name="AuditEndDate"/>
      <w:r>
        <w:rPr>
          <w:rFonts w:cs="Arial"/>
        </w:rPr>
        <w:t>11 November 2025</w:t>
      </w:r>
      <w:bookmarkEnd w:id="8"/>
    </w:p>
    <w:p w14:paraId="1331FED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009F8F1" w14:textId="77777777" w:rsidR="003944E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199FD49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3AAC686" w14:textId="77777777" w:rsidR="00000000" w:rsidRDefault="00000000">
      <w:pPr>
        <w:pStyle w:val="Heading1"/>
        <w:rPr>
          <w:rFonts w:cs="Arial"/>
        </w:rPr>
      </w:pPr>
      <w:r>
        <w:rPr>
          <w:rFonts w:cs="Arial"/>
        </w:rPr>
        <w:lastRenderedPageBreak/>
        <w:t>Executive summary of the audit</w:t>
      </w:r>
    </w:p>
    <w:p w14:paraId="698ECFDF" w14:textId="77777777" w:rsidR="00000000" w:rsidRDefault="00000000">
      <w:pPr>
        <w:pStyle w:val="Heading2"/>
        <w:rPr>
          <w:rFonts w:cs="Arial"/>
        </w:rPr>
      </w:pPr>
      <w:r>
        <w:rPr>
          <w:rFonts w:cs="Arial"/>
        </w:rPr>
        <w:t>Introduction</w:t>
      </w:r>
    </w:p>
    <w:p w14:paraId="26C999C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F1DDD4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BEF98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76CEB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E4F7D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704667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EDAE29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33265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B5220F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944E0" w14:paraId="0CB2DF21" w14:textId="77777777">
        <w:trPr>
          <w:cantSplit/>
          <w:tblHeader/>
        </w:trPr>
        <w:tc>
          <w:tcPr>
            <w:tcW w:w="1260" w:type="dxa"/>
            <w:tcBorders>
              <w:bottom w:val="single" w:sz="4" w:space="0" w:color="000000"/>
            </w:tcBorders>
            <w:vAlign w:val="center"/>
          </w:tcPr>
          <w:p w14:paraId="48C82D6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2838C5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BAB7BA2" w14:textId="77777777" w:rsidR="00000000" w:rsidRDefault="00000000">
            <w:pPr>
              <w:spacing w:before="60" w:after="60"/>
              <w:rPr>
                <w:rFonts w:eastAsia="Calibri"/>
                <w:b/>
                <w:szCs w:val="24"/>
              </w:rPr>
            </w:pPr>
            <w:r>
              <w:rPr>
                <w:rFonts w:eastAsia="Calibri"/>
                <w:b/>
                <w:szCs w:val="24"/>
              </w:rPr>
              <w:t>Definition</w:t>
            </w:r>
          </w:p>
        </w:tc>
      </w:tr>
      <w:tr w:rsidR="003944E0" w14:paraId="2BED635E" w14:textId="77777777">
        <w:trPr>
          <w:cantSplit/>
          <w:trHeight w:val="964"/>
        </w:trPr>
        <w:tc>
          <w:tcPr>
            <w:tcW w:w="1260" w:type="dxa"/>
            <w:tcBorders>
              <w:bottom w:val="single" w:sz="4" w:space="0" w:color="000000"/>
            </w:tcBorders>
            <w:shd w:val="clear" w:color="0066FF" w:fill="0000FF"/>
            <w:vAlign w:val="center"/>
          </w:tcPr>
          <w:p w14:paraId="4526B055"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7847815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A391BD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944E0" w14:paraId="154853D6" w14:textId="77777777">
        <w:trPr>
          <w:cantSplit/>
          <w:trHeight w:val="964"/>
        </w:trPr>
        <w:tc>
          <w:tcPr>
            <w:tcW w:w="1260" w:type="dxa"/>
            <w:shd w:val="clear" w:color="33CC33" w:fill="00FF00"/>
            <w:vAlign w:val="center"/>
          </w:tcPr>
          <w:p w14:paraId="4D09CE56" w14:textId="77777777" w:rsidR="00000000" w:rsidRDefault="00000000">
            <w:pPr>
              <w:spacing w:before="60" w:after="60"/>
              <w:rPr>
                <w:rFonts w:eastAsia="Calibri"/>
                <w:szCs w:val="24"/>
              </w:rPr>
            </w:pPr>
          </w:p>
        </w:tc>
        <w:tc>
          <w:tcPr>
            <w:tcW w:w="7095" w:type="dxa"/>
            <w:vAlign w:val="center"/>
          </w:tcPr>
          <w:p w14:paraId="0C3D9422"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31689C7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944E0" w14:paraId="4662F775" w14:textId="77777777">
        <w:trPr>
          <w:cantSplit/>
          <w:trHeight w:val="964"/>
        </w:trPr>
        <w:tc>
          <w:tcPr>
            <w:tcW w:w="1260" w:type="dxa"/>
            <w:tcBorders>
              <w:bottom w:val="single" w:sz="4" w:space="0" w:color="000000"/>
            </w:tcBorders>
            <w:shd w:val="clear" w:color="auto" w:fill="FFFF00"/>
            <w:vAlign w:val="center"/>
          </w:tcPr>
          <w:p w14:paraId="12C4E5DA" w14:textId="77777777" w:rsidR="00000000" w:rsidRDefault="00000000">
            <w:pPr>
              <w:spacing w:before="60" w:after="60"/>
              <w:rPr>
                <w:rFonts w:eastAsia="Calibri"/>
                <w:szCs w:val="24"/>
              </w:rPr>
            </w:pPr>
          </w:p>
        </w:tc>
        <w:tc>
          <w:tcPr>
            <w:tcW w:w="7095" w:type="dxa"/>
            <w:vAlign w:val="center"/>
          </w:tcPr>
          <w:p w14:paraId="26B29D0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D3E342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944E0" w14:paraId="50C86B89" w14:textId="77777777">
        <w:trPr>
          <w:cantSplit/>
          <w:trHeight w:val="964"/>
        </w:trPr>
        <w:tc>
          <w:tcPr>
            <w:tcW w:w="1260" w:type="dxa"/>
            <w:tcBorders>
              <w:bottom w:val="single" w:sz="4" w:space="0" w:color="000000"/>
            </w:tcBorders>
            <w:shd w:val="clear" w:color="auto" w:fill="FFC800"/>
            <w:vAlign w:val="center"/>
          </w:tcPr>
          <w:p w14:paraId="5DBC2E0D"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73F8DC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C2FCC9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944E0" w14:paraId="4160AFAE" w14:textId="77777777">
        <w:trPr>
          <w:cantSplit/>
          <w:trHeight w:val="964"/>
        </w:trPr>
        <w:tc>
          <w:tcPr>
            <w:tcW w:w="1260" w:type="dxa"/>
            <w:shd w:val="clear" w:color="auto" w:fill="FF0000"/>
            <w:vAlign w:val="center"/>
          </w:tcPr>
          <w:p w14:paraId="33D246E7" w14:textId="77777777" w:rsidR="00000000" w:rsidRDefault="00000000">
            <w:pPr>
              <w:spacing w:before="60" w:after="60"/>
              <w:rPr>
                <w:rFonts w:eastAsia="Calibri"/>
                <w:szCs w:val="24"/>
              </w:rPr>
            </w:pPr>
          </w:p>
        </w:tc>
        <w:tc>
          <w:tcPr>
            <w:tcW w:w="7095" w:type="dxa"/>
            <w:vAlign w:val="center"/>
          </w:tcPr>
          <w:p w14:paraId="24F6E77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F1B322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5407D0E" w14:textId="77777777" w:rsidR="00000000" w:rsidRDefault="00000000">
      <w:pPr>
        <w:pStyle w:val="Heading2"/>
        <w:spacing w:after="0"/>
        <w:rPr>
          <w:rFonts w:cs="Arial"/>
        </w:rPr>
      </w:pPr>
      <w:r>
        <w:rPr>
          <w:rFonts w:cs="Arial"/>
        </w:rPr>
        <w:t>General overview of the audit</w:t>
      </w:r>
    </w:p>
    <w:p w14:paraId="060A4992" w14:textId="77777777" w:rsidR="00000000" w:rsidRDefault="00000000">
      <w:pPr>
        <w:spacing w:before="240" w:line="276" w:lineRule="auto"/>
        <w:rPr>
          <w:rFonts w:eastAsia="Calibri"/>
        </w:rPr>
      </w:pPr>
      <w:bookmarkStart w:id="13" w:name="GeneralOverview"/>
      <w:r w:rsidRPr="00A4268A">
        <w:rPr>
          <w:rFonts w:eastAsia="Calibri"/>
        </w:rPr>
        <w:t xml:space="preserve">Ashford Care Home is a Bupa facility located in Christchurch that provides hospital (geriatric and medical), rest home, and dementia levels of care for up to 56 residents. There were 56 residents on the days of audit. </w:t>
      </w:r>
    </w:p>
    <w:p w14:paraId="53B52474" w14:textId="77777777" w:rsidR="003944E0"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contracts with Health New Zealand. The audit process included the review of policies and procedures; the review of resident and staff files; observations; and interviews with residents, family/whānau, management, staff, and a general practitioner.</w:t>
      </w:r>
    </w:p>
    <w:p w14:paraId="67445BBE" w14:textId="77777777" w:rsidR="003944E0" w:rsidRPr="00A4268A" w:rsidRDefault="00000000">
      <w:pPr>
        <w:spacing w:before="240" w:line="276" w:lineRule="auto"/>
        <w:rPr>
          <w:rFonts w:eastAsia="Calibri"/>
        </w:rPr>
      </w:pPr>
      <w:r w:rsidRPr="00A4268A">
        <w:rPr>
          <w:rFonts w:eastAsia="Calibri"/>
        </w:rPr>
        <w:t xml:space="preserve">The general manager is supported by a clinical manager, and a team of experienced staff. </w:t>
      </w:r>
    </w:p>
    <w:p w14:paraId="44806D8D" w14:textId="77777777" w:rsidR="003944E0" w:rsidRPr="00A4268A" w:rsidRDefault="00000000">
      <w:pPr>
        <w:spacing w:before="240" w:line="276" w:lineRule="auto"/>
        <w:rPr>
          <w:rFonts w:eastAsia="Calibri"/>
        </w:rPr>
      </w:pPr>
      <w:r w:rsidRPr="00A4268A">
        <w:rPr>
          <w:rFonts w:eastAsia="Calibri"/>
        </w:rPr>
        <w:t>There are documented quality systems and processes for the care home. Feedback from residents and family/whānau was positive about the care and the services provided. An induction and an in-service training programme is in place to provide staff with appropriate knowledge and skills to deliver care.</w:t>
      </w:r>
    </w:p>
    <w:p w14:paraId="0DF798C9" w14:textId="77777777" w:rsidR="003944E0" w:rsidRPr="00A4268A" w:rsidRDefault="00000000">
      <w:pPr>
        <w:spacing w:before="240" w:line="276" w:lineRule="auto"/>
        <w:rPr>
          <w:rFonts w:eastAsia="Calibri"/>
        </w:rPr>
      </w:pPr>
      <w:r w:rsidRPr="00A4268A">
        <w:rPr>
          <w:rFonts w:eastAsia="Calibri"/>
        </w:rPr>
        <w:t xml:space="preserve">The previous shortfall identified at the certification audit related to neurological observations has been addressed; however, further improvement related to monitoring of care specific to progress notes is required. The shortfall therefore remains. </w:t>
      </w:r>
    </w:p>
    <w:bookmarkEnd w:id="13"/>
    <w:p w14:paraId="6EAD1356" w14:textId="77777777" w:rsidR="003944E0" w:rsidRPr="00A4268A" w:rsidRDefault="003944E0">
      <w:pPr>
        <w:spacing w:before="240" w:line="276" w:lineRule="auto"/>
        <w:rPr>
          <w:rFonts w:eastAsia="Calibri"/>
        </w:rPr>
      </w:pPr>
    </w:p>
    <w:p w14:paraId="00CBAC8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44E0" w14:paraId="1605BF07" w14:textId="77777777" w:rsidTr="00A4268A">
        <w:trPr>
          <w:cantSplit/>
        </w:trPr>
        <w:tc>
          <w:tcPr>
            <w:tcW w:w="10206" w:type="dxa"/>
            <w:vAlign w:val="center"/>
          </w:tcPr>
          <w:p w14:paraId="20A75CB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F9BA00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564A6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97203B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57E3BD1"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06C9BDAF" w14:textId="77777777" w:rsidR="003944E0" w:rsidRPr="00A4268A" w:rsidRDefault="00000000">
      <w:pPr>
        <w:spacing w:before="240" w:line="276" w:lineRule="auto"/>
        <w:rPr>
          <w:rFonts w:eastAsia="Calibri"/>
        </w:rPr>
      </w:pPr>
      <w:r w:rsidRPr="00A4268A">
        <w:rPr>
          <w:rFonts w:eastAsia="Calibri"/>
        </w:rPr>
        <w:t>Managers and staff at Ashford Care Home demonstrated their knowledge and understanding of resident’s rights and they ensure that residents are well informed in respect to these. Residents are kept safe from abuse, and staff are aware of professional boundaries. There are established systems to facilitate informed consent, and to protect resident’s property and finances. The complaints process is responsive, fair, and equitable.</w:t>
      </w:r>
    </w:p>
    <w:bookmarkEnd w:id="16"/>
    <w:p w14:paraId="047EA6B0" w14:textId="77777777" w:rsidR="003944E0" w:rsidRPr="00A4268A" w:rsidRDefault="003944E0">
      <w:pPr>
        <w:spacing w:before="240" w:line="276" w:lineRule="auto"/>
        <w:rPr>
          <w:rFonts w:eastAsia="Calibri"/>
        </w:rPr>
      </w:pPr>
    </w:p>
    <w:p w14:paraId="09CD65B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44E0" w14:paraId="0F427059" w14:textId="77777777" w:rsidTr="00A4268A">
        <w:trPr>
          <w:cantSplit/>
        </w:trPr>
        <w:tc>
          <w:tcPr>
            <w:tcW w:w="10206" w:type="dxa"/>
            <w:vAlign w:val="center"/>
          </w:tcPr>
          <w:p w14:paraId="27C2C9C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6C4DED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9A6CE3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2DCC1C1" w14:textId="77777777" w:rsidR="00000000" w:rsidRDefault="00000000">
      <w:pPr>
        <w:spacing w:before="240" w:line="276" w:lineRule="auto"/>
        <w:rPr>
          <w:rFonts w:eastAsia="Calibri"/>
        </w:rPr>
      </w:pPr>
      <w:bookmarkStart w:id="19" w:name="OrganisationalManagement"/>
      <w:r w:rsidRPr="00A4268A">
        <w:rPr>
          <w:rFonts w:eastAsia="Calibri"/>
        </w:rPr>
        <w:t xml:space="preserve">Ashford Care Home has an 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improve outcomes for Māori. </w:t>
      </w:r>
    </w:p>
    <w:p w14:paraId="6A01BE29" w14:textId="77777777" w:rsidR="003944E0" w:rsidRPr="00A4268A" w:rsidRDefault="00000000">
      <w:pPr>
        <w:spacing w:before="240" w:line="276" w:lineRule="auto"/>
        <w:rPr>
          <w:rFonts w:eastAsia="Calibri"/>
        </w:rPr>
      </w:pPr>
      <w:r w:rsidRPr="00A4268A">
        <w:rPr>
          <w:rFonts w:eastAsia="Calibri"/>
        </w:rPr>
        <w:lastRenderedPageBreak/>
        <w:t>The service has documented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An orientation programme and staff training plan are in place to support staff in delivering safe quality care.</w:t>
      </w:r>
    </w:p>
    <w:bookmarkEnd w:id="19"/>
    <w:p w14:paraId="5FE91BD0" w14:textId="77777777" w:rsidR="003944E0" w:rsidRPr="00A4268A" w:rsidRDefault="003944E0">
      <w:pPr>
        <w:spacing w:before="240" w:line="276" w:lineRule="auto"/>
        <w:rPr>
          <w:rFonts w:eastAsia="Calibri"/>
        </w:rPr>
      </w:pPr>
    </w:p>
    <w:p w14:paraId="0CDCE12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44E0" w14:paraId="49422C84" w14:textId="77777777" w:rsidTr="00A4268A">
        <w:trPr>
          <w:cantSplit/>
        </w:trPr>
        <w:tc>
          <w:tcPr>
            <w:tcW w:w="10206" w:type="dxa"/>
            <w:vAlign w:val="center"/>
          </w:tcPr>
          <w:p w14:paraId="10B5EF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EA2AE2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2001C1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AB2AA7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 and visiting allied health professionals. </w:t>
      </w:r>
    </w:p>
    <w:p w14:paraId="03421091" w14:textId="77777777" w:rsidR="003944E0" w:rsidRPr="00A4268A" w:rsidRDefault="00000000" w:rsidP="00621629">
      <w:pPr>
        <w:spacing w:before="240" w:line="276" w:lineRule="auto"/>
        <w:rPr>
          <w:rFonts w:eastAsia="Calibri"/>
        </w:rPr>
      </w:pPr>
      <w:r w:rsidRPr="00A4268A">
        <w:rPr>
          <w:rFonts w:eastAsia="Calibri"/>
        </w:rPr>
        <w:t xml:space="preserve">The electronic medicine charts viewed were reviewed at least three-monthly by the general practitioner. The kitchen staff cater to individual cultural and dietary requirements. The service has a current food control plan. </w:t>
      </w:r>
    </w:p>
    <w:p w14:paraId="188237C9" w14:textId="77777777" w:rsidR="003944E0"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56A2DAD5" w14:textId="77777777" w:rsidR="003944E0" w:rsidRPr="00A4268A" w:rsidRDefault="003944E0" w:rsidP="00621629">
      <w:pPr>
        <w:spacing w:before="240" w:line="276" w:lineRule="auto"/>
        <w:rPr>
          <w:rFonts w:eastAsia="Calibri"/>
        </w:rPr>
      </w:pPr>
    </w:p>
    <w:p w14:paraId="40B212CB"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44E0" w14:paraId="564C4335" w14:textId="77777777" w:rsidTr="00A4268A">
        <w:trPr>
          <w:cantSplit/>
        </w:trPr>
        <w:tc>
          <w:tcPr>
            <w:tcW w:w="10206" w:type="dxa"/>
            <w:vAlign w:val="center"/>
          </w:tcPr>
          <w:p w14:paraId="0A87C1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514379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3A61A5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6BB216B"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All medical equipment has been serviced and calibrated.</w:t>
      </w:r>
    </w:p>
    <w:bookmarkEnd w:id="25"/>
    <w:p w14:paraId="13FDE58F" w14:textId="77777777" w:rsidR="003944E0" w:rsidRPr="00A4268A" w:rsidRDefault="003944E0">
      <w:pPr>
        <w:spacing w:before="240" w:line="276" w:lineRule="auto"/>
        <w:rPr>
          <w:rFonts w:eastAsia="Calibri"/>
        </w:rPr>
      </w:pPr>
    </w:p>
    <w:p w14:paraId="0E5C50B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44E0" w14:paraId="228A1B47" w14:textId="77777777" w:rsidTr="00A4268A">
        <w:trPr>
          <w:cantSplit/>
        </w:trPr>
        <w:tc>
          <w:tcPr>
            <w:tcW w:w="10206" w:type="dxa"/>
            <w:vAlign w:val="center"/>
          </w:tcPr>
          <w:p w14:paraId="0690D43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D2B39F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E5BCB1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7452D04"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23DCAB1A" w14:textId="77777777" w:rsidR="003944E0"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four outbreaks recorded and reported on since the last audit. </w:t>
      </w:r>
    </w:p>
    <w:bookmarkEnd w:id="28"/>
    <w:p w14:paraId="639CC435" w14:textId="77777777" w:rsidR="003944E0" w:rsidRPr="00A4268A" w:rsidRDefault="003944E0">
      <w:pPr>
        <w:spacing w:before="240" w:line="276" w:lineRule="auto"/>
        <w:rPr>
          <w:rFonts w:eastAsia="Calibri"/>
        </w:rPr>
      </w:pPr>
    </w:p>
    <w:p w14:paraId="1020153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44E0" w14:paraId="7C6E6738" w14:textId="77777777" w:rsidTr="00A4268A">
        <w:trPr>
          <w:cantSplit/>
        </w:trPr>
        <w:tc>
          <w:tcPr>
            <w:tcW w:w="10206" w:type="dxa"/>
            <w:vAlign w:val="center"/>
          </w:tcPr>
          <w:p w14:paraId="39DA07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C54947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D062E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27AB77F"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is restraint free.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28DE4932" w14:textId="77777777" w:rsidR="003944E0" w:rsidRPr="00A4268A" w:rsidRDefault="003944E0">
      <w:pPr>
        <w:spacing w:before="240" w:line="276" w:lineRule="auto"/>
        <w:rPr>
          <w:rFonts w:eastAsia="Calibri"/>
        </w:rPr>
      </w:pPr>
    </w:p>
    <w:p w14:paraId="72AAD6A2" w14:textId="77777777" w:rsidR="00000000" w:rsidRDefault="00000000" w:rsidP="000E6E02">
      <w:pPr>
        <w:pStyle w:val="Heading2"/>
        <w:spacing w:before="0"/>
        <w:rPr>
          <w:rFonts w:cs="Arial"/>
        </w:rPr>
      </w:pPr>
      <w:r>
        <w:rPr>
          <w:rFonts w:cs="Arial"/>
        </w:rPr>
        <w:t>Summary of attainment</w:t>
      </w:r>
    </w:p>
    <w:p w14:paraId="1EF8EC0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944E0" w14:paraId="68730B25" w14:textId="77777777">
        <w:tc>
          <w:tcPr>
            <w:tcW w:w="1384" w:type="dxa"/>
            <w:vAlign w:val="center"/>
          </w:tcPr>
          <w:p w14:paraId="4E83A70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BAB9342" w14:textId="77777777" w:rsidR="00000000" w:rsidRDefault="00000000">
            <w:pPr>
              <w:keepNext/>
              <w:spacing w:before="60" w:after="60"/>
              <w:jc w:val="center"/>
              <w:rPr>
                <w:rFonts w:cs="Arial"/>
                <w:b/>
                <w:sz w:val="20"/>
                <w:szCs w:val="20"/>
              </w:rPr>
            </w:pPr>
            <w:r>
              <w:rPr>
                <w:rFonts w:cs="Arial"/>
                <w:b/>
                <w:sz w:val="20"/>
                <w:szCs w:val="20"/>
              </w:rPr>
              <w:t>Continuous Improvement</w:t>
            </w:r>
          </w:p>
          <w:p w14:paraId="703D0B0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DD6415" w14:textId="77777777" w:rsidR="00000000" w:rsidRDefault="00000000">
            <w:pPr>
              <w:keepNext/>
              <w:spacing w:before="60" w:after="60"/>
              <w:jc w:val="center"/>
              <w:rPr>
                <w:rFonts w:cs="Arial"/>
                <w:b/>
                <w:sz w:val="20"/>
                <w:szCs w:val="20"/>
              </w:rPr>
            </w:pPr>
            <w:r>
              <w:rPr>
                <w:rFonts w:cs="Arial"/>
                <w:b/>
                <w:sz w:val="20"/>
                <w:szCs w:val="20"/>
              </w:rPr>
              <w:t>Fully Attained</w:t>
            </w:r>
          </w:p>
          <w:p w14:paraId="785577B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1DF35C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B1DC11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F8688D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73CBB6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FEF59A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C4E5A3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4E6E87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6FD40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226B58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20E44D2" w14:textId="77777777" w:rsidR="00000000" w:rsidRDefault="00000000">
            <w:pPr>
              <w:keepNext/>
              <w:spacing w:before="60" w:after="60"/>
              <w:jc w:val="center"/>
              <w:rPr>
                <w:rFonts w:cs="Arial"/>
                <w:b/>
                <w:sz w:val="20"/>
                <w:szCs w:val="20"/>
              </w:rPr>
            </w:pPr>
            <w:r>
              <w:rPr>
                <w:rFonts w:cs="Arial"/>
                <w:b/>
                <w:sz w:val="20"/>
                <w:szCs w:val="20"/>
              </w:rPr>
              <w:t>(PA Critical)</w:t>
            </w:r>
          </w:p>
        </w:tc>
      </w:tr>
      <w:tr w:rsidR="003944E0" w14:paraId="119D6EA5" w14:textId="77777777">
        <w:tc>
          <w:tcPr>
            <w:tcW w:w="1384" w:type="dxa"/>
            <w:vAlign w:val="center"/>
          </w:tcPr>
          <w:p w14:paraId="207F88F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7B7707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3621FD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566BF45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68A604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59CBBD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8DE1EF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C569BA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944E0" w14:paraId="46A4C785" w14:textId="77777777">
        <w:tc>
          <w:tcPr>
            <w:tcW w:w="1384" w:type="dxa"/>
            <w:vAlign w:val="center"/>
          </w:tcPr>
          <w:p w14:paraId="5FAA6CC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81C216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A394F3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63A0EE0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FD8AF2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6C53E5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7F6810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6BFC99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A871F3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944E0" w14:paraId="43259FF8" w14:textId="77777777">
        <w:tc>
          <w:tcPr>
            <w:tcW w:w="1384" w:type="dxa"/>
            <w:vAlign w:val="center"/>
          </w:tcPr>
          <w:p w14:paraId="6CC5826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27B7A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EBE4C2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57D3C95" w14:textId="77777777" w:rsidR="00000000" w:rsidRDefault="00000000">
            <w:pPr>
              <w:keepNext/>
              <w:spacing w:before="60" w:after="60"/>
              <w:jc w:val="center"/>
              <w:rPr>
                <w:rFonts w:cs="Arial"/>
                <w:b/>
                <w:sz w:val="20"/>
                <w:szCs w:val="20"/>
              </w:rPr>
            </w:pPr>
            <w:r>
              <w:rPr>
                <w:rFonts w:cs="Arial"/>
                <w:b/>
                <w:sz w:val="20"/>
                <w:szCs w:val="20"/>
              </w:rPr>
              <w:t>Unattained Low Risk</w:t>
            </w:r>
          </w:p>
          <w:p w14:paraId="5089D8A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3484A51" w14:textId="77777777" w:rsidR="00000000" w:rsidRDefault="00000000">
            <w:pPr>
              <w:keepNext/>
              <w:spacing w:before="60" w:after="60"/>
              <w:jc w:val="center"/>
              <w:rPr>
                <w:rFonts w:cs="Arial"/>
                <w:b/>
                <w:sz w:val="20"/>
                <w:szCs w:val="20"/>
              </w:rPr>
            </w:pPr>
            <w:r>
              <w:rPr>
                <w:rFonts w:cs="Arial"/>
                <w:b/>
                <w:sz w:val="20"/>
                <w:szCs w:val="20"/>
              </w:rPr>
              <w:t>Unattained Moderate Risk</w:t>
            </w:r>
          </w:p>
          <w:p w14:paraId="1757D74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FE97337" w14:textId="77777777" w:rsidR="00000000" w:rsidRDefault="00000000">
            <w:pPr>
              <w:keepNext/>
              <w:spacing w:before="60" w:after="60"/>
              <w:jc w:val="center"/>
              <w:rPr>
                <w:rFonts w:cs="Arial"/>
                <w:b/>
                <w:sz w:val="20"/>
                <w:szCs w:val="20"/>
              </w:rPr>
            </w:pPr>
            <w:r>
              <w:rPr>
                <w:rFonts w:cs="Arial"/>
                <w:b/>
                <w:sz w:val="20"/>
                <w:szCs w:val="20"/>
              </w:rPr>
              <w:t>Unattained High Risk</w:t>
            </w:r>
          </w:p>
          <w:p w14:paraId="59F5CAF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578323B" w14:textId="77777777" w:rsidR="00000000" w:rsidRDefault="00000000">
            <w:pPr>
              <w:keepNext/>
              <w:spacing w:before="60" w:after="60"/>
              <w:jc w:val="center"/>
              <w:rPr>
                <w:rFonts w:cs="Arial"/>
                <w:b/>
                <w:sz w:val="20"/>
                <w:szCs w:val="20"/>
              </w:rPr>
            </w:pPr>
            <w:r>
              <w:rPr>
                <w:rFonts w:cs="Arial"/>
                <w:b/>
                <w:sz w:val="20"/>
                <w:szCs w:val="20"/>
              </w:rPr>
              <w:t>Unattained Critical Risk</w:t>
            </w:r>
          </w:p>
          <w:p w14:paraId="2F2BECBB" w14:textId="77777777" w:rsidR="00000000" w:rsidRDefault="00000000">
            <w:pPr>
              <w:keepNext/>
              <w:spacing w:before="60" w:after="60"/>
              <w:jc w:val="center"/>
              <w:rPr>
                <w:rFonts w:cs="Arial"/>
                <w:b/>
                <w:sz w:val="20"/>
                <w:szCs w:val="20"/>
              </w:rPr>
            </w:pPr>
            <w:r>
              <w:rPr>
                <w:rFonts w:cs="Arial"/>
                <w:b/>
                <w:sz w:val="20"/>
                <w:szCs w:val="20"/>
              </w:rPr>
              <w:t>(UA Critical)</w:t>
            </w:r>
          </w:p>
        </w:tc>
      </w:tr>
      <w:tr w:rsidR="003944E0" w14:paraId="69CF2C1A" w14:textId="77777777">
        <w:tc>
          <w:tcPr>
            <w:tcW w:w="1384" w:type="dxa"/>
            <w:vAlign w:val="center"/>
          </w:tcPr>
          <w:p w14:paraId="1576C55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87E333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7F81D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2A4420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285362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B7B072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944E0" w14:paraId="163FA260" w14:textId="77777777">
        <w:tc>
          <w:tcPr>
            <w:tcW w:w="1384" w:type="dxa"/>
            <w:vAlign w:val="center"/>
          </w:tcPr>
          <w:p w14:paraId="4BDBCAD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A02964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4C877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2F5163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F61910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D06503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244FB4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692B7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CB6199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0FFFAF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3944E0" w14:paraId="55B44990" w14:textId="77777777">
        <w:tc>
          <w:tcPr>
            <w:tcW w:w="0" w:type="auto"/>
          </w:tcPr>
          <w:p w14:paraId="474B920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92EB8A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6F37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944E0" w14:paraId="393376BB" w14:textId="77777777">
        <w:tc>
          <w:tcPr>
            <w:tcW w:w="0" w:type="auto"/>
          </w:tcPr>
          <w:p w14:paraId="0076EB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D35BE0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1C810A6" w14:textId="77777777" w:rsidR="00000000" w:rsidRPr="00BE00C7" w:rsidRDefault="00000000" w:rsidP="00BE00C7">
            <w:pPr>
              <w:pStyle w:val="OutcomeDescription"/>
              <w:spacing w:before="120" w:after="120"/>
              <w:rPr>
                <w:rFonts w:cs="Arial"/>
                <w:lang w:eastAsia="en-NZ"/>
              </w:rPr>
            </w:pPr>
          </w:p>
        </w:tc>
        <w:tc>
          <w:tcPr>
            <w:tcW w:w="0" w:type="auto"/>
          </w:tcPr>
          <w:p w14:paraId="33338A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4D3EDA"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Ashford Care Home utilise as part of their strategy to embed and enact Te Tiriti o Waitangi in all aspects of service delivery. The service currently has residents but no staff who identify as Māori. The service recognises Māori mana motuhake, and this is reflected in the Māori health plan.</w:t>
            </w:r>
          </w:p>
          <w:p w14:paraId="3D7128B5" w14:textId="77777777" w:rsidR="00000000" w:rsidRPr="00BE00C7" w:rsidRDefault="00000000" w:rsidP="00BE00C7">
            <w:pPr>
              <w:pStyle w:val="OutcomeDescription"/>
              <w:spacing w:before="120" w:after="120"/>
              <w:rPr>
                <w:rFonts w:cs="Arial"/>
                <w:lang w:eastAsia="en-NZ"/>
              </w:rPr>
            </w:pPr>
          </w:p>
        </w:tc>
      </w:tr>
      <w:tr w:rsidR="003944E0" w14:paraId="1393153B" w14:textId="77777777">
        <w:tc>
          <w:tcPr>
            <w:tcW w:w="0" w:type="auto"/>
          </w:tcPr>
          <w:p w14:paraId="065EA8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8788B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37C162B" w14:textId="77777777" w:rsidR="00000000" w:rsidRPr="00BE00C7" w:rsidRDefault="00000000" w:rsidP="00BE00C7">
            <w:pPr>
              <w:pStyle w:val="OutcomeDescription"/>
              <w:spacing w:before="120" w:after="120"/>
              <w:rPr>
                <w:rFonts w:cs="Arial"/>
                <w:lang w:eastAsia="en-NZ"/>
              </w:rPr>
            </w:pPr>
          </w:p>
        </w:tc>
        <w:tc>
          <w:tcPr>
            <w:tcW w:w="0" w:type="auto"/>
          </w:tcPr>
          <w:p w14:paraId="0A6B47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9D89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Wellbeing Action Plan 2020–2025 and Te Mana Ola are the chosen models for the Pacific health plan. At the time of the audit there were no staff or residents identified as Pasifika; however, staff interviewed could confirm that cultural safety for Pacific peoples, their worldviews, cultural, and spiritual beliefs are embraced at Ashford Care Home. </w:t>
            </w:r>
          </w:p>
          <w:p w14:paraId="46A3C395" w14:textId="77777777" w:rsidR="00000000" w:rsidRPr="00BE00C7" w:rsidRDefault="00000000" w:rsidP="00BE00C7">
            <w:pPr>
              <w:pStyle w:val="OutcomeDescription"/>
              <w:spacing w:before="120" w:after="120"/>
              <w:rPr>
                <w:rFonts w:cs="Arial"/>
                <w:lang w:eastAsia="en-NZ"/>
              </w:rPr>
            </w:pPr>
          </w:p>
        </w:tc>
      </w:tr>
      <w:tr w:rsidR="003944E0" w14:paraId="27D1B211" w14:textId="77777777">
        <w:tc>
          <w:tcPr>
            <w:tcW w:w="0" w:type="auto"/>
          </w:tcPr>
          <w:p w14:paraId="0CA233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5A64D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8061072" w14:textId="77777777" w:rsidR="00000000" w:rsidRPr="00BE00C7" w:rsidRDefault="00000000" w:rsidP="00BE00C7">
            <w:pPr>
              <w:pStyle w:val="OutcomeDescription"/>
              <w:spacing w:before="120" w:after="120"/>
              <w:rPr>
                <w:rFonts w:cs="Arial"/>
                <w:lang w:eastAsia="en-NZ"/>
              </w:rPr>
            </w:pPr>
          </w:p>
        </w:tc>
        <w:tc>
          <w:tcPr>
            <w:tcW w:w="0" w:type="auto"/>
          </w:tcPr>
          <w:p w14:paraId="3BB1B4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5C65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general manager demonstrated how it is also provided in welcome packs in the language most appropriate for the resident, to ensure they are fully informed of their rights. Interviews with six family/whānau (four dementia level and two hospital level), and three residents (one hospital level, and two rest home level) confirmed they are informed of their rights and their choices are respected.</w:t>
            </w:r>
          </w:p>
          <w:p w14:paraId="12A6E5FC" w14:textId="77777777" w:rsidR="00000000" w:rsidRPr="00BE00C7" w:rsidRDefault="00000000" w:rsidP="00BE00C7">
            <w:pPr>
              <w:pStyle w:val="OutcomeDescription"/>
              <w:spacing w:before="120" w:after="120"/>
              <w:rPr>
                <w:rFonts w:cs="Arial"/>
                <w:lang w:eastAsia="en-NZ"/>
              </w:rPr>
            </w:pPr>
          </w:p>
        </w:tc>
      </w:tr>
      <w:tr w:rsidR="003944E0" w14:paraId="730FF74F" w14:textId="77777777">
        <w:tc>
          <w:tcPr>
            <w:tcW w:w="0" w:type="auto"/>
          </w:tcPr>
          <w:p w14:paraId="32A8EE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5D354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76E2EE3" w14:textId="77777777" w:rsidR="00000000" w:rsidRPr="00BE00C7" w:rsidRDefault="00000000" w:rsidP="00BE00C7">
            <w:pPr>
              <w:pStyle w:val="OutcomeDescription"/>
              <w:spacing w:before="120" w:after="120"/>
              <w:rPr>
                <w:rFonts w:cs="Arial"/>
                <w:lang w:eastAsia="en-NZ"/>
              </w:rPr>
            </w:pPr>
          </w:p>
        </w:tc>
        <w:tc>
          <w:tcPr>
            <w:tcW w:w="0" w:type="auto"/>
          </w:tcPr>
          <w:p w14:paraId="0909A1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73F0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organisational policies prevent any form of institutional racism, discrimination, coercion, harassment, abuse or neglect, or any other exploitation. There was no evidence of any exploitation, including abuse or neglect in incident or accident forms reviewed. Staff, residents and family/whānau stated that there was no evidence of any exploitation of abuse. </w:t>
            </w:r>
          </w:p>
          <w:p w14:paraId="67CBE5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established policies, and protocols to respect resident’s property, including an established process to manage and protect resident finances. All staff at Ashford Care Home are trained in and aware of professional boundaries, as evidenced in orientation documents and ongoing education records. </w:t>
            </w:r>
          </w:p>
          <w:p w14:paraId="143153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staff (five caregivers, three registered nurses (RNs), one maintenance officer, a business coordinator, and one kitchen manager), and two managers (the general manager and clinical manager) demonstrated an understanding of professional boundaries when interviewed. </w:t>
            </w:r>
          </w:p>
          <w:p w14:paraId="4360C91B" w14:textId="77777777" w:rsidR="00000000" w:rsidRPr="00BE00C7" w:rsidRDefault="00000000" w:rsidP="00BE00C7">
            <w:pPr>
              <w:pStyle w:val="OutcomeDescription"/>
              <w:spacing w:before="120" w:after="120"/>
              <w:rPr>
                <w:rFonts w:cs="Arial"/>
                <w:lang w:eastAsia="en-NZ"/>
              </w:rPr>
            </w:pPr>
          </w:p>
        </w:tc>
      </w:tr>
      <w:tr w:rsidR="003944E0" w14:paraId="726711EE" w14:textId="77777777">
        <w:tc>
          <w:tcPr>
            <w:tcW w:w="0" w:type="auto"/>
          </w:tcPr>
          <w:p w14:paraId="468F7E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9E63E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10452FB" w14:textId="77777777" w:rsidR="00000000" w:rsidRPr="00BE00C7" w:rsidRDefault="00000000" w:rsidP="00BE00C7">
            <w:pPr>
              <w:pStyle w:val="OutcomeDescription"/>
              <w:spacing w:before="120" w:after="120"/>
              <w:rPr>
                <w:rFonts w:cs="Arial"/>
                <w:lang w:eastAsia="en-NZ"/>
              </w:rPr>
            </w:pPr>
          </w:p>
        </w:tc>
        <w:tc>
          <w:tcPr>
            <w:tcW w:w="0" w:type="auto"/>
          </w:tcPr>
          <w:p w14:paraId="7DF041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0C94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 or the activated enduring power of attorney (EPOA), where </w:t>
            </w:r>
            <w:r w:rsidRPr="00BE00C7">
              <w:rPr>
                <w:rFonts w:cs="Arial"/>
                <w:lang w:eastAsia="en-NZ"/>
              </w:rPr>
              <w:lastRenderedPageBreak/>
              <w:t>this has been activated. All documentation regarding EPOA and activation is on file, as evidenced in the residents’ records reviewed in the dementia unit.</w:t>
            </w:r>
          </w:p>
          <w:p w14:paraId="4E9983EE" w14:textId="77777777" w:rsidR="00000000" w:rsidRPr="00BE00C7" w:rsidRDefault="00000000" w:rsidP="00BE00C7">
            <w:pPr>
              <w:pStyle w:val="OutcomeDescription"/>
              <w:spacing w:before="120" w:after="120"/>
              <w:rPr>
                <w:rFonts w:cs="Arial"/>
                <w:lang w:eastAsia="en-NZ"/>
              </w:rPr>
            </w:pPr>
          </w:p>
        </w:tc>
      </w:tr>
      <w:tr w:rsidR="003944E0" w14:paraId="7D162012" w14:textId="77777777">
        <w:tc>
          <w:tcPr>
            <w:tcW w:w="0" w:type="auto"/>
          </w:tcPr>
          <w:p w14:paraId="7727DA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F0221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FBBA2B5" w14:textId="77777777" w:rsidR="00000000" w:rsidRPr="00BE00C7" w:rsidRDefault="00000000" w:rsidP="00BE00C7">
            <w:pPr>
              <w:pStyle w:val="OutcomeDescription"/>
              <w:spacing w:before="120" w:after="120"/>
              <w:rPr>
                <w:rFonts w:cs="Arial"/>
                <w:lang w:eastAsia="en-NZ"/>
              </w:rPr>
            </w:pPr>
          </w:p>
        </w:tc>
        <w:tc>
          <w:tcPr>
            <w:tcW w:w="0" w:type="auto"/>
          </w:tcPr>
          <w:p w14:paraId="7C5DB4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D6D6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An electronic complaints register is being maintained, which includes all complaints, dates and actions taken. There have been four complaints made since the last audit. Documentation including follow-up letters and resolution of any issues raised demonstrates that complaints are being managed in accordance with guidelines set by the HDC. There were no trends in themes identified. There were no complaints received from external agencies.</w:t>
            </w:r>
          </w:p>
          <w:p w14:paraId="19DF971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for Māori is available to staff to assist Māori in the complaints process. Interpreters contact details are available. The general manager acknowledged their understanding that for Māori, there is a preference for face-to-face communication and to include whānau participation.</w:t>
            </w:r>
          </w:p>
          <w:p w14:paraId="31B4B87B" w14:textId="77777777" w:rsidR="00000000" w:rsidRPr="00BE00C7" w:rsidRDefault="00000000" w:rsidP="00BE00C7">
            <w:pPr>
              <w:pStyle w:val="OutcomeDescription"/>
              <w:spacing w:before="120" w:after="120"/>
              <w:rPr>
                <w:rFonts w:cs="Arial"/>
                <w:lang w:eastAsia="en-NZ"/>
              </w:rPr>
            </w:pPr>
          </w:p>
        </w:tc>
      </w:tr>
      <w:tr w:rsidR="003944E0" w14:paraId="50D106A2" w14:textId="77777777">
        <w:tc>
          <w:tcPr>
            <w:tcW w:w="0" w:type="auto"/>
          </w:tcPr>
          <w:p w14:paraId="54D947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E8A88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lastRenderedPageBreak/>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3ACAD01" w14:textId="77777777" w:rsidR="00000000" w:rsidRPr="00BE00C7" w:rsidRDefault="00000000" w:rsidP="00BE00C7">
            <w:pPr>
              <w:pStyle w:val="OutcomeDescription"/>
              <w:spacing w:before="120" w:after="120"/>
              <w:rPr>
                <w:rFonts w:cs="Arial"/>
                <w:lang w:eastAsia="en-NZ"/>
              </w:rPr>
            </w:pPr>
          </w:p>
        </w:tc>
        <w:tc>
          <w:tcPr>
            <w:tcW w:w="0" w:type="auto"/>
          </w:tcPr>
          <w:p w14:paraId="6275B9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68E7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Ashford Care Home is part of the Bupa group of facilities. The service is certified to provide care for up to a total of 56 residents at hospital, rest home, and dementia level care. This includes 36 dual-purpose beds and 20 dementia beds. At the time of the audit there were 56 residents in total: eight </w:t>
            </w:r>
            <w:r w:rsidRPr="00BE00C7">
              <w:rPr>
                <w:rFonts w:cs="Arial"/>
                <w:lang w:eastAsia="en-NZ"/>
              </w:rPr>
              <w:lastRenderedPageBreak/>
              <w:t xml:space="preserve">rest home residents; 28 hospital residents, including one resident on respite care, and one resident on an end of life (palliative care) contract; and 20 dementia level care residents. There are no double or shared rooms. All the remaining residents were under the age-related residential care contract (ARRC). </w:t>
            </w:r>
          </w:p>
          <w:p w14:paraId="288A94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There is a New Zealand based managing director that reports to a New Zealand based Board. The directors are knowledgeable around legislative and contractual requirements and are experienced in the aged care sector. Bupa has a clinical governance committee (CGC), risk and governance committee (RGC), a learning and development governance committee, and a work health safety governance committee, where analysis and reporting of relevant clinical and quality indicators are discussed for service improvement.</w:t>
            </w:r>
          </w:p>
          <w:p w14:paraId="676C24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3ACEE5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NZ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the leadership team as part of strategy and planning. A vision, mission statement and objectives are in place. Annual goals for Ashford </w:t>
            </w:r>
            <w:r w:rsidRPr="00BE00C7">
              <w:rPr>
                <w:rFonts w:cs="Arial"/>
                <w:lang w:eastAsia="en-NZ"/>
              </w:rPr>
              <w:lastRenderedPageBreak/>
              <w:t xml:space="preserve">Care Home have been determined, which link to the overarching Bupa strategic plan. Goals are regularly reviewed in quality, and staff meetings. </w:t>
            </w:r>
          </w:p>
          <w:p w14:paraId="2E56FB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general manager (non-clinical) who has been in the role for three years. The general manager is supported by an experienced clinical manager, who has been with Bupa since June 2023. The general manager and clinical manager are supported by the wider Bupa management team, which includes a regional operations manager and regional quality partner. </w:t>
            </w:r>
          </w:p>
          <w:p w14:paraId="59F1BD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have completed the required training related to managing an aged care facility.</w:t>
            </w:r>
          </w:p>
          <w:p w14:paraId="2A09B0D1" w14:textId="77777777" w:rsidR="00000000" w:rsidRPr="00BE00C7" w:rsidRDefault="00000000" w:rsidP="00BE00C7">
            <w:pPr>
              <w:pStyle w:val="OutcomeDescription"/>
              <w:spacing w:before="120" w:after="120"/>
              <w:rPr>
                <w:rFonts w:cs="Arial"/>
                <w:lang w:eastAsia="en-NZ"/>
              </w:rPr>
            </w:pPr>
          </w:p>
        </w:tc>
      </w:tr>
      <w:tr w:rsidR="003944E0" w14:paraId="120AF185" w14:textId="77777777">
        <w:tc>
          <w:tcPr>
            <w:tcW w:w="0" w:type="auto"/>
          </w:tcPr>
          <w:p w14:paraId="7DF864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2E68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86F8D53" w14:textId="77777777" w:rsidR="00000000" w:rsidRPr="00BE00C7" w:rsidRDefault="00000000" w:rsidP="00BE00C7">
            <w:pPr>
              <w:pStyle w:val="OutcomeDescription"/>
              <w:spacing w:before="120" w:after="120"/>
              <w:rPr>
                <w:rFonts w:cs="Arial"/>
                <w:lang w:eastAsia="en-NZ"/>
              </w:rPr>
            </w:pPr>
          </w:p>
        </w:tc>
        <w:tc>
          <w:tcPr>
            <w:tcW w:w="0" w:type="auto"/>
          </w:tcPr>
          <w:p w14:paraId="2A8D77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2F4F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Ashford Care Home is implementing a quality and risk management programme. The quality and risk management systems include performance monitoring through internal audits and through the collection of clinical indicator data. Regular quality meetings, staff meetings, and clinical meetings provide an avenue for discussions in relation to (but not limited to): quality data; health and safety; infection control/pandemic strategies; complaints; staffing; and education. Meetings have been completed as scheduled. Actions identified in meetings are assigned to a responsible person, with timeframes for achievement. Action plans were followed up and signed off when completed. </w:t>
            </w:r>
          </w:p>
          <w:p w14:paraId="0212A3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internal auditing schedule in place. Internal audits have been completed as scheduled. Collation of data was documented as taking place. Quality, health and safety goals, and progress towards attainment are discussed at meetings. Quality data and trends are added to meeting minutes and held in folders in the staffroom. Corrective actions are discussed at meetings. Benchmarking occurs on a national level against other Bupa facilities. </w:t>
            </w:r>
          </w:p>
          <w:p w14:paraId="20054B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 satisfaction surveys have been completed. The most recent March 2025 resident and family/whānau satisfaction surveys have been collated and analysed at head office and indicate a positive net promoter score. Action plans related to activities which scored lower than expected were documented. Results have been communicated to residents and family/whānau and displayed on the noticeboard. </w:t>
            </w:r>
          </w:p>
          <w:p w14:paraId="062FBA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health and safety system is in place. Hazard identification forms are completed electronically, and an up-to-date hazard and risk register was reviewed (sighted). Staff are kept informed on health and safety issues in handovers, meetings and via toolbox talks. Electronic entries are completed for each incident/accident, and immediate action is documented with any follow-up action(s) required, evidenced in the accident/incident records reviewed. Incident and accident data is collated monthly and analysed. The electronic system generates a report that goes to each operational team/governance team and generates alerts depending on the risk level. Results are discussed in the quality and general staff meetings and at handover. Each event involving a resident reflected a clinical assessment and a timely follow up by a registered nurse.</w:t>
            </w:r>
          </w:p>
          <w:p w14:paraId="7016DC7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There have been Section 31 notifications and notifications to the Health Quality and Safety Commission since last audit. There have been outbreaks documented since the previous audit, with relevant external organisations appropriately notified.</w:t>
            </w:r>
          </w:p>
          <w:p w14:paraId="3814D3B7" w14:textId="77777777" w:rsidR="00000000" w:rsidRPr="00BE00C7" w:rsidRDefault="00000000" w:rsidP="00BE00C7">
            <w:pPr>
              <w:pStyle w:val="OutcomeDescription"/>
              <w:spacing w:before="120" w:after="120"/>
              <w:rPr>
                <w:rFonts w:cs="Arial"/>
                <w:lang w:eastAsia="en-NZ"/>
              </w:rPr>
            </w:pPr>
          </w:p>
        </w:tc>
      </w:tr>
      <w:tr w:rsidR="003944E0" w14:paraId="75670C06" w14:textId="77777777">
        <w:tc>
          <w:tcPr>
            <w:tcW w:w="0" w:type="auto"/>
          </w:tcPr>
          <w:p w14:paraId="48E02D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3396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513798E" w14:textId="77777777" w:rsidR="00000000" w:rsidRPr="00BE00C7" w:rsidRDefault="00000000" w:rsidP="00BE00C7">
            <w:pPr>
              <w:pStyle w:val="OutcomeDescription"/>
              <w:spacing w:before="120" w:after="120"/>
              <w:rPr>
                <w:rFonts w:cs="Arial"/>
                <w:lang w:eastAsia="en-NZ"/>
              </w:rPr>
            </w:pPr>
          </w:p>
        </w:tc>
        <w:tc>
          <w:tcPr>
            <w:tcW w:w="0" w:type="auto"/>
          </w:tcPr>
          <w:p w14:paraId="372B29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DC8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delivery of care and support. Staff and residents are informed when there are changes to staffing levels, evidenced in staff interviews. Staff absences are covered by agency, as sighted on the roster and on the days of the audit. The general manager, clinical manager and business coordinator are available Monday to Friday. On call is provided on rotation with other general managers and clinical managers within the region. </w:t>
            </w:r>
          </w:p>
          <w:p w14:paraId="5FDADD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documented. This has been completed for 2024, and the 2025 schedule is being implemented. The education and training schedule lists compulsory training. The service provides study days each month and staff are rostered to attend; this ensures a very high percentage of staff who attend the compulsory training. Training has included (but not limited to) hand hygiene; abuse and neglect; chemical safety; emergency safety; manual handling; end of life choices; cultural and Māori strategy; restraint; dementia; the aging process; infection control; and falls prevention.</w:t>
            </w:r>
          </w:p>
          <w:p w14:paraId="6A7FC6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supports and encourages caregivers to obtain a New Zealand Qualification Authority (NZQA) qualification. Thirty-three caregivers are employed. The Bupa orientation programme qualifies new caregivers at a level two NZQA. Of the 33 caregivers at Ashford Care Home, 24 have achieved a level 3 NZQA qualification or higher. There are 16 caregivers who regularly rotate through the dementia unit; eight have completed the required dementia standards, and a further eight caregivers are enrolled and are in the process of completing the required standards within the expected duration required.</w:t>
            </w:r>
          </w:p>
          <w:p w14:paraId="42FB79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Caregivers who have completed NZQA level 4 training complete many of the same competencies as the registered nurses (eg, medication administration, controlled drug administration, nebuliser, blood sugar levels and insulin administration, oxygen administration, and wound management). </w:t>
            </w:r>
          </w:p>
          <w:p w14:paraId="4477A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(RN) specific competencies include syringe driver, and interRAI assessment competency. </w:t>
            </w:r>
          </w:p>
          <w:p w14:paraId="3C4EEF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nine registered nurses, including the clinical manager, and all are interRAI trained.</w:t>
            </w:r>
          </w:p>
          <w:p w14:paraId="3B52DFF8" w14:textId="77777777" w:rsidR="00000000" w:rsidRPr="00BE00C7" w:rsidRDefault="00000000" w:rsidP="00BE00C7">
            <w:pPr>
              <w:pStyle w:val="OutcomeDescription"/>
              <w:spacing w:before="120" w:after="120"/>
              <w:rPr>
                <w:rFonts w:cs="Arial"/>
                <w:lang w:eastAsia="en-NZ"/>
              </w:rPr>
            </w:pPr>
          </w:p>
        </w:tc>
      </w:tr>
      <w:tr w:rsidR="003944E0" w14:paraId="7A9D534A" w14:textId="77777777">
        <w:tc>
          <w:tcPr>
            <w:tcW w:w="0" w:type="auto"/>
          </w:tcPr>
          <w:p w14:paraId="0D4547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5DC9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9E323CC" w14:textId="77777777" w:rsidR="00000000" w:rsidRPr="00BE00C7" w:rsidRDefault="00000000" w:rsidP="00BE00C7">
            <w:pPr>
              <w:pStyle w:val="OutcomeDescription"/>
              <w:spacing w:before="120" w:after="120"/>
              <w:rPr>
                <w:rFonts w:cs="Arial"/>
                <w:lang w:eastAsia="en-NZ"/>
              </w:rPr>
            </w:pPr>
          </w:p>
        </w:tc>
        <w:tc>
          <w:tcPr>
            <w:tcW w:w="0" w:type="auto"/>
          </w:tcPr>
          <w:p w14:paraId="49E129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094A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(one clinical manager, one registered nurse and three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pharmacists, podiatrist, physiotherapist, and dietitian. </w:t>
            </w:r>
          </w:p>
          <w:p w14:paraId="25749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to </w:t>
            </w:r>
            <w:r w:rsidRPr="00BE00C7">
              <w:rPr>
                <w:rFonts w:cs="Arial"/>
                <w:lang w:eastAsia="en-NZ"/>
              </w:rPr>
              <w:lastRenderedPageBreak/>
              <w:t>Māori. Staff who have been employed for a year or more, have a current performance appraisal on file.</w:t>
            </w:r>
          </w:p>
          <w:p w14:paraId="05FDF499" w14:textId="77777777" w:rsidR="00000000" w:rsidRPr="00BE00C7" w:rsidRDefault="00000000" w:rsidP="00BE00C7">
            <w:pPr>
              <w:pStyle w:val="OutcomeDescription"/>
              <w:spacing w:before="120" w:after="120"/>
              <w:rPr>
                <w:rFonts w:cs="Arial"/>
                <w:lang w:eastAsia="en-NZ"/>
              </w:rPr>
            </w:pPr>
          </w:p>
        </w:tc>
      </w:tr>
      <w:tr w:rsidR="003944E0" w14:paraId="26D8A8AC" w14:textId="77777777">
        <w:tc>
          <w:tcPr>
            <w:tcW w:w="0" w:type="auto"/>
          </w:tcPr>
          <w:p w14:paraId="009149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0BF6F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33D36C" w14:textId="77777777" w:rsidR="00000000" w:rsidRPr="00BE00C7" w:rsidRDefault="00000000" w:rsidP="00BE00C7">
            <w:pPr>
              <w:pStyle w:val="OutcomeDescription"/>
              <w:spacing w:before="120" w:after="120"/>
              <w:rPr>
                <w:rFonts w:cs="Arial"/>
                <w:lang w:eastAsia="en-NZ"/>
              </w:rPr>
            </w:pPr>
          </w:p>
        </w:tc>
        <w:tc>
          <w:tcPr>
            <w:tcW w:w="0" w:type="auto"/>
          </w:tcPr>
          <w:p w14:paraId="7E429C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C7B5C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one rest home, three hospital level residents (including one resident on respite care and one on an end-of-life contract) and two dementia level of care. The sample was extended to include a ARRC hospital level resident. Initial assessments and care plans are developed with the residents or Enduring Power of Attorney (EPOA) consent, and have been completed within the required timeframe. </w:t>
            </w:r>
          </w:p>
          <w:p w14:paraId="0391DD6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are based on data collected during the initial nursing assessments, which include (but not limited to) those related to nutrition; pain; transfer and mobility; skin; continence; pressure injury risk; cultural; behaviour; social history; and information from pre-entry assessments completed by the Needs Assessment and Service Coordination (NASC), or other referral agencies. Registered nurses are responsible for all residents’ assessments, care planning, and evaluation of care.</w:t>
            </w:r>
          </w:p>
          <w:p w14:paraId="0DE79EEC"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interRAI assessments have been completed within three weeks of admission. Specific assessments including those related to nutrition; pain; transfer and mobility; skin; continence; pressure injury risk; and social history informed the initial care plan, and have been completed for the resident on respite care. The initial care plans are detailed and provide guidance to care staff in the delivery of care. The care focuses on managing the physical and holistic symptoms associated with the dying process for the resident on an end-of-life contract.</w:t>
            </w:r>
          </w:p>
          <w:p w14:paraId="09C889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assessments include a cultural assessment which gathers information about cultural needs, values, and beliefs. Information from these assessments is used to develop the resident’s individual activity care plan. Care plans in the dementia care unit include a behaviour plan detailing behaviour exhibit, any triggers, and individual diversional strategies across the 24-hour period. Behaviour (stress and destress) monitoring charts are established as a short-term strategy to identify triggers that threaten the resident`s wellbeing.</w:t>
            </w:r>
          </w:p>
          <w:p w14:paraId="6D5B04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and provide guidance to staff around identified medical and non-medical needs. Documented interventions and early </w:t>
            </w:r>
            <w:r w:rsidRPr="00BE00C7">
              <w:rPr>
                <w:rFonts w:cs="Arial"/>
                <w:lang w:eastAsia="en-NZ"/>
              </w:rPr>
              <w:lastRenderedPageBreak/>
              <w:t xml:space="preserve">warning signs meet the residents’ assessed needs. There are short-term care plans in use for issues such as infections, weight loss, and wounds. Short-term care plans have been evaluated and signed off when the issue has resolved. </w:t>
            </w:r>
          </w:p>
          <w:p w14:paraId="57BD99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clinical manager and registered nurses confirmed that a Māori health care plan is completed for any residents who identified as Māori, to describe the support required to meet resident’s needs, as sighted in the resident files reviewed on the day of the audit. </w:t>
            </w:r>
          </w:p>
          <w:p w14:paraId="1FA972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practitioners (GPs) within the required timeframe following admission. There is documented evidence of the exemption from monthly general practitioner visits when the resident’s condition is considered stable. The service has a contract with two general practitioners who visit the care home and provide on-call cover after hours. The general practitioners have access to the resident records, including the medication system. The general practitioner interviewed stated that there was good communication with the service, and the registered nurses demonstrated good assessment skills and that they were informed of concerns in a timely manner. A physiotherapist visits the care home five hours per week, and reviews residents referred by the registered nurse. There is evidence of a multidisciplinary approach in the care of residents with other specialist services, including (but not limited to) speech language therapist, wound care specialist, gerontology nurse, older persons mental health team, and continence specialist nurse available as required through Health New Zealand. </w:t>
            </w:r>
          </w:p>
          <w:p w14:paraId="4287DF2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71893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care home relevant to the needs of the residents. A review of the wound care plans evidenced that wounds were assessed in a timely manner and reviewed at appropriate intervals. There were eleven active wounds from seven residents. The wounds reviewed included two pressure injuries from two residents (one resident with a suspected deep tissue injury [end of life] and one stage II). Other active wounds noted were skin tears, incontinence associated dermatitis, lesions, surgical wound, and ulcers. Wounds were </w:t>
            </w:r>
            <w:r w:rsidRPr="00BE00C7">
              <w:rPr>
                <w:rFonts w:cs="Arial"/>
                <w:lang w:eastAsia="en-NZ"/>
              </w:rPr>
              <w:lastRenderedPageBreak/>
              <w:t>dressed as scheduled, with clear documentation that included assessments, photographs, management plans, and evaluations, evidencing progress towards healing. Referrals were completed for wound nurse specialist input as clinically indicated, with recommended plans incorporated into the wound management plans. Staff could confirm pressure relieving measures and stated adequate equipment is available.</w:t>
            </w:r>
          </w:p>
          <w:p w14:paraId="37B703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the care home, and that they have access to the supplies and products they require to meet those needs. </w:t>
            </w:r>
          </w:p>
          <w:p w14:paraId="02FBFB4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as observed on the day of audit, and was found to be comprehensive in nature. Registered nurses document in the progress notes; however, caregivers rely heavily on monitoring forms to evidence care delivered and progress notes of caregivers did not always meet the organisation’s progress reporting policy requirements.</w:t>
            </w:r>
          </w:p>
          <w:p w14:paraId="17E3ED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a resident’s condition alters, the registered nurse initiates a review with the general practitioner.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1E2A43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visual checks, weight; food and fluid; repositioning charts; intentional rounding; and blood glucose levels. Monitoring charts have been completed as scheduled. Analgesia was noted to have been administered post falls, as indicated by outcome of assessments and as prescribed. Neurological observations have routinely been completed for unwitnessed falls, or those where a head injury was suspected, as part of post falls management. The previous audit finding (criteria # 3.2.4) related to neurological observations has been addressed; however, further improvement is needed around the documentation of </w:t>
            </w:r>
            <w:r w:rsidRPr="00BE00C7">
              <w:rPr>
                <w:rFonts w:cs="Arial"/>
                <w:lang w:eastAsia="en-NZ"/>
              </w:rPr>
              <w:lastRenderedPageBreak/>
              <w:t>progress notes. The shortfall identified at the previous audit is within the same criterion and therefore remains.</w:t>
            </w:r>
          </w:p>
          <w:p w14:paraId="567B0FD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nurses within the required timeframes. The evaluations include the degree of achievement towards meeting desired goals and outcomes.</w:t>
            </w:r>
          </w:p>
          <w:p w14:paraId="4A1B83A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00786C20" w14:textId="3412CC74" w:rsidR="00000000" w:rsidRPr="00BE00C7" w:rsidRDefault="00000000" w:rsidP="006E3D29">
            <w:pPr>
              <w:pStyle w:val="OutcomeDescription"/>
              <w:spacing w:before="120" w:after="120"/>
              <w:rPr>
                <w:rFonts w:cs="Arial"/>
                <w:lang w:eastAsia="en-NZ"/>
              </w:rPr>
            </w:pPr>
          </w:p>
        </w:tc>
      </w:tr>
      <w:tr w:rsidR="003944E0" w14:paraId="2F08E52D" w14:textId="77777777">
        <w:tc>
          <w:tcPr>
            <w:tcW w:w="0" w:type="auto"/>
          </w:tcPr>
          <w:p w14:paraId="60CB85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ADDF0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F675D6A" w14:textId="77777777" w:rsidR="00000000" w:rsidRPr="00BE00C7" w:rsidRDefault="00000000" w:rsidP="00BE00C7">
            <w:pPr>
              <w:pStyle w:val="OutcomeDescription"/>
              <w:spacing w:before="120" w:after="120"/>
              <w:rPr>
                <w:rFonts w:cs="Arial"/>
                <w:lang w:eastAsia="en-NZ"/>
              </w:rPr>
            </w:pPr>
          </w:p>
        </w:tc>
        <w:tc>
          <w:tcPr>
            <w:tcW w:w="0" w:type="auto"/>
          </w:tcPr>
          <w:p w14:paraId="2B777E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3B04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RNs have completed syringe driver training. </w:t>
            </w:r>
          </w:p>
          <w:p w14:paraId="4D37E6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749E8BA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a locked trolley in the medication rooms. The medication trolleys are always locked when not in use. The medication fridges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w:t>
            </w:r>
          </w:p>
          <w:p w14:paraId="016195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GP reviews all resident medication charts three-monthly and each chart has photo identification and allergy status identified. There were six residents self-administering medication on the days of audit. Discussion with the RNs and review of one resident’s room evidenced the </w:t>
            </w:r>
            <w:r w:rsidRPr="00BE00C7">
              <w:rPr>
                <w:rFonts w:cs="Arial"/>
                <w:lang w:eastAsia="en-NZ"/>
              </w:rPr>
              <w:lastRenderedPageBreak/>
              <w:t xml:space="preserve">policies and procedures related to the competency assessment and storage of medication are implemented. </w:t>
            </w:r>
          </w:p>
          <w:p w14:paraId="17ADB9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or RNs sign when the medication has been administered. The facility does not use standing orders. Residents and family/whānau are updated around medication changes, including the reason for changing medications and side effects. This is documented in the progress notes. </w:t>
            </w:r>
          </w:p>
          <w:p w14:paraId="7EA22F98" w14:textId="77777777" w:rsidR="00000000" w:rsidRPr="00BE00C7" w:rsidRDefault="00000000" w:rsidP="00BE00C7">
            <w:pPr>
              <w:pStyle w:val="OutcomeDescription"/>
              <w:spacing w:before="120" w:after="120"/>
              <w:rPr>
                <w:rFonts w:cs="Arial"/>
                <w:lang w:eastAsia="en-NZ"/>
              </w:rPr>
            </w:pPr>
          </w:p>
        </w:tc>
      </w:tr>
      <w:tr w:rsidR="003944E0" w14:paraId="76F0A1A8" w14:textId="77777777">
        <w:tc>
          <w:tcPr>
            <w:tcW w:w="0" w:type="auto"/>
          </w:tcPr>
          <w:p w14:paraId="034CB0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01A72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B273A6" w14:textId="77777777" w:rsidR="00000000" w:rsidRPr="00BE00C7" w:rsidRDefault="00000000" w:rsidP="00BE00C7">
            <w:pPr>
              <w:pStyle w:val="OutcomeDescription"/>
              <w:spacing w:before="120" w:after="120"/>
              <w:rPr>
                <w:rFonts w:cs="Arial"/>
                <w:lang w:eastAsia="en-NZ"/>
              </w:rPr>
            </w:pPr>
          </w:p>
        </w:tc>
        <w:tc>
          <w:tcPr>
            <w:tcW w:w="0" w:type="auto"/>
          </w:tcPr>
          <w:p w14:paraId="360B5D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13B7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approved food control plan in place that is current to 24 May 2026. Food preferences and cultural preferences are encompassed into the menu. The kitchen receives resident dietary forms and is notified of any dietary changes for residents. Dislikes and special dietary requirements are accommodated, including food allergies. The kitchen manager reported they accommodate residents’ requests.</w:t>
            </w:r>
          </w:p>
          <w:p w14:paraId="28704AC1" w14:textId="77777777" w:rsidR="00000000" w:rsidRPr="00BE00C7" w:rsidRDefault="00000000" w:rsidP="00BE00C7">
            <w:pPr>
              <w:pStyle w:val="OutcomeDescription"/>
              <w:spacing w:before="120" w:after="120"/>
              <w:rPr>
                <w:rFonts w:cs="Arial"/>
                <w:lang w:eastAsia="en-NZ"/>
              </w:rPr>
            </w:pPr>
          </w:p>
        </w:tc>
      </w:tr>
      <w:tr w:rsidR="003944E0" w14:paraId="4B707295" w14:textId="77777777">
        <w:tc>
          <w:tcPr>
            <w:tcW w:w="0" w:type="auto"/>
          </w:tcPr>
          <w:p w14:paraId="087698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8B8D0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52E9212" w14:textId="77777777" w:rsidR="00000000" w:rsidRPr="00BE00C7" w:rsidRDefault="00000000" w:rsidP="00BE00C7">
            <w:pPr>
              <w:pStyle w:val="OutcomeDescription"/>
              <w:spacing w:before="120" w:after="120"/>
              <w:rPr>
                <w:rFonts w:cs="Arial"/>
                <w:lang w:eastAsia="en-NZ"/>
              </w:rPr>
            </w:pPr>
          </w:p>
        </w:tc>
        <w:tc>
          <w:tcPr>
            <w:tcW w:w="0" w:type="auto"/>
          </w:tcPr>
          <w:p w14:paraId="16A6C1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614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2E0330B6" w14:textId="77777777" w:rsidR="00000000" w:rsidRPr="00BE00C7" w:rsidRDefault="00000000" w:rsidP="00BE00C7">
            <w:pPr>
              <w:pStyle w:val="OutcomeDescription"/>
              <w:spacing w:before="120" w:after="120"/>
              <w:rPr>
                <w:rFonts w:cs="Arial"/>
                <w:lang w:eastAsia="en-NZ"/>
              </w:rPr>
            </w:pPr>
          </w:p>
        </w:tc>
      </w:tr>
      <w:tr w:rsidR="003944E0" w14:paraId="762D16EA" w14:textId="77777777">
        <w:tc>
          <w:tcPr>
            <w:tcW w:w="0" w:type="auto"/>
          </w:tcPr>
          <w:p w14:paraId="33E8AE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07650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EBA3E6" w14:textId="77777777" w:rsidR="00000000" w:rsidRPr="00BE00C7" w:rsidRDefault="00000000" w:rsidP="00BE00C7">
            <w:pPr>
              <w:pStyle w:val="OutcomeDescription"/>
              <w:spacing w:before="120" w:after="120"/>
              <w:rPr>
                <w:rFonts w:cs="Arial"/>
                <w:lang w:eastAsia="en-NZ"/>
              </w:rPr>
            </w:pPr>
          </w:p>
        </w:tc>
        <w:tc>
          <w:tcPr>
            <w:tcW w:w="0" w:type="auto"/>
          </w:tcPr>
          <w:p w14:paraId="4BFBA0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38BE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Ashford Care Home and comply with legislation relevant to the health and disability services being provided. The environment is inclusive of people’s cultures and supports cultural practices. The building warrant of fitness is current, expiring May 2026. There is a maintenance request book for repair and maintenance requests. Equipment failure or issues are also recorded in the maintenance book. This is checked daily and signed off when repairs have been completed. There is an annual maintenance plan implemented that includes electrical testing and tagging, equipment checks, call bell checks, calibration of medical equipment, and weekly testing of hot water temperatures. Essential contractors/tradespeople are available as required. Hot water temperature recording reviewed were within the required parameters. </w:t>
            </w:r>
          </w:p>
          <w:p w14:paraId="0F02B6D7" w14:textId="77777777" w:rsidR="00000000" w:rsidRPr="00BE00C7" w:rsidRDefault="00000000" w:rsidP="00BE00C7">
            <w:pPr>
              <w:pStyle w:val="OutcomeDescription"/>
              <w:spacing w:before="120" w:after="120"/>
              <w:rPr>
                <w:rFonts w:cs="Arial"/>
                <w:lang w:eastAsia="en-NZ"/>
              </w:rPr>
            </w:pPr>
          </w:p>
        </w:tc>
      </w:tr>
      <w:tr w:rsidR="003944E0" w14:paraId="4D639613" w14:textId="77777777">
        <w:tc>
          <w:tcPr>
            <w:tcW w:w="0" w:type="auto"/>
          </w:tcPr>
          <w:p w14:paraId="3AD513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B64B4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169979B" w14:textId="77777777" w:rsidR="00000000" w:rsidRPr="00BE00C7" w:rsidRDefault="00000000" w:rsidP="00BE00C7">
            <w:pPr>
              <w:pStyle w:val="OutcomeDescription"/>
              <w:spacing w:before="120" w:after="120"/>
              <w:rPr>
                <w:rFonts w:cs="Arial"/>
                <w:lang w:eastAsia="en-NZ"/>
              </w:rPr>
            </w:pPr>
          </w:p>
        </w:tc>
        <w:tc>
          <w:tcPr>
            <w:tcW w:w="0" w:type="auto"/>
          </w:tcPr>
          <w:p w14:paraId="4AE9D4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77C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stewardship programme and procedure that has been developed by Bupa and their in-house infection control specialists, which includes the pandemic plan. The infection control manual outlines a comprehensive range of policies, standards and guidelines and includes defining roles, responsibilities and oversight, the infection control team, and training and education of staff. Policies and procedures are reviewed regularly by Bupa in consultation with infection control coordinators. This links to the overarching quality programme and the infection control programme is reviewed, evaluated, and reported on annually. </w:t>
            </w:r>
          </w:p>
          <w:p w14:paraId="18D8AE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washing competencies; donning and doffing personal protective equipment (PPE); monitoring of antimicrobial medication; infection control and cultural safety; aseptic technique; and transmission-based precautions.</w:t>
            </w:r>
          </w:p>
          <w:p w14:paraId="4BB4FA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an RN hold the infection control coordinator portfolio at the village, and both attend regular online training meetings and provide training to staff. </w:t>
            </w:r>
          </w:p>
          <w:p w14:paraId="78ED946A" w14:textId="77777777" w:rsidR="00000000" w:rsidRPr="00BE00C7" w:rsidRDefault="00000000" w:rsidP="00BE00C7">
            <w:pPr>
              <w:pStyle w:val="OutcomeDescription"/>
              <w:spacing w:before="120" w:after="120"/>
              <w:rPr>
                <w:rFonts w:cs="Arial"/>
                <w:lang w:eastAsia="en-NZ"/>
              </w:rPr>
            </w:pPr>
          </w:p>
        </w:tc>
      </w:tr>
      <w:tr w:rsidR="003944E0" w14:paraId="5B8BD8C1" w14:textId="77777777">
        <w:tc>
          <w:tcPr>
            <w:tcW w:w="0" w:type="auto"/>
          </w:tcPr>
          <w:p w14:paraId="008142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9E3DB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5788A09" w14:textId="77777777" w:rsidR="00000000" w:rsidRPr="00BE00C7" w:rsidRDefault="00000000" w:rsidP="00BE00C7">
            <w:pPr>
              <w:pStyle w:val="OutcomeDescription"/>
              <w:spacing w:before="120" w:after="120"/>
              <w:rPr>
                <w:rFonts w:cs="Arial"/>
                <w:lang w:eastAsia="en-NZ"/>
              </w:rPr>
            </w:pPr>
          </w:p>
        </w:tc>
        <w:tc>
          <w:tcPr>
            <w:tcW w:w="0" w:type="auto"/>
          </w:tcPr>
          <w:p w14:paraId="6C543B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6F519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care homes.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w:t>
            </w:r>
          </w:p>
          <w:p w14:paraId="2799ED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There have been four outbreaks documented since the previous audit (one Covid-19, one respiratory outbreak, and two gastroenteritis outbreaks). These were well documented, managed and reported to Public Health, where appropriate. Daily outbreak meetings occurred, with hand hygiene and food safety/hygiene refreshers. A debrief was completed after each outbreak to identify what went well, and areas of improvement for future outbreak management. </w:t>
            </w:r>
          </w:p>
          <w:p w14:paraId="57405F10" w14:textId="77777777" w:rsidR="00000000" w:rsidRPr="00BE00C7" w:rsidRDefault="00000000" w:rsidP="00BE00C7">
            <w:pPr>
              <w:pStyle w:val="OutcomeDescription"/>
              <w:spacing w:before="120" w:after="120"/>
              <w:rPr>
                <w:rFonts w:cs="Arial"/>
                <w:lang w:eastAsia="en-NZ"/>
              </w:rPr>
            </w:pPr>
          </w:p>
        </w:tc>
      </w:tr>
      <w:tr w:rsidR="003944E0" w14:paraId="6BE9BD2D" w14:textId="77777777">
        <w:tc>
          <w:tcPr>
            <w:tcW w:w="0" w:type="auto"/>
          </w:tcPr>
          <w:p w14:paraId="1F074C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602B2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8FECAD" w14:textId="77777777" w:rsidR="00000000" w:rsidRPr="00BE00C7" w:rsidRDefault="00000000" w:rsidP="00BE00C7">
            <w:pPr>
              <w:pStyle w:val="OutcomeDescription"/>
              <w:spacing w:before="120" w:after="120"/>
              <w:rPr>
                <w:rFonts w:cs="Arial"/>
                <w:lang w:eastAsia="en-NZ"/>
              </w:rPr>
            </w:pPr>
          </w:p>
        </w:tc>
        <w:tc>
          <w:tcPr>
            <w:tcW w:w="0" w:type="auto"/>
          </w:tcPr>
          <w:p w14:paraId="0C7797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0DC6E1"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and are approved by head office. Policies state that only a restraint coordinator and clinical manager may authorise the use of restraint. The regional restraint group is responsible for the Bupa restraint elimination strategy and for monitoring restraint use in the organisation. Restraint is discussed at clinical governance and Board level.</w:t>
            </w:r>
          </w:p>
          <w:p w14:paraId="22939203"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using restraints. The designated restraint coordinator is a registered nurse. Training for all staff occurs at orientation and annually, as sighted in the training records.</w:t>
            </w:r>
          </w:p>
          <w:p w14:paraId="125542A0" w14:textId="77777777" w:rsidR="00000000" w:rsidRPr="00BE00C7" w:rsidRDefault="00000000" w:rsidP="00BE00C7">
            <w:pPr>
              <w:pStyle w:val="OutcomeDescription"/>
              <w:spacing w:before="120" w:after="120"/>
              <w:rPr>
                <w:rFonts w:cs="Arial"/>
                <w:lang w:eastAsia="en-NZ"/>
              </w:rPr>
            </w:pPr>
          </w:p>
        </w:tc>
      </w:tr>
    </w:tbl>
    <w:p w14:paraId="010B6B6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E22F773" w14:textId="77777777" w:rsidR="00000000" w:rsidRDefault="00000000">
      <w:pPr>
        <w:pStyle w:val="Heading1"/>
        <w:rPr>
          <w:rFonts w:cs="Arial"/>
        </w:rPr>
      </w:pPr>
      <w:r>
        <w:rPr>
          <w:rFonts w:cs="Arial"/>
        </w:rPr>
        <w:lastRenderedPageBreak/>
        <w:t>Specific results for criterion where corrective actions are required</w:t>
      </w:r>
    </w:p>
    <w:p w14:paraId="0E7BCBC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4442F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BCA582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1319"/>
        <w:gridCol w:w="4231"/>
        <w:gridCol w:w="2913"/>
        <w:gridCol w:w="1814"/>
      </w:tblGrid>
      <w:tr w:rsidR="003944E0" w14:paraId="1FBAA58C" w14:textId="77777777">
        <w:tc>
          <w:tcPr>
            <w:tcW w:w="0" w:type="auto"/>
          </w:tcPr>
          <w:p w14:paraId="7CA5DFA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28329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EB10A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0E9D3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56571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944E0" w14:paraId="7E2AC4B0" w14:textId="77777777">
        <w:tc>
          <w:tcPr>
            <w:tcW w:w="0" w:type="auto"/>
          </w:tcPr>
          <w:p w14:paraId="566DBE8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B32421D"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r>
            <w:r w:rsidRPr="00BE00C7">
              <w:rPr>
                <w:rFonts w:cs="Arial"/>
                <w:lang w:eastAsia="en-NZ"/>
              </w:rPr>
              <w:lastRenderedPageBreak/>
              <w:t>(d) That needs and risk assessments are an ongoing process and that any changes are documented.</w:t>
            </w:r>
          </w:p>
          <w:p w14:paraId="621F37E9" w14:textId="77777777" w:rsidR="00000000" w:rsidRPr="00BE00C7" w:rsidRDefault="00000000" w:rsidP="00BE00C7">
            <w:pPr>
              <w:pStyle w:val="OutcomeDescription"/>
              <w:spacing w:before="120" w:after="120"/>
              <w:rPr>
                <w:rFonts w:cs="Arial"/>
                <w:lang w:eastAsia="en-NZ"/>
              </w:rPr>
            </w:pPr>
          </w:p>
        </w:tc>
        <w:tc>
          <w:tcPr>
            <w:tcW w:w="0" w:type="auto"/>
          </w:tcPr>
          <w:p w14:paraId="62B0DC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60CF7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files were reviewed. Events were documented and closed off when resolved. Family/whānau communications were documented in progress notes. Long-term care plan evaluations were completed, and they evidenced progression towards goals and if the resident goals had been met or unmet. Ten short-term care plans were reviewed, and all were closed off when treatment had been successfully completed. </w:t>
            </w:r>
          </w:p>
          <w:p w14:paraId="2A7C58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reporting’ policy is in place and guides staff in the requirements of writing progress reports on the electronic system (July 2024). The ARRC contractual requirements clause D 7.1 is implemented related to regular written progress notes i.e. “You must ensure that each Care Staff </w:t>
            </w:r>
            <w:r w:rsidRPr="00BE00C7">
              <w:rPr>
                <w:rFonts w:cs="Arial"/>
                <w:lang w:eastAsia="en-NZ"/>
              </w:rPr>
              <w:lastRenderedPageBreak/>
              <w:t xml:space="preserve">member maintains a written record of progress for each resident under care.” There are daily registered nurse progress notes documented. Caregivers complete monitoring charts and task lists; however, issues identified in the monitoring forms are not always documented in the progress notes as noted in four of six files reviewed. There is insufficient documented evidence to confirm that the RN is aware of the issues documented in the monitoring forms. </w:t>
            </w:r>
          </w:p>
          <w:p w14:paraId="7F63B7E5" w14:textId="77777777" w:rsidR="00000000" w:rsidRPr="00BE00C7" w:rsidRDefault="00000000" w:rsidP="00BE00C7">
            <w:pPr>
              <w:pStyle w:val="OutcomeDescription"/>
              <w:spacing w:before="120" w:after="120"/>
              <w:rPr>
                <w:rFonts w:cs="Arial"/>
                <w:lang w:eastAsia="en-NZ"/>
              </w:rPr>
            </w:pPr>
          </w:p>
        </w:tc>
        <w:tc>
          <w:tcPr>
            <w:tcW w:w="0" w:type="auto"/>
          </w:tcPr>
          <w:p w14:paraId="2F92C9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progress notes do not always reflect the requirements of the policy and best practice to ensure a chronological view of the received care. The following shortfalls were noted: </w:t>
            </w:r>
          </w:p>
          <w:p w14:paraId="2D47F5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Caregivers heavily rely on prepopulated generic task lists and monitoring charts to reflect care interventions provided and do not always report in progress notes when care strategies are different from the usual. </w:t>
            </w:r>
          </w:p>
          <w:p w14:paraId="3C9E77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 The progress notes do not always reflect continuity of </w:t>
            </w:r>
            <w:r w:rsidRPr="00BE00C7">
              <w:rPr>
                <w:rFonts w:cs="Arial"/>
                <w:lang w:eastAsia="en-NZ"/>
              </w:rPr>
              <w:lastRenderedPageBreak/>
              <w:t>care between the caregivers and registered nurses.</w:t>
            </w:r>
          </w:p>
          <w:p w14:paraId="2658E9AB" w14:textId="77777777" w:rsidR="00000000" w:rsidRPr="00BE00C7" w:rsidRDefault="00000000" w:rsidP="00BE00C7">
            <w:pPr>
              <w:pStyle w:val="OutcomeDescription"/>
              <w:spacing w:before="120" w:after="120"/>
              <w:rPr>
                <w:rFonts w:cs="Arial"/>
                <w:lang w:eastAsia="en-NZ"/>
              </w:rPr>
            </w:pPr>
          </w:p>
        </w:tc>
        <w:tc>
          <w:tcPr>
            <w:tcW w:w="0" w:type="auto"/>
          </w:tcPr>
          <w:p w14:paraId="3C0900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 Ensure progress notes provide a true and evolving picture of the resident journey.</w:t>
            </w:r>
          </w:p>
          <w:p w14:paraId="406F2928" w14:textId="77777777" w:rsidR="00000000" w:rsidRPr="00BE00C7" w:rsidRDefault="00000000" w:rsidP="00BE00C7">
            <w:pPr>
              <w:pStyle w:val="OutcomeDescription"/>
              <w:spacing w:before="120" w:after="120"/>
              <w:rPr>
                <w:rFonts w:cs="Arial"/>
                <w:lang w:eastAsia="en-NZ"/>
              </w:rPr>
            </w:pPr>
          </w:p>
          <w:p w14:paraId="038AC81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9C885D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CC2F374" w14:textId="77777777" w:rsidR="00000000" w:rsidRDefault="00000000">
      <w:pPr>
        <w:pStyle w:val="Heading1"/>
        <w:rPr>
          <w:rFonts w:cs="Arial"/>
        </w:rPr>
      </w:pPr>
      <w:r>
        <w:rPr>
          <w:rFonts w:cs="Arial"/>
        </w:rPr>
        <w:lastRenderedPageBreak/>
        <w:t>Specific results for criterion where a continuous improvement has been recorded</w:t>
      </w:r>
    </w:p>
    <w:p w14:paraId="4E02700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E90699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52F0C9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944E0" w14:paraId="2AFF6243" w14:textId="77777777">
        <w:tc>
          <w:tcPr>
            <w:tcW w:w="0" w:type="auto"/>
          </w:tcPr>
          <w:p w14:paraId="49039F3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2696C0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162DBA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DA73" w14:textId="77777777" w:rsidR="004B4511" w:rsidRDefault="004B4511">
      <w:r>
        <w:separator/>
      </w:r>
    </w:p>
  </w:endnote>
  <w:endnote w:type="continuationSeparator" w:id="0">
    <w:p w14:paraId="1D04C7B1" w14:textId="77777777" w:rsidR="004B4511" w:rsidRDefault="004B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2444" w14:textId="77777777" w:rsidR="00000000" w:rsidRDefault="00000000">
    <w:pPr>
      <w:pStyle w:val="Footer"/>
    </w:pPr>
  </w:p>
  <w:p w14:paraId="639604EA" w14:textId="77777777" w:rsidR="00000000" w:rsidRDefault="00000000"/>
  <w:p w14:paraId="0D47786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46F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Ashford Care Home</w:t>
    </w:r>
    <w:bookmarkEnd w:id="59"/>
    <w:r>
      <w:rPr>
        <w:rFonts w:cs="Arial"/>
        <w:sz w:val="16"/>
        <w:szCs w:val="20"/>
      </w:rPr>
      <w:tab/>
      <w:t xml:space="preserve">Date of Audit: </w:t>
    </w:r>
    <w:bookmarkStart w:id="60" w:name="AuditStartDate1"/>
    <w:r>
      <w:rPr>
        <w:rFonts w:cs="Arial"/>
        <w:sz w:val="16"/>
        <w:szCs w:val="20"/>
      </w:rPr>
      <w:t>10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82D72F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42F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6D6D" w14:textId="77777777" w:rsidR="004B4511" w:rsidRDefault="004B4511">
      <w:r>
        <w:separator/>
      </w:r>
    </w:p>
  </w:footnote>
  <w:footnote w:type="continuationSeparator" w:id="0">
    <w:p w14:paraId="69355F62" w14:textId="77777777" w:rsidR="004B4511" w:rsidRDefault="004B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09C0" w14:textId="77777777" w:rsidR="00000000" w:rsidRDefault="00000000">
    <w:pPr>
      <w:pStyle w:val="Header"/>
    </w:pPr>
  </w:p>
  <w:p w14:paraId="72CCF33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AFEF" w14:textId="77777777" w:rsidR="00000000" w:rsidRDefault="00000000">
    <w:pPr>
      <w:pStyle w:val="Header"/>
    </w:pPr>
  </w:p>
  <w:p w14:paraId="0D6C68E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3F0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918911C">
      <w:start w:val="1"/>
      <w:numFmt w:val="decimal"/>
      <w:lvlText w:val="%1."/>
      <w:lvlJc w:val="left"/>
      <w:pPr>
        <w:ind w:left="360" w:hanging="360"/>
      </w:pPr>
    </w:lvl>
    <w:lvl w:ilvl="1" w:tplc="737E39CA" w:tentative="1">
      <w:start w:val="1"/>
      <w:numFmt w:val="lowerLetter"/>
      <w:lvlText w:val="%2."/>
      <w:lvlJc w:val="left"/>
      <w:pPr>
        <w:ind w:left="1080" w:hanging="360"/>
      </w:pPr>
    </w:lvl>
    <w:lvl w:ilvl="2" w:tplc="489601E0" w:tentative="1">
      <w:start w:val="1"/>
      <w:numFmt w:val="lowerRoman"/>
      <w:lvlText w:val="%3."/>
      <w:lvlJc w:val="right"/>
      <w:pPr>
        <w:ind w:left="1800" w:hanging="180"/>
      </w:pPr>
    </w:lvl>
    <w:lvl w:ilvl="3" w:tplc="70504C76" w:tentative="1">
      <w:start w:val="1"/>
      <w:numFmt w:val="decimal"/>
      <w:lvlText w:val="%4."/>
      <w:lvlJc w:val="left"/>
      <w:pPr>
        <w:ind w:left="2520" w:hanging="360"/>
      </w:pPr>
    </w:lvl>
    <w:lvl w:ilvl="4" w:tplc="BB16AB6C" w:tentative="1">
      <w:start w:val="1"/>
      <w:numFmt w:val="lowerLetter"/>
      <w:lvlText w:val="%5."/>
      <w:lvlJc w:val="left"/>
      <w:pPr>
        <w:ind w:left="3240" w:hanging="360"/>
      </w:pPr>
    </w:lvl>
    <w:lvl w:ilvl="5" w:tplc="D0C81412" w:tentative="1">
      <w:start w:val="1"/>
      <w:numFmt w:val="lowerRoman"/>
      <w:lvlText w:val="%6."/>
      <w:lvlJc w:val="right"/>
      <w:pPr>
        <w:ind w:left="3960" w:hanging="180"/>
      </w:pPr>
    </w:lvl>
    <w:lvl w:ilvl="6" w:tplc="75DC165A" w:tentative="1">
      <w:start w:val="1"/>
      <w:numFmt w:val="decimal"/>
      <w:lvlText w:val="%7."/>
      <w:lvlJc w:val="left"/>
      <w:pPr>
        <w:ind w:left="4680" w:hanging="360"/>
      </w:pPr>
    </w:lvl>
    <w:lvl w:ilvl="7" w:tplc="BB2C25D4" w:tentative="1">
      <w:start w:val="1"/>
      <w:numFmt w:val="lowerLetter"/>
      <w:lvlText w:val="%8."/>
      <w:lvlJc w:val="left"/>
      <w:pPr>
        <w:ind w:left="5400" w:hanging="360"/>
      </w:pPr>
    </w:lvl>
    <w:lvl w:ilvl="8" w:tplc="A6664A6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458D97C">
      <w:start w:val="1"/>
      <w:numFmt w:val="bullet"/>
      <w:lvlText w:val=""/>
      <w:lvlJc w:val="left"/>
      <w:pPr>
        <w:ind w:left="720" w:hanging="360"/>
      </w:pPr>
      <w:rPr>
        <w:rFonts w:ascii="Symbol" w:hAnsi="Symbol" w:hint="default"/>
      </w:rPr>
    </w:lvl>
    <w:lvl w:ilvl="1" w:tplc="F41C5D32" w:tentative="1">
      <w:start w:val="1"/>
      <w:numFmt w:val="bullet"/>
      <w:lvlText w:val="o"/>
      <w:lvlJc w:val="left"/>
      <w:pPr>
        <w:ind w:left="1440" w:hanging="360"/>
      </w:pPr>
      <w:rPr>
        <w:rFonts w:ascii="Courier New" w:hAnsi="Courier New" w:cs="Courier New" w:hint="default"/>
      </w:rPr>
    </w:lvl>
    <w:lvl w:ilvl="2" w:tplc="C1FA4CF2" w:tentative="1">
      <w:start w:val="1"/>
      <w:numFmt w:val="bullet"/>
      <w:lvlText w:val=""/>
      <w:lvlJc w:val="left"/>
      <w:pPr>
        <w:ind w:left="2160" w:hanging="360"/>
      </w:pPr>
      <w:rPr>
        <w:rFonts w:ascii="Wingdings" w:hAnsi="Wingdings" w:hint="default"/>
      </w:rPr>
    </w:lvl>
    <w:lvl w:ilvl="3" w:tplc="3F2E2F3E" w:tentative="1">
      <w:start w:val="1"/>
      <w:numFmt w:val="bullet"/>
      <w:lvlText w:val=""/>
      <w:lvlJc w:val="left"/>
      <w:pPr>
        <w:ind w:left="2880" w:hanging="360"/>
      </w:pPr>
      <w:rPr>
        <w:rFonts w:ascii="Symbol" w:hAnsi="Symbol" w:hint="default"/>
      </w:rPr>
    </w:lvl>
    <w:lvl w:ilvl="4" w:tplc="DEEC8088" w:tentative="1">
      <w:start w:val="1"/>
      <w:numFmt w:val="bullet"/>
      <w:lvlText w:val="o"/>
      <w:lvlJc w:val="left"/>
      <w:pPr>
        <w:ind w:left="3600" w:hanging="360"/>
      </w:pPr>
      <w:rPr>
        <w:rFonts w:ascii="Courier New" w:hAnsi="Courier New" w:cs="Courier New" w:hint="default"/>
      </w:rPr>
    </w:lvl>
    <w:lvl w:ilvl="5" w:tplc="8158826E" w:tentative="1">
      <w:start w:val="1"/>
      <w:numFmt w:val="bullet"/>
      <w:lvlText w:val=""/>
      <w:lvlJc w:val="left"/>
      <w:pPr>
        <w:ind w:left="4320" w:hanging="360"/>
      </w:pPr>
      <w:rPr>
        <w:rFonts w:ascii="Wingdings" w:hAnsi="Wingdings" w:hint="default"/>
      </w:rPr>
    </w:lvl>
    <w:lvl w:ilvl="6" w:tplc="42AC1A74" w:tentative="1">
      <w:start w:val="1"/>
      <w:numFmt w:val="bullet"/>
      <w:lvlText w:val=""/>
      <w:lvlJc w:val="left"/>
      <w:pPr>
        <w:ind w:left="5040" w:hanging="360"/>
      </w:pPr>
      <w:rPr>
        <w:rFonts w:ascii="Symbol" w:hAnsi="Symbol" w:hint="default"/>
      </w:rPr>
    </w:lvl>
    <w:lvl w:ilvl="7" w:tplc="176E3EAC" w:tentative="1">
      <w:start w:val="1"/>
      <w:numFmt w:val="bullet"/>
      <w:lvlText w:val="o"/>
      <w:lvlJc w:val="left"/>
      <w:pPr>
        <w:ind w:left="5760" w:hanging="360"/>
      </w:pPr>
      <w:rPr>
        <w:rFonts w:ascii="Courier New" w:hAnsi="Courier New" w:cs="Courier New" w:hint="default"/>
      </w:rPr>
    </w:lvl>
    <w:lvl w:ilvl="8" w:tplc="AA3AE4AE" w:tentative="1">
      <w:start w:val="1"/>
      <w:numFmt w:val="bullet"/>
      <w:lvlText w:val=""/>
      <w:lvlJc w:val="left"/>
      <w:pPr>
        <w:ind w:left="6480" w:hanging="360"/>
      </w:pPr>
      <w:rPr>
        <w:rFonts w:ascii="Wingdings" w:hAnsi="Wingdings" w:hint="default"/>
      </w:rPr>
    </w:lvl>
  </w:abstractNum>
  <w:num w:numId="1" w16cid:durableId="131287663">
    <w:abstractNumId w:val="1"/>
  </w:num>
  <w:num w:numId="2" w16cid:durableId="54796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E0"/>
    <w:rsid w:val="003944E0"/>
    <w:rsid w:val="004B4511"/>
    <w:rsid w:val="004E74EB"/>
    <w:rsid w:val="006E3D29"/>
    <w:rsid w:val="00B16817"/>
    <w:rsid w:val="00E175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A4E7"/>
  <w15:docId w15:val="{BAB386C1-DC1B-48E3-97E2-717CC209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7990</Words>
  <Characters>46263</Characters>
  <Application>Microsoft Office Word</Application>
  <DocSecurity>0</DocSecurity>
  <Lines>1028</Lines>
  <Paragraphs>308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2026-01-11T19:37:00Z</dcterms:created>
  <dcterms:modified xsi:type="dcterms:W3CDTF">2026-01-11T19:40:00Z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