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EF72" w14:textId="77777777" w:rsidR="00000000" w:rsidRDefault="00000000">
      <w:pPr>
        <w:pStyle w:val="Heading1"/>
        <w:rPr>
          <w:rFonts w:cs="Arial"/>
        </w:rPr>
      </w:pPr>
      <w:bookmarkStart w:id="0" w:name="PRMS_RIName"/>
      <w:r>
        <w:rPr>
          <w:rFonts w:cs="Arial"/>
        </w:rPr>
        <w:t>Heritage Lifecare Limited - Puriri Court Rest Home and Hospital</w:t>
      </w:r>
      <w:bookmarkEnd w:id="0"/>
    </w:p>
    <w:p w14:paraId="46B38CD4" w14:textId="77777777" w:rsidR="00000000" w:rsidRDefault="00000000">
      <w:pPr>
        <w:pStyle w:val="Heading2"/>
        <w:spacing w:after="0"/>
        <w:rPr>
          <w:rFonts w:cs="Arial"/>
        </w:rPr>
      </w:pPr>
      <w:r>
        <w:rPr>
          <w:rFonts w:cs="Arial"/>
        </w:rPr>
        <w:t>Introduction</w:t>
      </w:r>
    </w:p>
    <w:p w14:paraId="712E857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0C42E5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1323A9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EFE5FD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FAE87CE" w14:textId="77777777" w:rsidR="00000000" w:rsidRDefault="00000000">
      <w:pPr>
        <w:spacing w:before="240" w:after="240"/>
        <w:rPr>
          <w:rFonts w:cs="Arial"/>
          <w:lang w:eastAsia="en-NZ"/>
        </w:rPr>
      </w:pPr>
      <w:r>
        <w:rPr>
          <w:rFonts w:cs="Arial"/>
          <w:lang w:eastAsia="en-NZ"/>
        </w:rPr>
        <w:t>The specifics of this audit included:</w:t>
      </w:r>
    </w:p>
    <w:p w14:paraId="059CAA2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637619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75A8DB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Puriri Court Rest Home and Hospital</w:t>
      </w:r>
      <w:bookmarkEnd w:id="5"/>
    </w:p>
    <w:p w14:paraId="6A0C60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7EBC9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10 November </w:t>
      </w:r>
      <w:r>
        <w:rPr>
          <w:rFonts w:cs="Arial"/>
        </w:rPr>
        <w:t>2025</w:t>
      </w:r>
      <w:bookmarkEnd w:id="7"/>
      <w:r w:rsidRPr="009418D4">
        <w:rPr>
          <w:rFonts w:cs="Arial"/>
        </w:rPr>
        <w:tab/>
        <w:t xml:space="preserve">End date: </w:t>
      </w:r>
      <w:bookmarkStart w:id="8" w:name="AuditEndDate"/>
      <w:r>
        <w:rPr>
          <w:rFonts w:cs="Arial"/>
        </w:rPr>
        <w:t>10 November 2025</w:t>
      </w:r>
      <w:bookmarkEnd w:id="8"/>
    </w:p>
    <w:p w14:paraId="2B91E8F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A22983" w14:textId="77777777" w:rsidR="00777E0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431F56C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4505E51" w14:textId="77777777" w:rsidR="00000000" w:rsidRDefault="00000000">
      <w:pPr>
        <w:pStyle w:val="Heading1"/>
        <w:rPr>
          <w:rFonts w:cs="Arial"/>
        </w:rPr>
      </w:pPr>
      <w:r>
        <w:rPr>
          <w:rFonts w:cs="Arial"/>
        </w:rPr>
        <w:lastRenderedPageBreak/>
        <w:t>Executive summary of the audit</w:t>
      </w:r>
    </w:p>
    <w:p w14:paraId="3A3F1D59" w14:textId="77777777" w:rsidR="00000000" w:rsidRDefault="00000000">
      <w:pPr>
        <w:pStyle w:val="Heading2"/>
        <w:rPr>
          <w:rFonts w:cs="Arial"/>
        </w:rPr>
      </w:pPr>
      <w:r>
        <w:rPr>
          <w:rFonts w:cs="Arial"/>
        </w:rPr>
        <w:t>Introduction</w:t>
      </w:r>
    </w:p>
    <w:p w14:paraId="2255A39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A71C3E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754BE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EDFF0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C5EE55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F916DC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92C90E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C0D20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947239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777E0B" w14:paraId="08C40C78" w14:textId="77777777">
        <w:trPr>
          <w:cantSplit/>
          <w:tblHeader/>
        </w:trPr>
        <w:tc>
          <w:tcPr>
            <w:tcW w:w="1260" w:type="dxa"/>
            <w:tcBorders>
              <w:bottom w:val="single" w:sz="4" w:space="0" w:color="000000"/>
            </w:tcBorders>
            <w:vAlign w:val="center"/>
          </w:tcPr>
          <w:p w14:paraId="292D8D7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998CE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4BFAFB2" w14:textId="77777777" w:rsidR="00000000" w:rsidRDefault="00000000">
            <w:pPr>
              <w:spacing w:before="60" w:after="60"/>
              <w:rPr>
                <w:rFonts w:eastAsia="Calibri"/>
                <w:b/>
                <w:szCs w:val="24"/>
              </w:rPr>
            </w:pPr>
            <w:r>
              <w:rPr>
                <w:rFonts w:eastAsia="Calibri"/>
                <w:b/>
                <w:szCs w:val="24"/>
              </w:rPr>
              <w:t>Definition</w:t>
            </w:r>
          </w:p>
        </w:tc>
      </w:tr>
      <w:tr w:rsidR="00777E0B" w14:paraId="35FDA5CF" w14:textId="77777777">
        <w:trPr>
          <w:cantSplit/>
          <w:trHeight w:val="964"/>
        </w:trPr>
        <w:tc>
          <w:tcPr>
            <w:tcW w:w="1260" w:type="dxa"/>
            <w:tcBorders>
              <w:bottom w:val="single" w:sz="4" w:space="0" w:color="000000"/>
            </w:tcBorders>
            <w:shd w:val="clear" w:color="0066FF" w:fill="0000FF"/>
            <w:vAlign w:val="center"/>
          </w:tcPr>
          <w:p w14:paraId="641F120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703D73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962FFD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77E0B" w14:paraId="549875BB" w14:textId="77777777">
        <w:trPr>
          <w:cantSplit/>
          <w:trHeight w:val="964"/>
        </w:trPr>
        <w:tc>
          <w:tcPr>
            <w:tcW w:w="1260" w:type="dxa"/>
            <w:shd w:val="clear" w:color="33CC33" w:fill="00FF00"/>
            <w:vAlign w:val="center"/>
          </w:tcPr>
          <w:p w14:paraId="5ECED3B5" w14:textId="77777777" w:rsidR="00000000" w:rsidRDefault="00000000">
            <w:pPr>
              <w:spacing w:before="60" w:after="60"/>
              <w:rPr>
                <w:rFonts w:eastAsia="Calibri"/>
                <w:szCs w:val="24"/>
              </w:rPr>
            </w:pPr>
          </w:p>
        </w:tc>
        <w:tc>
          <w:tcPr>
            <w:tcW w:w="7095" w:type="dxa"/>
            <w:shd w:val="clear" w:color="auto" w:fill="auto"/>
            <w:vAlign w:val="center"/>
          </w:tcPr>
          <w:p w14:paraId="3F9CBAF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ABD8B5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77E0B" w14:paraId="7366BDA8" w14:textId="77777777">
        <w:trPr>
          <w:cantSplit/>
          <w:trHeight w:val="964"/>
        </w:trPr>
        <w:tc>
          <w:tcPr>
            <w:tcW w:w="1260" w:type="dxa"/>
            <w:tcBorders>
              <w:bottom w:val="single" w:sz="4" w:space="0" w:color="000000"/>
            </w:tcBorders>
            <w:shd w:val="clear" w:color="auto" w:fill="FFFF00"/>
            <w:vAlign w:val="center"/>
          </w:tcPr>
          <w:p w14:paraId="77E96604" w14:textId="77777777" w:rsidR="00000000" w:rsidRDefault="00000000">
            <w:pPr>
              <w:spacing w:before="60" w:after="60"/>
              <w:rPr>
                <w:rFonts w:eastAsia="Calibri"/>
                <w:szCs w:val="24"/>
              </w:rPr>
            </w:pPr>
          </w:p>
        </w:tc>
        <w:tc>
          <w:tcPr>
            <w:tcW w:w="7095" w:type="dxa"/>
            <w:shd w:val="clear" w:color="auto" w:fill="auto"/>
            <w:vAlign w:val="center"/>
          </w:tcPr>
          <w:p w14:paraId="4FFB948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17EAAA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77E0B" w14:paraId="18DD9D52" w14:textId="77777777">
        <w:trPr>
          <w:cantSplit/>
          <w:trHeight w:val="964"/>
        </w:trPr>
        <w:tc>
          <w:tcPr>
            <w:tcW w:w="1260" w:type="dxa"/>
            <w:tcBorders>
              <w:bottom w:val="single" w:sz="4" w:space="0" w:color="000000"/>
            </w:tcBorders>
            <w:shd w:val="clear" w:color="auto" w:fill="FFC800"/>
            <w:vAlign w:val="center"/>
          </w:tcPr>
          <w:p w14:paraId="4786DE2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064B6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86725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77E0B" w14:paraId="282A3645" w14:textId="77777777">
        <w:trPr>
          <w:cantSplit/>
          <w:trHeight w:val="964"/>
        </w:trPr>
        <w:tc>
          <w:tcPr>
            <w:tcW w:w="1260" w:type="dxa"/>
            <w:shd w:val="clear" w:color="auto" w:fill="FF0000"/>
            <w:vAlign w:val="center"/>
          </w:tcPr>
          <w:p w14:paraId="08E9163A" w14:textId="77777777" w:rsidR="00000000" w:rsidRDefault="00000000">
            <w:pPr>
              <w:spacing w:before="60" w:after="60"/>
              <w:rPr>
                <w:rFonts w:eastAsia="Calibri"/>
                <w:szCs w:val="24"/>
              </w:rPr>
            </w:pPr>
          </w:p>
        </w:tc>
        <w:tc>
          <w:tcPr>
            <w:tcW w:w="7095" w:type="dxa"/>
            <w:shd w:val="clear" w:color="auto" w:fill="auto"/>
            <w:vAlign w:val="center"/>
          </w:tcPr>
          <w:p w14:paraId="710674D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BCC6F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670B98C" w14:textId="77777777" w:rsidR="00000000" w:rsidRDefault="00000000">
      <w:pPr>
        <w:pStyle w:val="Heading2"/>
        <w:spacing w:after="0"/>
        <w:rPr>
          <w:rFonts w:cs="Arial"/>
        </w:rPr>
      </w:pPr>
      <w:r>
        <w:rPr>
          <w:rFonts w:cs="Arial"/>
        </w:rPr>
        <w:t>General overview of the audit</w:t>
      </w:r>
    </w:p>
    <w:p w14:paraId="5D8B30CF" w14:textId="77777777" w:rsidR="00000000" w:rsidRDefault="00000000">
      <w:pPr>
        <w:spacing w:before="240" w:line="276" w:lineRule="auto"/>
        <w:rPr>
          <w:rFonts w:eastAsia="Calibri"/>
        </w:rPr>
      </w:pPr>
      <w:bookmarkStart w:id="13" w:name="GeneralOverview"/>
      <w:r w:rsidRPr="00A4268A">
        <w:rPr>
          <w:rFonts w:eastAsia="Calibri"/>
        </w:rPr>
        <w:t>Heritage Lifecare Limited – Puriri Court Lifecare (Puriri Court) provides rest home and hospital level of care for up to 71 residents. Since the previous audit, the clinical service manager has changed to the care home manager role and a new clinical service manager has been appointed.</w:t>
      </w:r>
    </w:p>
    <w:p w14:paraId="3FDC6644" w14:textId="77777777" w:rsidR="00777E0B"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managers, staff, and a general practitioner. </w:t>
      </w:r>
    </w:p>
    <w:p w14:paraId="054C1C38" w14:textId="77777777" w:rsidR="00777E0B" w:rsidRPr="00A4268A" w:rsidRDefault="00000000">
      <w:pPr>
        <w:spacing w:before="240" w:line="276" w:lineRule="auto"/>
        <w:rPr>
          <w:rFonts w:eastAsia="Calibri"/>
        </w:rPr>
      </w:pPr>
      <w:r w:rsidRPr="00A4268A">
        <w:rPr>
          <w:rFonts w:eastAsia="Calibri"/>
        </w:rPr>
        <w:t>There were no corrective actions to follow up from the previous audit. As a result of this audit, no improvements are required.</w:t>
      </w:r>
    </w:p>
    <w:bookmarkEnd w:id="13"/>
    <w:p w14:paraId="53E337D4" w14:textId="77777777" w:rsidR="00777E0B" w:rsidRPr="00A4268A" w:rsidRDefault="00777E0B">
      <w:pPr>
        <w:spacing w:before="240" w:line="276" w:lineRule="auto"/>
        <w:rPr>
          <w:rFonts w:eastAsia="Calibri"/>
        </w:rPr>
      </w:pPr>
    </w:p>
    <w:p w14:paraId="4EE1B5A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2B412F31" w14:textId="77777777" w:rsidTr="00A4268A">
        <w:trPr>
          <w:cantSplit/>
        </w:trPr>
        <w:tc>
          <w:tcPr>
            <w:tcW w:w="10206" w:type="dxa"/>
            <w:vAlign w:val="center"/>
          </w:tcPr>
          <w:p w14:paraId="4402A84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4FD7E4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BE1901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62256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EBC37AC" w14:textId="77777777" w:rsidR="00000000" w:rsidRDefault="00000000">
      <w:pPr>
        <w:spacing w:before="240" w:line="276" w:lineRule="auto"/>
        <w:rPr>
          <w:rFonts w:eastAsia="Calibri"/>
        </w:rPr>
      </w:pPr>
      <w:bookmarkStart w:id="16" w:name="ConsumerRights"/>
      <w:r w:rsidRPr="00A4268A">
        <w:rPr>
          <w:rFonts w:eastAsia="Calibri"/>
        </w:rPr>
        <w:t xml:space="preserve">Puriri Court works collaboratively to support and encourage a Māori world view of health in service delivery. Māori are provided with equitable and effective services based on Te Tiriti o Waitangi and the principles of mana motuhake. </w:t>
      </w:r>
    </w:p>
    <w:p w14:paraId="15B0CFA0" w14:textId="77777777" w:rsidR="00777E0B" w:rsidRPr="00A4268A" w:rsidRDefault="00000000">
      <w:pPr>
        <w:spacing w:before="240" w:line="276" w:lineRule="auto"/>
        <w:rPr>
          <w:rFonts w:eastAsia="Calibri"/>
        </w:rPr>
      </w:pPr>
      <w:r w:rsidRPr="00A4268A">
        <w:rPr>
          <w:rFonts w:eastAsia="Calibri"/>
        </w:rPr>
        <w:lastRenderedPageBreak/>
        <w:t xml:space="preserve">Pacific peoples, when admitted to the service, would be provided with services that recognise their worldviews and are culturally safe. </w:t>
      </w:r>
    </w:p>
    <w:p w14:paraId="3B19F6A1" w14:textId="77777777" w:rsidR="00777E0B"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6E175F98" w14:textId="77777777" w:rsidR="00777E0B"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11BB33A5" w14:textId="77777777" w:rsidR="00777E0B"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55B90A4C" w14:textId="77777777" w:rsidR="00777E0B" w:rsidRPr="00A4268A" w:rsidRDefault="00777E0B">
      <w:pPr>
        <w:spacing w:before="240" w:line="276" w:lineRule="auto"/>
        <w:rPr>
          <w:rFonts w:eastAsia="Calibri"/>
        </w:rPr>
      </w:pPr>
    </w:p>
    <w:p w14:paraId="36CCD8C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6D7320BE" w14:textId="77777777" w:rsidTr="00A4268A">
        <w:trPr>
          <w:cantSplit/>
        </w:trPr>
        <w:tc>
          <w:tcPr>
            <w:tcW w:w="10206" w:type="dxa"/>
            <w:vAlign w:val="center"/>
          </w:tcPr>
          <w:p w14:paraId="6BA53B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FA14E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1008EC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4BC03CB"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6BEA7CCD" w14:textId="77777777" w:rsidR="00777E0B"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DC2C0A2" w14:textId="77777777" w:rsidR="00777E0B"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364B994" w14:textId="77777777" w:rsidR="00777E0B"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5A303B7B" w14:textId="77777777" w:rsidR="00777E0B"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766B9ED" w14:textId="77777777" w:rsidR="00777E0B"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0AF75D37" w14:textId="77777777" w:rsidR="00777E0B"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4EBFCF96" w14:textId="77777777" w:rsidR="00777E0B" w:rsidRPr="00A4268A" w:rsidRDefault="00777E0B">
      <w:pPr>
        <w:spacing w:before="240" w:line="276" w:lineRule="auto"/>
        <w:rPr>
          <w:rFonts w:eastAsia="Calibri"/>
        </w:rPr>
      </w:pPr>
    </w:p>
    <w:p w14:paraId="2F8B87B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42F53303" w14:textId="77777777" w:rsidTr="00A4268A">
        <w:trPr>
          <w:cantSplit/>
        </w:trPr>
        <w:tc>
          <w:tcPr>
            <w:tcW w:w="10206" w:type="dxa"/>
            <w:vAlign w:val="center"/>
          </w:tcPr>
          <w:p w14:paraId="16E1F8E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16A11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D2DD94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3B2D91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F3F7A36" w14:textId="77777777" w:rsidR="00777E0B"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1403333" w14:textId="77777777" w:rsidR="00777E0B"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66F8ED3D" w14:textId="77777777" w:rsidR="00777E0B"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76B22276" w14:textId="77777777" w:rsidR="00777E0B" w:rsidRPr="00A4268A" w:rsidRDefault="00777E0B" w:rsidP="00621629">
      <w:pPr>
        <w:spacing w:before="240" w:line="276" w:lineRule="auto"/>
        <w:rPr>
          <w:rFonts w:eastAsia="Calibri"/>
        </w:rPr>
      </w:pPr>
    </w:p>
    <w:p w14:paraId="2AE0F8E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73898CE4" w14:textId="77777777" w:rsidTr="00A4268A">
        <w:trPr>
          <w:cantSplit/>
        </w:trPr>
        <w:tc>
          <w:tcPr>
            <w:tcW w:w="10206" w:type="dxa"/>
            <w:vAlign w:val="center"/>
          </w:tcPr>
          <w:p w14:paraId="13B8E5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73E7D7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61370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EEEF63E"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evaluated as required.</w:t>
      </w:r>
    </w:p>
    <w:bookmarkEnd w:id="25"/>
    <w:p w14:paraId="3069ACA0" w14:textId="77777777" w:rsidR="00777E0B" w:rsidRPr="00A4268A" w:rsidRDefault="00777E0B">
      <w:pPr>
        <w:spacing w:before="240" w:line="276" w:lineRule="auto"/>
        <w:rPr>
          <w:rFonts w:eastAsia="Calibri"/>
        </w:rPr>
      </w:pPr>
    </w:p>
    <w:p w14:paraId="6110329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6AE82FB4" w14:textId="77777777" w:rsidTr="00A4268A">
        <w:trPr>
          <w:cantSplit/>
        </w:trPr>
        <w:tc>
          <w:tcPr>
            <w:tcW w:w="10206" w:type="dxa"/>
            <w:vAlign w:val="center"/>
          </w:tcPr>
          <w:p w14:paraId="4571BB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7238BA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9B1F3F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87AED5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4EF04AF8" w14:textId="77777777" w:rsidR="00777E0B"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378EB8D" w14:textId="77777777" w:rsidR="00777E0B" w:rsidRPr="00A4268A" w:rsidRDefault="00000000">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00F169CD" w14:textId="77777777" w:rsidR="00777E0B" w:rsidRPr="00A4268A" w:rsidRDefault="00777E0B">
      <w:pPr>
        <w:spacing w:before="240" w:line="276" w:lineRule="auto"/>
        <w:rPr>
          <w:rFonts w:eastAsia="Calibri"/>
        </w:rPr>
      </w:pPr>
    </w:p>
    <w:p w14:paraId="48748E6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E0B" w14:paraId="146918D0" w14:textId="77777777" w:rsidTr="00A4268A">
        <w:trPr>
          <w:cantSplit/>
        </w:trPr>
        <w:tc>
          <w:tcPr>
            <w:tcW w:w="10206" w:type="dxa"/>
            <w:vAlign w:val="center"/>
          </w:tcPr>
          <w:p w14:paraId="3A87D0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50BDD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900DA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EE9A62D"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0498D22F" w14:textId="77777777" w:rsidR="00777E0B"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75C413A3" w14:textId="77777777" w:rsidR="00777E0B" w:rsidRPr="00A4268A" w:rsidRDefault="00777E0B">
      <w:pPr>
        <w:spacing w:before="240" w:line="276" w:lineRule="auto"/>
        <w:rPr>
          <w:rFonts w:eastAsia="Calibri"/>
        </w:rPr>
      </w:pPr>
    </w:p>
    <w:p w14:paraId="7E3247C0" w14:textId="77777777" w:rsidR="00000000" w:rsidRDefault="00000000" w:rsidP="000E6E02">
      <w:pPr>
        <w:pStyle w:val="Heading2"/>
        <w:spacing w:before="0"/>
        <w:rPr>
          <w:rFonts w:cs="Arial"/>
        </w:rPr>
      </w:pPr>
      <w:r>
        <w:rPr>
          <w:rFonts w:cs="Arial"/>
        </w:rPr>
        <w:lastRenderedPageBreak/>
        <w:t>Summary of attainment</w:t>
      </w:r>
    </w:p>
    <w:p w14:paraId="69F7948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7E0B" w14:paraId="095A607D" w14:textId="77777777">
        <w:tc>
          <w:tcPr>
            <w:tcW w:w="1384" w:type="dxa"/>
            <w:vAlign w:val="center"/>
          </w:tcPr>
          <w:p w14:paraId="5A0AAC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7C3B13" w14:textId="77777777" w:rsidR="00000000" w:rsidRDefault="00000000">
            <w:pPr>
              <w:keepNext/>
              <w:spacing w:before="60" w:after="60"/>
              <w:jc w:val="center"/>
              <w:rPr>
                <w:rFonts w:cs="Arial"/>
                <w:b/>
                <w:sz w:val="20"/>
                <w:szCs w:val="20"/>
              </w:rPr>
            </w:pPr>
            <w:r>
              <w:rPr>
                <w:rFonts w:cs="Arial"/>
                <w:b/>
                <w:sz w:val="20"/>
                <w:szCs w:val="20"/>
              </w:rPr>
              <w:t>Continuous Improvement</w:t>
            </w:r>
          </w:p>
          <w:p w14:paraId="46F323F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8B883D0" w14:textId="77777777" w:rsidR="00000000" w:rsidRDefault="00000000">
            <w:pPr>
              <w:keepNext/>
              <w:spacing w:before="60" w:after="60"/>
              <w:jc w:val="center"/>
              <w:rPr>
                <w:rFonts w:cs="Arial"/>
                <w:b/>
                <w:sz w:val="20"/>
                <w:szCs w:val="20"/>
              </w:rPr>
            </w:pPr>
            <w:r>
              <w:rPr>
                <w:rFonts w:cs="Arial"/>
                <w:b/>
                <w:sz w:val="20"/>
                <w:szCs w:val="20"/>
              </w:rPr>
              <w:t>Fully Attained</w:t>
            </w:r>
          </w:p>
          <w:p w14:paraId="59A5B9C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5D4BA7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D0269C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09FFAF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46C88A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2C2AF0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1C27DC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D5F54D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D4796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E73DB2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DAA4D09" w14:textId="77777777" w:rsidR="00000000" w:rsidRDefault="00000000">
            <w:pPr>
              <w:keepNext/>
              <w:spacing w:before="60" w:after="60"/>
              <w:jc w:val="center"/>
              <w:rPr>
                <w:rFonts w:cs="Arial"/>
                <w:b/>
                <w:sz w:val="20"/>
                <w:szCs w:val="20"/>
              </w:rPr>
            </w:pPr>
            <w:r>
              <w:rPr>
                <w:rFonts w:cs="Arial"/>
                <w:b/>
                <w:sz w:val="20"/>
                <w:szCs w:val="20"/>
              </w:rPr>
              <w:t>(PA Critical)</w:t>
            </w:r>
          </w:p>
        </w:tc>
      </w:tr>
      <w:tr w:rsidR="00777E0B" w14:paraId="08D141A6" w14:textId="77777777">
        <w:tc>
          <w:tcPr>
            <w:tcW w:w="1384" w:type="dxa"/>
            <w:vAlign w:val="center"/>
          </w:tcPr>
          <w:p w14:paraId="6B34459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5EBC2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65C9D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BFC04A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4A8D0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D11F78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552AF2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016E16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7E0B" w14:paraId="4552A187" w14:textId="77777777">
        <w:tc>
          <w:tcPr>
            <w:tcW w:w="1384" w:type="dxa"/>
            <w:vAlign w:val="center"/>
          </w:tcPr>
          <w:p w14:paraId="5ED0370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4DADD3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B66B73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E909B0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C97CBF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678583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DDD4A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634093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E0B9F5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7E0B" w14:paraId="507BAAC2" w14:textId="77777777">
        <w:tc>
          <w:tcPr>
            <w:tcW w:w="1384" w:type="dxa"/>
            <w:vAlign w:val="center"/>
          </w:tcPr>
          <w:p w14:paraId="6EEDC57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BE65A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D4E099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D2A47F" w14:textId="77777777" w:rsidR="00000000" w:rsidRDefault="00000000">
            <w:pPr>
              <w:keepNext/>
              <w:spacing w:before="60" w:after="60"/>
              <w:jc w:val="center"/>
              <w:rPr>
                <w:rFonts w:cs="Arial"/>
                <w:b/>
                <w:sz w:val="20"/>
                <w:szCs w:val="20"/>
              </w:rPr>
            </w:pPr>
            <w:r>
              <w:rPr>
                <w:rFonts w:cs="Arial"/>
                <w:b/>
                <w:sz w:val="20"/>
                <w:szCs w:val="20"/>
              </w:rPr>
              <w:t>Unattained Low Risk</w:t>
            </w:r>
          </w:p>
          <w:p w14:paraId="3CFD704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1C95352" w14:textId="77777777" w:rsidR="00000000" w:rsidRDefault="00000000">
            <w:pPr>
              <w:keepNext/>
              <w:spacing w:before="60" w:after="60"/>
              <w:jc w:val="center"/>
              <w:rPr>
                <w:rFonts w:cs="Arial"/>
                <w:b/>
                <w:sz w:val="20"/>
                <w:szCs w:val="20"/>
              </w:rPr>
            </w:pPr>
            <w:r>
              <w:rPr>
                <w:rFonts w:cs="Arial"/>
                <w:b/>
                <w:sz w:val="20"/>
                <w:szCs w:val="20"/>
              </w:rPr>
              <w:t>Unattained Moderate Risk</w:t>
            </w:r>
          </w:p>
          <w:p w14:paraId="038E507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5B20A14" w14:textId="77777777" w:rsidR="00000000" w:rsidRDefault="00000000">
            <w:pPr>
              <w:keepNext/>
              <w:spacing w:before="60" w:after="60"/>
              <w:jc w:val="center"/>
              <w:rPr>
                <w:rFonts w:cs="Arial"/>
                <w:b/>
                <w:sz w:val="20"/>
                <w:szCs w:val="20"/>
              </w:rPr>
            </w:pPr>
            <w:r>
              <w:rPr>
                <w:rFonts w:cs="Arial"/>
                <w:b/>
                <w:sz w:val="20"/>
                <w:szCs w:val="20"/>
              </w:rPr>
              <w:t>Unattained High Risk</w:t>
            </w:r>
          </w:p>
          <w:p w14:paraId="1A3945C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35E890" w14:textId="77777777" w:rsidR="00000000" w:rsidRDefault="00000000">
            <w:pPr>
              <w:keepNext/>
              <w:spacing w:before="60" w:after="60"/>
              <w:jc w:val="center"/>
              <w:rPr>
                <w:rFonts w:cs="Arial"/>
                <w:b/>
                <w:sz w:val="20"/>
                <w:szCs w:val="20"/>
              </w:rPr>
            </w:pPr>
            <w:r>
              <w:rPr>
                <w:rFonts w:cs="Arial"/>
                <w:b/>
                <w:sz w:val="20"/>
                <w:szCs w:val="20"/>
              </w:rPr>
              <w:t>Unattained Critical Risk</w:t>
            </w:r>
          </w:p>
          <w:p w14:paraId="0927A1ED" w14:textId="77777777" w:rsidR="00000000" w:rsidRDefault="00000000">
            <w:pPr>
              <w:keepNext/>
              <w:spacing w:before="60" w:after="60"/>
              <w:jc w:val="center"/>
              <w:rPr>
                <w:rFonts w:cs="Arial"/>
                <w:b/>
                <w:sz w:val="20"/>
                <w:szCs w:val="20"/>
              </w:rPr>
            </w:pPr>
            <w:r>
              <w:rPr>
                <w:rFonts w:cs="Arial"/>
                <w:b/>
                <w:sz w:val="20"/>
                <w:szCs w:val="20"/>
              </w:rPr>
              <w:t>(UA Critical)</w:t>
            </w:r>
          </w:p>
        </w:tc>
      </w:tr>
      <w:tr w:rsidR="00777E0B" w14:paraId="0C49DD8B" w14:textId="77777777">
        <w:tc>
          <w:tcPr>
            <w:tcW w:w="1384" w:type="dxa"/>
            <w:vAlign w:val="center"/>
          </w:tcPr>
          <w:p w14:paraId="3352AE0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5EAAB9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C68FE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8BAA5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B13D85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5FC65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7E0B" w14:paraId="6F3B0906" w14:textId="77777777">
        <w:tc>
          <w:tcPr>
            <w:tcW w:w="1384" w:type="dxa"/>
            <w:vAlign w:val="center"/>
          </w:tcPr>
          <w:p w14:paraId="08C4C55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FD4262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C9585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F4E493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95A728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DE898C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D6247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042AC4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8D6C8C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2E03BC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1378"/>
        <w:gridCol w:w="6822"/>
      </w:tblGrid>
      <w:tr w:rsidR="00777E0B" w14:paraId="255795AD" w14:textId="77777777">
        <w:tc>
          <w:tcPr>
            <w:tcW w:w="0" w:type="auto"/>
          </w:tcPr>
          <w:p w14:paraId="0F6111F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9FAE2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D819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77E0B" w14:paraId="4AFA410C" w14:textId="77777777">
        <w:tc>
          <w:tcPr>
            <w:tcW w:w="0" w:type="auto"/>
          </w:tcPr>
          <w:p w14:paraId="2C15D4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C891D9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340EBF2" w14:textId="77777777" w:rsidR="00000000" w:rsidRPr="00BE00C7" w:rsidRDefault="00000000" w:rsidP="00BE00C7">
            <w:pPr>
              <w:pStyle w:val="OutcomeDescription"/>
              <w:spacing w:before="120" w:after="120"/>
              <w:rPr>
                <w:rFonts w:cs="Arial"/>
                <w:lang w:eastAsia="en-NZ"/>
              </w:rPr>
            </w:pPr>
          </w:p>
        </w:tc>
        <w:tc>
          <w:tcPr>
            <w:tcW w:w="0" w:type="auto"/>
          </w:tcPr>
          <w:p w14:paraId="3CA85E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7BE4B" w14:textId="77777777" w:rsidR="00000000" w:rsidRPr="00BE00C7" w:rsidRDefault="00000000" w:rsidP="00BE00C7">
            <w:pPr>
              <w:pStyle w:val="OutcomeDescription"/>
              <w:spacing w:before="120" w:after="120"/>
              <w:rPr>
                <w:rFonts w:cs="Arial"/>
                <w:lang w:eastAsia="en-NZ"/>
              </w:rPr>
            </w:pPr>
            <w:r w:rsidRPr="00BE00C7">
              <w:rPr>
                <w:rFonts w:cs="Arial"/>
                <w:lang w:eastAsia="en-NZ"/>
              </w:rPr>
              <w:t>Puriri Court has developed policies, procedures, and processes to embed and enact Te Tiriti o Waitangi in all aspects of its work. Mana motuhake is respected. Partnerships have been established with a local Māori trust to support service integration, planning, equity approaches, and support for Māori. A Māori health advisor from this trust is available to provide support and guidance for staff. A marae visit was facilitated early in 2025, which was appreciated by the staff who attended. Cultural training has been provided to all staff and management. There were Māori residents at the time of audit, and those interviewed felt culturally safe.</w:t>
            </w:r>
          </w:p>
          <w:p w14:paraId="4F8C0DCD" w14:textId="77777777" w:rsidR="00000000" w:rsidRPr="00BE00C7" w:rsidRDefault="00000000" w:rsidP="00BE00C7">
            <w:pPr>
              <w:pStyle w:val="OutcomeDescription"/>
              <w:spacing w:before="120" w:after="120"/>
              <w:rPr>
                <w:rFonts w:cs="Arial"/>
                <w:lang w:eastAsia="en-NZ"/>
              </w:rPr>
            </w:pPr>
          </w:p>
        </w:tc>
      </w:tr>
      <w:tr w:rsidR="00777E0B" w14:paraId="0A528082" w14:textId="77777777">
        <w:tc>
          <w:tcPr>
            <w:tcW w:w="0" w:type="auto"/>
          </w:tcPr>
          <w:p w14:paraId="7D9E3F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F513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w:t>
            </w:r>
            <w:r w:rsidRPr="00BE00C7">
              <w:rPr>
                <w:rFonts w:cs="Arial"/>
                <w:lang w:eastAsia="en-NZ"/>
              </w:rPr>
              <w:lastRenderedPageBreak/>
              <w:t>health outcomes.</w:t>
            </w:r>
          </w:p>
          <w:p w14:paraId="67004862" w14:textId="77777777" w:rsidR="00000000" w:rsidRPr="00BE00C7" w:rsidRDefault="00000000" w:rsidP="00BE00C7">
            <w:pPr>
              <w:pStyle w:val="OutcomeDescription"/>
              <w:spacing w:before="120" w:after="120"/>
              <w:rPr>
                <w:rFonts w:cs="Arial"/>
                <w:lang w:eastAsia="en-NZ"/>
              </w:rPr>
            </w:pPr>
          </w:p>
        </w:tc>
        <w:tc>
          <w:tcPr>
            <w:tcW w:w="0" w:type="auto"/>
          </w:tcPr>
          <w:p w14:paraId="10E5B9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089FE2" w14:textId="77777777" w:rsidR="00000000" w:rsidRPr="00BE00C7" w:rsidRDefault="00000000" w:rsidP="00BE00C7">
            <w:pPr>
              <w:pStyle w:val="OutcomeDescription"/>
              <w:spacing w:before="120" w:after="120"/>
              <w:rPr>
                <w:rFonts w:cs="Arial"/>
                <w:lang w:eastAsia="en-NZ"/>
              </w:rPr>
            </w:pPr>
            <w:r w:rsidRPr="00BE00C7">
              <w:rPr>
                <w:rFonts w:cs="Arial"/>
                <w:lang w:eastAsia="en-NZ"/>
              </w:rPr>
              <w:t>Puriri Court had documented policies, procedures and operational plans that included the organisation’s approach to Pacific peoples and their models of care. The service has established links with Pacific communities. There were no residents who identified as Pacific people at the time of the audit. A staff member was available to provide advice if needed, to ensure cultural and spiritual beliefs were embraced.</w:t>
            </w:r>
          </w:p>
          <w:p w14:paraId="5DEA8DE5" w14:textId="77777777" w:rsidR="00000000" w:rsidRPr="00BE00C7" w:rsidRDefault="00000000" w:rsidP="00BE00C7">
            <w:pPr>
              <w:pStyle w:val="OutcomeDescription"/>
              <w:spacing w:before="120" w:after="120"/>
              <w:rPr>
                <w:rFonts w:cs="Arial"/>
                <w:lang w:eastAsia="en-NZ"/>
              </w:rPr>
            </w:pPr>
          </w:p>
        </w:tc>
      </w:tr>
      <w:tr w:rsidR="00777E0B" w14:paraId="58EF88A1" w14:textId="77777777">
        <w:tc>
          <w:tcPr>
            <w:tcW w:w="0" w:type="auto"/>
          </w:tcPr>
          <w:p w14:paraId="1A18A7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EDC2D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FCE7CCF" w14:textId="77777777" w:rsidR="00000000" w:rsidRPr="00BE00C7" w:rsidRDefault="00000000" w:rsidP="00BE00C7">
            <w:pPr>
              <w:pStyle w:val="OutcomeDescription"/>
              <w:spacing w:before="120" w:after="120"/>
              <w:rPr>
                <w:rFonts w:cs="Arial"/>
                <w:lang w:eastAsia="en-NZ"/>
              </w:rPr>
            </w:pPr>
          </w:p>
        </w:tc>
        <w:tc>
          <w:tcPr>
            <w:tcW w:w="0" w:type="auto"/>
          </w:tcPr>
          <w:p w14:paraId="4F96E1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3C0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present around the facility on notice boards.</w:t>
            </w:r>
          </w:p>
          <w:p w14:paraId="2A1A87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56D588D7" w14:textId="77777777" w:rsidR="00000000" w:rsidRPr="00BE00C7" w:rsidRDefault="00000000" w:rsidP="00BE00C7">
            <w:pPr>
              <w:pStyle w:val="OutcomeDescription"/>
              <w:spacing w:before="120" w:after="120"/>
              <w:rPr>
                <w:rFonts w:cs="Arial"/>
                <w:lang w:eastAsia="en-NZ"/>
              </w:rPr>
            </w:pPr>
          </w:p>
        </w:tc>
      </w:tr>
      <w:tr w:rsidR="00777E0B" w14:paraId="0E32D8E7" w14:textId="77777777">
        <w:tc>
          <w:tcPr>
            <w:tcW w:w="0" w:type="auto"/>
          </w:tcPr>
          <w:p w14:paraId="785971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A5A08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031526" w14:textId="77777777" w:rsidR="00000000" w:rsidRPr="00BE00C7" w:rsidRDefault="00000000" w:rsidP="00BE00C7">
            <w:pPr>
              <w:pStyle w:val="OutcomeDescription"/>
              <w:spacing w:before="120" w:after="120"/>
              <w:rPr>
                <w:rFonts w:cs="Arial"/>
                <w:lang w:eastAsia="en-NZ"/>
              </w:rPr>
            </w:pPr>
          </w:p>
        </w:tc>
        <w:tc>
          <w:tcPr>
            <w:tcW w:w="0" w:type="auto"/>
          </w:tcPr>
          <w:p w14:paraId="104EFF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AB359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receive services free of discrimination, coercion, harassment, exploitation, and abuse and neglect, supported by policies and staff education. There were no examples identified during the audit through staff, resident or whānau interviews, or in documentation reviewed. Residents and whanau stated that staff behaved in a professional manner.</w:t>
            </w:r>
          </w:p>
          <w:p w14:paraId="6033FF5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Residents' clothes are labelled on admission to the service. A ‘comfort account’ is utilised to safely store residents’ money.</w:t>
            </w:r>
          </w:p>
          <w:p w14:paraId="45D8188E" w14:textId="77777777" w:rsidR="00000000" w:rsidRPr="00BE00C7" w:rsidRDefault="00000000" w:rsidP="00BE00C7">
            <w:pPr>
              <w:pStyle w:val="OutcomeDescription"/>
              <w:spacing w:before="120" w:after="120"/>
              <w:rPr>
                <w:rFonts w:cs="Arial"/>
                <w:lang w:eastAsia="en-NZ"/>
              </w:rPr>
            </w:pPr>
          </w:p>
        </w:tc>
      </w:tr>
      <w:tr w:rsidR="00777E0B" w14:paraId="62D43163" w14:textId="77777777">
        <w:tc>
          <w:tcPr>
            <w:tcW w:w="0" w:type="auto"/>
          </w:tcPr>
          <w:p w14:paraId="4FB7DD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BACD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10C97150" w14:textId="77777777" w:rsidR="00000000" w:rsidRPr="00BE00C7" w:rsidRDefault="00000000" w:rsidP="00BE00C7">
            <w:pPr>
              <w:pStyle w:val="OutcomeDescription"/>
              <w:spacing w:before="120" w:after="120"/>
              <w:rPr>
                <w:rFonts w:cs="Arial"/>
                <w:lang w:eastAsia="en-NZ"/>
              </w:rPr>
            </w:pPr>
          </w:p>
        </w:tc>
        <w:tc>
          <w:tcPr>
            <w:tcW w:w="0" w:type="auto"/>
          </w:tcPr>
          <w:p w14:paraId="1B0CC8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65769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Signed admission agreements and informed consent forms were available in residents’ files.</w:t>
            </w:r>
          </w:p>
          <w:p w14:paraId="538292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5346EBE2" w14:textId="77777777" w:rsidR="00000000" w:rsidRPr="00BE00C7" w:rsidRDefault="00000000" w:rsidP="00BE00C7">
            <w:pPr>
              <w:pStyle w:val="OutcomeDescription"/>
              <w:spacing w:before="120" w:after="120"/>
              <w:rPr>
                <w:rFonts w:cs="Arial"/>
                <w:lang w:eastAsia="en-NZ"/>
              </w:rPr>
            </w:pPr>
          </w:p>
        </w:tc>
      </w:tr>
      <w:tr w:rsidR="00777E0B" w14:paraId="3AB6E95B" w14:textId="77777777">
        <w:tc>
          <w:tcPr>
            <w:tcW w:w="0" w:type="auto"/>
          </w:tcPr>
          <w:p w14:paraId="01779F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53180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1B8DE3" w14:textId="77777777" w:rsidR="00000000" w:rsidRPr="00BE00C7" w:rsidRDefault="00000000" w:rsidP="00BE00C7">
            <w:pPr>
              <w:pStyle w:val="OutcomeDescription"/>
              <w:spacing w:before="120" w:after="120"/>
              <w:rPr>
                <w:rFonts w:cs="Arial"/>
                <w:lang w:eastAsia="en-NZ"/>
              </w:rPr>
            </w:pPr>
          </w:p>
        </w:tc>
        <w:tc>
          <w:tcPr>
            <w:tcW w:w="0" w:type="auto"/>
          </w:tcPr>
          <w:p w14:paraId="371F05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163C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C145593"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five written complaints have been received, and these were followed through in the complaints register reviewed. Documentation sighted showed that complainants had been informed of findings following investigation.</w:t>
            </w:r>
          </w:p>
          <w:p w14:paraId="7323C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complaints process is translated into te reo Māori. The Māori health advisor was available if needed. </w:t>
            </w:r>
          </w:p>
          <w:p w14:paraId="3FCB2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the Health and Disability Commissioner’s (HDC) office or any other external agency since the previous audit. </w:t>
            </w:r>
          </w:p>
          <w:p w14:paraId="6E9A90EE" w14:textId="77777777" w:rsidR="00000000" w:rsidRPr="00BE00C7" w:rsidRDefault="00000000" w:rsidP="00BE00C7">
            <w:pPr>
              <w:pStyle w:val="OutcomeDescription"/>
              <w:spacing w:before="120" w:after="120"/>
              <w:rPr>
                <w:rFonts w:cs="Arial"/>
                <w:lang w:eastAsia="en-NZ"/>
              </w:rPr>
            </w:pPr>
          </w:p>
        </w:tc>
      </w:tr>
      <w:tr w:rsidR="00777E0B" w14:paraId="5B25CB80" w14:textId="77777777">
        <w:tc>
          <w:tcPr>
            <w:tcW w:w="0" w:type="auto"/>
          </w:tcPr>
          <w:p w14:paraId="16231B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BDB51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D69216" w14:textId="77777777" w:rsidR="00000000" w:rsidRPr="00BE00C7" w:rsidRDefault="00000000" w:rsidP="00BE00C7">
            <w:pPr>
              <w:pStyle w:val="OutcomeDescription"/>
              <w:spacing w:before="120" w:after="120"/>
              <w:rPr>
                <w:rFonts w:cs="Arial"/>
                <w:lang w:eastAsia="en-NZ"/>
              </w:rPr>
            </w:pPr>
          </w:p>
        </w:tc>
        <w:tc>
          <w:tcPr>
            <w:tcW w:w="0" w:type="auto"/>
          </w:tcPr>
          <w:p w14:paraId="4DAF03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1C7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Heritage Lifecare Limited (HLL),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35F43F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2025–2026 business plan for Puriri Court. Objectives for the service are clearly documented and are reviewed regularly. A commitment to the quality and risk management system was evident. Members of the governance group interviewed felt well informed on progress and risks. This was confirmed in a sample of reports sent monthly by the care home manager to the </w:t>
            </w:r>
            <w:r w:rsidRPr="00BE00C7">
              <w:rPr>
                <w:rFonts w:cs="Arial"/>
                <w:lang w:eastAsia="en-NZ"/>
              </w:rPr>
              <w:lastRenderedPageBreak/>
              <w:t>regional business manager, who reports onward to the board.</w:t>
            </w:r>
          </w:p>
          <w:p w14:paraId="76282A1C"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 interviewed stated that the newly appointed clinical services manager and the care home manager worked collaboratively together, and expressed satisfaction with the care and services provided to their relatives.</w:t>
            </w:r>
          </w:p>
          <w:p w14:paraId="7DE47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The clinical service manager reports to the regional clinical quality and compliance manager monthly. A clinical weekend handover report, which covers any acute incidents, transfers to hospital, any complaints received, medication not being available, staffing notes, and any other follow-up actions is handed over to the CHM every Monday. </w:t>
            </w:r>
          </w:p>
          <w:p w14:paraId="41C42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providing age-related residential care (ARRC) rest home, hospital, and respite level care. There is also a contract for long-term support chronic health conditions (LTSCHC) for people under 65 years of age. The service has a total of 71 beds; 15 of these are dual-purpose beds. On the day of the audit, 69 beds were occupied, with 52 residents receiving hospital services, 13 rest home level of care, two respite care – rest home level care, and two LTSCHC-hospital level care.</w:t>
            </w:r>
          </w:p>
          <w:p w14:paraId="1D3A2839" w14:textId="77777777" w:rsidR="00000000" w:rsidRPr="00BE00C7" w:rsidRDefault="00000000" w:rsidP="00BE00C7">
            <w:pPr>
              <w:pStyle w:val="OutcomeDescription"/>
              <w:spacing w:before="120" w:after="120"/>
              <w:rPr>
                <w:rFonts w:cs="Arial"/>
                <w:lang w:eastAsia="en-NZ"/>
              </w:rPr>
            </w:pPr>
          </w:p>
        </w:tc>
      </w:tr>
      <w:tr w:rsidR="00777E0B" w14:paraId="49A35F44" w14:textId="77777777">
        <w:tc>
          <w:tcPr>
            <w:tcW w:w="0" w:type="auto"/>
          </w:tcPr>
          <w:p w14:paraId="53FCE1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76639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A610EB" w14:textId="77777777" w:rsidR="00000000" w:rsidRPr="00BE00C7" w:rsidRDefault="00000000" w:rsidP="00BE00C7">
            <w:pPr>
              <w:pStyle w:val="OutcomeDescription"/>
              <w:spacing w:before="120" w:after="120"/>
              <w:rPr>
                <w:rFonts w:cs="Arial"/>
                <w:lang w:eastAsia="en-NZ"/>
              </w:rPr>
            </w:pPr>
          </w:p>
        </w:tc>
        <w:tc>
          <w:tcPr>
            <w:tcW w:w="0" w:type="auto"/>
          </w:tcPr>
          <w:p w14:paraId="58E3BF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2D8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 and complaints, internal and external audit activities, a regular patient satisfaction survey, monitoring of outcomes, policies and procedures, clinical incidents including infections, and restraint elimination. The clinical service manager (CSM) is responsible for the implementation of the quality and risk system with input from the registered nurses (RNs). The CSM reports to the CHM monthly, who reports on to the regional business manager.</w:t>
            </w:r>
          </w:p>
          <w:p w14:paraId="50B5DD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range of internal audits planned and undertaken in 2025 as per the audit calendar reviewed. Results are collated monthly and relative corrective action plans to address any shortfalls are developed as needed, addressed, and signed and dated on completion. The service prioritises </w:t>
            </w:r>
            <w:r w:rsidRPr="00BE00C7">
              <w:rPr>
                <w:rFonts w:cs="Arial"/>
                <w:lang w:eastAsia="en-NZ"/>
              </w:rPr>
              <w:lastRenderedPageBreak/>
              <w:t xml:space="preserve">any findings or outcomes related to key aspects of servicer delivery, and resident and staff safety. The staff are informed of any results at the staff/quality meetings held monthly, and minutes of the meeting were sighted. Additional meetings for RNs, and monthly resident meetings, are also held. </w:t>
            </w:r>
          </w:p>
          <w:p w14:paraId="6C0AE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91ECB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processes for the identification, documentation, monitoring, review, and reporting of risks, including health and safety risks, and the development of mitigation strategies. </w:t>
            </w:r>
          </w:p>
          <w:p w14:paraId="2D76B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that these were fully completed, incidents were investigated, action plans developed, and actions followed up in a timely manner. </w:t>
            </w:r>
          </w:p>
          <w:p w14:paraId="3E6BA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CSM and the CHM understood and had complied with essential notification reporting requirements. One coroner’s case had been closed out since the previous audit. Two senior staff management roles changed and HealthCERT was notified. The CSM changed to the CHM role and an RN was appointed as the CSM. Two additional notifications were made to HealthCERT one regarding a pressure injury notification, and another was for a patient assaulting a staff member. No adverse events to the Health Quality &amp; Safety Commission (HQSC) were required since the last audit.</w:t>
            </w:r>
          </w:p>
          <w:p w14:paraId="41F40652" w14:textId="77777777" w:rsidR="00000000" w:rsidRPr="00BE00C7" w:rsidRDefault="00000000" w:rsidP="00BE00C7">
            <w:pPr>
              <w:pStyle w:val="OutcomeDescription"/>
              <w:spacing w:before="120" w:after="120"/>
              <w:rPr>
                <w:rFonts w:cs="Arial"/>
                <w:lang w:eastAsia="en-NZ"/>
              </w:rPr>
            </w:pPr>
          </w:p>
        </w:tc>
      </w:tr>
      <w:tr w:rsidR="00777E0B" w14:paraId="3E701160" w14:textId="77777777">
        <w:tc>
          <w:tcPr>
            <w:tcW w:w="0" w:type="auto"/>
          </w:tcPr>
          <w:p w14:paraId="1B8A87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C81C9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17A0A7" w14:textId="77777777" w:rsidR="00000000" w:rsidRPr="00BE00C7" w:rsidRDefault="00000000" w:rsidP="00BE00C7">
            <w:pPr>
              <w:pStyle w:val="OutcomeDescription"/>
              <w:spacing w:before="120" w:after="120"/>
              <w:rPr>
                <w:rFonts w:cs="Arial"/>
                <w:lang w:eastAsia="en-NZ"/>
              </w:rPr>
            </w:pPr>
          </w:p>
        </w:tc>
        <w:tc>
          <w:tcPr>
            <w:tcW w:w="0" w:type="auto"/>
          </w:tcPr>
          <w:p w14:paraId="477AD7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A25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Residents and whānau interviewed supported this. At least one staff member on duty has a current first aid certificate, and there was RN coverage on all shifts. Staff were replaced for planned and unplanned leave.</w:t>
            </w:r>
          </w:p>
          <w:p w14:paraId="447E6D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cleaners, and two laundry staff allocated each day. A chef </w:t>
            </w:r>
            <w:r w:rsidRPr="00BE00C7">
              <w:rPr>
                <w:rFonts w:cs="Arial"/>
                <w:lang w:eastAsia="en-NZ"/>
              </w:rPr>
              <w:lastRenderedPageBreak/>
              <w:t>and two kitchen hands cover the kitchen service. Two activities staff cover the activities programme six days a week.</w:t>
            </w:r>
          </w:p>
          <w:p w14:paraId="412B7E9E"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complete administrative duties and to work on interRAI assessments, interRAI re-assessments, and updating the residents’ care plans as needed.</w:t>
            </w:r>
          </w:p>
          <w:p w14:paraId="3CA551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D432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mandatory training requirements. Related competencies are assessed and support equitable service delivery. Records reviewed demonstrated completion of the required training and competency assessments. Staff felt well supported with development opportunities. </w:t>
            </w:r>
          </w:p>
          <w:p w14:paraId="0434DFF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There are 36 caregivers employed at this facility. Currently 19 have completed Level 4, eight Level 3, one caregiver Level 2, and eight staff are yet to be enrolled. The RNs have a wider list of training completed to enhance their clinical skills, including palliative care, wound care management, open communication, informed consent, privacy, and other topics. All staff have completed appropriate competencies such as cultural safety, restraint elimination, and infection prevention.</w:t>
            </w:r>
          </w:p>
          <w:p w14:paraId="7B81D25C" w14:textId="77777777" w:rsidR="00000000" w:rsidRPr="00BE00C7" w:rsidRDefault="00000000" w:rsidP="00BE00C7">
            <w:pPr>
              <w:pStyle w:val="OutcomeDescription"/>
              <w:spacing w:before="120" w:after="120"/>
              <w:rPr>
                <w:rFonts w:cs="Arial"/>
                <w:lang w:eastAsia="en-NZ"/>
              </w:rPr>
            </w:pPr>
          </w:p>
        </w:tc>
      </w:tr>
      <w:tr w:rsidR="00777E0B" w14:paraId="6C869246" w14:textId="77777777">
        <w:tc>
          <w:tcPr>
            <w:tcW w:w="0" w:type="auto"/>
          </w:tcPr>
          <w:p w14:paraId="6C5776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738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55E7A188" w14:textId="77777777" w:rsidR="00000000" w:rsidRPr="00BE00C7" w:rsidRDefault="00000000" w:rsidP="00BE00C7">
            <w:pPr>
              <w:pStyle w:val="OutcomeDescription"/>
              <w:spacing w:before="120" w:after="120"/>
              <w:rPr>
                <w:rFonts w:cs="Arial"/>
                <w:lang w:eastAsia="en-NZ"/>
              </w:rPr>
            </w:pPr>
          </w:p>
        </w:tc>
        <w:tc>
          <w:tcPr>
            <w:tcW w:w="0" w:type="auto"/>
          </w:tcPr>
          <w:p w14:paraId="322CC7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EF8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that the organisation’s policies are being consistently implemented, including evidence of qualifications and registration. All health professionals employed or contracted to the service have their annual practising certificates reviewed for currency and a record is maintained. </w:t>
            </w:r>
          </w:p>
          <w:p w14:paraId="51151B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w:t>
            </w:r>
            <w:r w:rsidRPr="00BE00C7">
              <w:rPr>
                <w:rFonts w:cs="Arial"/>
                <w:lang w:eastAsia="en-NZ"/>
              </w:rPr>
              <w:lastRenderedPageBreak/>
              <w:t>following appointment and yearly thereafter, as confirmed in records reviewed.</w:t>
            </w:r>
          </w:p>
          <w:p w14:paraId="31BAF645" w14:textId="77777777" w:rsidR="00000000" w:rsidRPr="00BE00C7" w:rsidRDefault="00000000" w:rsidP="00BE00C7">
            <w:pPr>
              <w:pStyle w:val="OutcomeDescription"/>
              <w:spacing w:before="120" w:after="120"/>
              <w:rPr>
                <w:rFonts w:cs="Arial"/>
                <w:lang w:eastAsia="en-NZ"/>
              </w:rPr>
            </w:pPr>
          </w:p>
        </w:tc>
      </w:tr>
      <w:tr w:rsidR="00777E0B" w14:paraId="01EAB7BB" w14:textId="77777777">
        <w:tc>
          <w:tcPr>
            <w:tcW w:w="0" w:type="auto"/>
          </w:tcPr>
          <w:p w14:paraId="01A686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C74A6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183F20" w14:textId="77777777" w:rsidR="00000000" w:rsidRPr="00BE00C7" w:rsidRDefault="00000000" w:rsidP="00BE00C7">
            <w:pPr>
              <w:pStyle w:val="OutcomeDescription"/>
              <w:spacing w:before="120" w:after="120"/>
              <w:rPr>
                <w:rFonts w:cs="Arial"/>
                <w:lang w:eastAsia="en-NZ"/>
              </w:rPr>
            </w:pPr>
          </w:p>
        </w:tc>
        <w:tc>
          <w:tcPr>
            <w:tcW w:w="0" w:type="auto"/>
          </w:tcPr>
          <w:p w14:paraId="073AA3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160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373DCE62"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meet contractual and policy requirements. Staff support Māori and whānau to identify their own pae ora outcomes in their care plan. This was verified by sampling residents’ records, and from interviews of clinical staff, people receiving services, and whānau.</w:t>
            </w:r>
          </w:p>
          <w:p w14:paraId="5923662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The GP expressed satisfaction with the standard of care provided to residents.</w:t>
            </w:r>
          </w:p>
          <w:p w14:paraId="3E13F81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was available, suited to the levels of care provided and in accordance with the residents’ needs.</w:t>
            </w:r>
          </w:p>
          <w:p w14:paraId="5EA1D810" w14:textId="77777777" w:rsidR="00000000" w:rsidRPr="00BE00C7" w:rsidRDefault="00000000" w:rsidP="00BE00C7">
            <w:pPr>
              <w:pStyle w:val="OutcomeDescription"/>
              <w:spacing w:before="120" w:after="120"/>
              <w:rPr>
                <w:rFonts w:cs="Arial"/>
                <w:lang w:eastAsia="en-NZ"/>
              </w:rPr>
            </w:pPr>
          </w:p>
        </w:tc>
      </w:tr>
      <w:tr w:rsidR="00777E0B" w14:paraId="40108887" w14:textId="77777777">
        <w:tc>
          <w:tcPr>
            <w:tcW w:w="0" w:type="auto"/>
          </w:tcPr>
          <w:p w14:paraId="249733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7947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752EB111" w14:textId="77777777" w:rsidR="00000000" w:rsidRPr="00BE00C7" w:rsidRDefault="00000000" w:rsidP="00BE00C7">
            <w:pPr>
              <w:pStyle w:val="OutcomeDescription"/>
              <w:spacing w:before="120" w:after="120"/>
              <w:rPr>
                <w:rFonts w:cs="Arial"/>
                <w:lang w:eastAsia="en-NZ"/>
              </w:rPr>
            </w:pPr>
          </w:p>
        </w:tc>
        <w:tc>
          <w:tcPr>
            <w:tcW w:w="0" w:type="auto"/>
          </w:tcPr>
          <w:p w14:paraId="1B4BBE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DFD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w:t>
            </w:r>
            <w:r w:rsidRPr="00BE00C7">
              <w:rPr>
                <w:rFonts w:cs="Arial"/>
                <w:lang w:eastAsia="en-NZ"/>
              </w:rPr>
              <w:lastRenderedPageBreak/>
              <w:t>medication administration competencies were available in staff files.</w:t>
            </w:r>
          </w:p>
          <w:p w14:paraId="7E557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were stored within the recommended temperature range. </w:t>
            </w:r>
          </w:p>
          <w:p w14:paraId="2F962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2DF79ECE"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w:t>
            </w:r>
          </w:p>
          <w:p w14:paraId="0F941C5B" w14:textId="77777777" w:rsidR="00000000" w:rsidRPr="00BE00C7" w:rsidRDefault="00000000" w:rsidP="00BE00C7">
            <w:pPr>
              <w:pStyle w:val="OutcomeDescription"/>
              <w:spacing w:before="120" w:after="120"/>
              <w:rPr>
                <w:rFonts w:cs="Arial"/>
                <w:lang w:eastAsia="en-NZ"/>
              </w:rPr>
            </w:pPr>
          </w:p>
        </w:tc>
      </w:tr>
      <w:tr w:rsidR="00777E0B" w14:paraId="3C3C2448" w14:textId="77777777">
        <w:tc>
          <w:tcPr>
            <w:tcW w:w="0" w:type="auto"/>
          </w:tcPr>
          <w:p w14:paraId="555289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A6246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73EE080" w14:textId="77777777" w:rsidR="00000000" w:rsidRPr="00BE00C7" w:rsidRDefault="00000000" w:rsidP="00BE00C7">
            <w:pPr>
              <w:pStyle w:val="OutcomeDescription"/>
              <w:spacing w:before="120" w:after="120"/>
              <w:rPr>
                <w:rFonts w:cs="Arial"/>
                <w:lang w:eastAsia="en-NZ"/>
              </w:rPr>
            </w:pPr>
          </w:p>
        </w:tc>
        <w:tc>
          <w:tcPr>
            <w:tcW w:w="0" w:type="auto"/>
          </w:tcPr>
          <w:p w14:paraId="12374D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9452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4B2823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31 July 2026.</w:t>
            </w:r>
          </w:p>
          <w:p w14:paraId="5DF93391" w14:textId="77777777" w:rsidR="00000000" w:rsidRPr="00BE00C7" w:rsidRDefault="00000000" w:rsidP="00BE00C7">
            <w:pPr>
              <w:pStyle w:val="OutcomeDescription"/>
              <w:spacing w:before="120" w:after="120"/>
              <w:rPr>
                <w:rFonts w:cs="Arial"/>
                <w:lang w:eastAsia="en-NZ"/>
              </w:rPr>
            </w:pPr>
          </w:p>
        </w:tc>
      </w:tr>
      <w:tr w:rsidR="00777E0B" w14:paraId="49F72FAC" w14:textId="77777777">
        <w:tc>
          <w:tcPr>
            <w:tcW w:w="0" w:type="auto"/>
          </w:tcPr>
          <w:p w14:paraId="6A48B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30100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58858CE7" w14:textId="77777777" w:rsidR="00000000" w:rsidRPr="00BE00C7" w:rsidRDefault="00000000" w:rsidP="00BE00C7">
            <w:pPr>
              <w:pStyle w:val="OutcomeDescription"/>
              <w:spacing w:before="120" w:after="120"/>
              <w:rPr>
                <w:rFonts w:cs="Arial"/>
                <w:lang w:eastAsia="en-NZ"/>
              </w:rPr>
            </w:pPr>
          </w:p>
        </w:tc>
        <w:tc>
          <w:tcPr>
            <w:tcW w:w="0" w:type="auto"/>
          </w:tcPr>
          <w:p w14:paraId="167B4F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AB0944"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transfer and discharge policy guide staff practice. 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238F4282" w14:textId="77777777" w:rsidR="00000000" w:rsidRPr="00BE00C7" w:rsidRDefault="00000000" w:rsidP="00BE00C7">
            <w:pPr>
              <w:pStyle w:val="OutcomeDescription"/>
              <w:spacing w:before="120" w:after="120"/>
              <w:rPr>
                <w:rFonts w:cs="Arial"/>
                <w:lang w:eastAsia="en-NZ"/>
              </w:rPr>
            </w:pPr>
          </w:p>
        </w:tc>
      </w:tr>
      <w:tr w:rsidR="00777E0B" w14:paraId="4926B8D4" w14:textId="77777777">
        <w:tc>
          <w:tcPr>
            <w:tcW w:w="0" w:type="auto"/>
          </w:tcPr>
          <w:p w14:paraId="2AECA7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3D0D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EE2C9FA" w14:textId="77777777" w:rsidR="00000000" w:rsidRPr="00BE00C7" w:rsidRDefault="00000000" w:rsidP="00BE00C7">
            <w:pPr>
              <w:pStyle w:val="OutcomeDescription"/>
              <w:spacing w:before="120" w:after="120"/>
              <w:rPr>
                <w:rFonts w:cs="Arial"/>
                <w:lang w:eastAsia="en-NZ"/>
              </w:rPr>
            </w:pPr>
          </w:p>
        </w:tc>
        <w:tc>
          <w:tcPr>
            <w:tcW w:w="0" w:type="auto"/>
          </w:tcPr>
          <w:p w14:paraId="2D6B32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8F21F3"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(BWOF), which expires 9 December 2025. Electrical and biomedical testing and calibration had been completed in April 2025, and records were reviewed.</w:t>
            </w:r>
          </w:p>
          <w:p w14:paraId="0216103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2377E206" w14:textId="77777777" w:rsidR="00000000" w:rsidRPr="00BE00C7" w:rsidRDefault="00000000" w:rsidP="00BE00C7">
            <w:pPr>
              <w:pStyle w:val="OutcomeDescription"/>
              <w:spacing w:before="120" w:after="120"/>
              <w:rPr>
                <w:rFonts w:cs="Arial"/>
                <w:lang w:eastAsia="en-NZ"/>
              </w:rPr>
            </w:pPr>
          </w:p>
        </w:tc>
      </w:tr>
      <w:tr w:rsidR="00777E0B" w14:paraId="419C1381" w14:textId="77777777">
        <w:tc>
          <w:tcPr>
            <w:tcW w:w="0" w:type="auto"/>
          </w:tcPr>
          <w:p w14:paraId="6D8D73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69FA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C49862" w14:textId="77777777" w:rsidR="00000000" w:rsidRPr="00BE00C7" w:rsidRDefault="00000000" w:rsidP="00BE00C7">
            <w:pPr>
              <w:pStyle w:val="OutcomeDescription"/>
              <w:spacing w:before="120" w:after="120"/>
              <w:rPr>
                <w:rFonts w:cs="Arial"/>
                <w:lang w:eastAsia="en-NZ"/>
              </w:rPr>
            </w:pPr>
          </w:p>
        </w:tc>
        <w:tc>
          <w:tcPr>
            <w:tcW w:w="0" w:type="auto"/>
          </w:tcPr>
          <w:p w14:paraId="3216AD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086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The IP programme was last reviewed in January 2025. This was confirmed by the IPCC and review of the programme documentation. </w:t>
            </w:r>
          </w:p>
          <w:p w14:paraId="7B616AC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634AA4AB" w14:textId="77777777" w:rsidR="00000000" w:rsidRPr="00BE00C7" w:rsidRDefault="00000000" w:rsidP="00BE00C7">
            <w:pPr>
              <w:pStyle w:val="OutcomeDescription"/>
              <w:spacing w:before="120" w:after="120"/>
              <w:rPr>
                <w:rFonts w:cs="Arial"/>
                <w:lang w:eastAsia="en-NZ"/>
              </w:rPr>
            </w:pPr>
          </w:p>
        </w:tc>
      </w:tr>
      <w:tr w:rsidR="00777E0B" w14:paraId="779438E4" w14:textId="77777777">
        <w:tc>
          <w:tcPr>
            <w:tcW w:w="0" w:type="auto"/>
          </w:tcPr>
          <w:p w14:paraId="1BA51E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8EBC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6F2E06A" w14:textId="77777777" w:rsidR="00000000" w:rsidRPr="00BE00C7" w:rsidRDefault="00000000" w:rsidP="00BE00C7">
            <w:pPr>
              <w:pStyle w:val="OutcomeDescription"/>
              <w:spacing w:before="120" w:after="120"/>
              <w:rPr>
                <w:rFonts w:cs="Arial"/>
                <w:lang w:eastAsia="en-NZ"/>
              </w:rPr>
            </w:pPr>
          </w:p>
        </w:tc>
        <w:tc>
          <w:tcPr>
            <w:tcW w:w="0" w:type="auto"/>
          </w:tcPr>
          <w:p w14:paraId="2E97EF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D8E0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A summary report for a recent infection </w:t>
            </w:r>
            <w:r w:rsidRPr="00BE00C7">
              <w:rPr>
                <w:rFonts w:cs="Arial"/>
                <w:lang w:eastAsia="en-NZ"/>
              </w:rPr>
              <w:lastRenderedPageBreak/>
              <w:t>outbreak was reviewed, and it demonstrated a thorough process for investigation and follow-up. Learnings from the event have now been incorporated into practice.</w:t>
            </w:r>
          </w:p>
          <w:p w14:paraId="3C35D0B3" w14:textId="77777777" w:rsidR="00000000" w:rsidRPr="00BE00C7" w:rsidRDefault="00000000" w:rsidP="00BE00C7">
            <w:pPr>
              <w:pStyle w:val="OutcomeDescription"/>
              <w:spacing w:before="120" w:after="120"/>
              <w:rPr>
                <w:rFonts w:cs="Arial"/>
                <w:lang w:eastAsia="en-NZ"/>
              </w:rPr>
            </w:pPr>
          </w:p>
        </w:tc>
      </w:tr>
      <w:tr w:rsidR="00777E0B" w14:paraId="263C34CD" w14:textId="77777777">
        <w:tc>
          <w:tcPr>
            <w:tcW w:w="0" w:type="auto"/>
          </w:tcPr>
          <w:p w14:paraId="0C5789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365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D0210F" w14:textId="77777777" w:rsidR="00000000" w:rsidRPr="00BE00C7" w:rsidRDefault="00000000" w:rsidP="00BE00C7">
            <w:pPr>
              <w:pStyle w:val="OutcomeDescription"/>
              <w:spacing w:before="120" w:after="120"/>
              <w:rPr>
                <w:rFonts w:cs="Arial"/>
                <w:lang w:eastAsia="en-NZ"/>
              </w:rPr>
            </w:pPr>
          </w:p>
        </w:tc>
        <w:tc>
          <w:tcPr>
            <w:tcW w:w="0" w:type="auto"/>
          </w:tcPr>
          <w:p w14:paraId="4E9125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4FCCB1"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 The CHM is the restraint co-ordinator and maintains the restraint register reviewed.</w:t>
            </w:r>
          </w:p>
          <w:p w14:paraId="5D6C6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Staff reported, and documentation evidenced, that staff have been trained in the least restrictive practice, safe restraint practice, alternative cultural-specific interventions, and de-escalation techniques. </w:t>
            </w:r>
          </w:p>
          <w:p w14:paraId="2309239A"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there was no restraint in use, and this has been the case for over two years. Any use of restraint is reported to the governing body.</w:t>
            </w:r>
          </w:p>
          <w:p w14:paraId="30A788EA" w14:textId="77777777" w:rsidR="00000000" w:rsidRPr="00BE00C7" w:rsidRDefault="00000000" w:rsidP="00BE00C7">
            <w:pPr>
              <w:pStyle w:val="OutcomeDescription"/>
              <w:spacing w:before="120" w:after="120"/>
              <w:rPr>
                <w:rFonts w:cs="Arial"/>
                <w:lang w:eastAsia="en-NZ"/>
              </w:rPr>
            </w:pPr>
          </w:p>
        </w:tc>
      </w:tr>
    </w:tbl>
    <w:p w14:paraId="6EC2745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F6F019" w14:textId="77777777" w:rsidR="00000000" w:rsidRDefault="00000000">
      <w:pPr>
        <w:pStyle w:val="Heading1"/>
        <w:rPr>
          <w:rFonts w:cs="Arial"/>
        </w:rPr>
      </w:pPr>
      <w:r>
        <w:rPr>
          <w:rFonts w:cs="Arial"/>
        </w:rPr>
        <w:lastRenderedPageBreak/>
        <w:t>Specific results for criterion where corrective actions are required</w:t>
      </w:r>
    </w:p>
    <w:p w14:paraId="0065C08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A97E5E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5B366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77E0B" w14:paraId="368DF936" w14:textId="77777777">
        <w:tc>
          <w:tcPr>
            <w:tcW w:w="0" w:type="auto"/>
          </w:tcPr>
          <w:p w14:paraId="16437F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9E6CF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BC77CEC" w14:textId="77777777" w:rsidR="00000000" w:rsidRDefault="00000000">
      <w:pPr>
        <w:pStyle w:val="Heading1"/>
        <w:rPr>
          <w:rFonts w:cs="Arial"/>
        </w:rPr>
      </w:pPr>
      <w:r>
        <w:rPr>
          <w:rFonts w:cs="Arial"/>
        </w:rPr>
        <w:lastRenderedPageBreak/>
        <w:t>Specific results for criterion where a continuous improvement has been recorded</w:t>
      </w:r>
    </w:p>
    <w:p w14:paraId="2F105C4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B1C57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BF1821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77E0B" w14:paraId="2A4D8EAF" w14:textId="77777777">
        <w:tc>
          <w:tcPr>
            <w:tcW w:w="0" w:type="auto"/>
          </w:tcPr>
          <w:p w14:paraId="3B18324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678E9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BD6077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1653" w14:textId="77777777" w:rsidR="000F4630" w:rsidRDefault="000F4630">
      <w:r>
        <w:separator/>
      </w:r>
    </w:p>
  </w:endnote>
  <w:endnote w:type="continuationSeparator" w:id="0">
    <w:p w14:paraId="50E3E941" w14:textId="77777777" w:rsidR="000F4630" w:rsidRDefault="000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13B6" w14:textId="77777777" w:rsidR="00000000" w:rsidRDefault="00000000">
    <w:pPr>
      <w:pStyle w:val="Footer"/>
    </w:pPr>
  </w:p>
  <w:p w14:paraId="0C29259B" w14:textId="77777777" w:rsidR="00000000" w:rsidRDefault="00000000"/>
  <w:p w14:paraId="219461C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E95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Puriri Court Rest Home and Hospital</w:t>
    </w:r>
    <w:bookmarkEnd w:id="59"/>
    <w:r>
      <w:rPr>
        <w:rFonts w:cs="Arial"/>
        <w:sz w:val="16"/>
        <w:szCs w:val="20"/>
      </w:rPr>
      <w:tab/>
      <w:t xml:space="preserve">Date of Audit: </w:t>
    </w:r>
    <w:bookmarkStart w:id="60" w:name="AuditStartDate1"/>
    <w:r>
      <w:rPr>
        <w:rFonts w:cs="Arial"/>
        <w:sz w:val="16"/>
        <w:szCs w:val="20"/>
      </w:rPr>
      <w:t>10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B7A5A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69B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ED8E" w14:textId="77777777" w:rsidR="000F4630" w:rsidRDefault="000F4630">
      <w:r>
        <w:separator/>
      </w:r>
    </w:p>
  </w:footnote>
  <w:footnote w:type="continuationSeparator" w:id="0">
    <w:p w14:paraId="295E2FF6" w14:textId="77777777" w:rsidR="000F4630" w:rsidRDefault="000F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2D75" w14:textId="77777777" w:rsidR="00000000" w:rsidRDefault="00000000">
    <w:pPr>
      <w:pStyle w:val="Header"/>
    </w:pPr>
  </w:p>
  <w:p w14:paraId="0952C3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2E65" w14:textId="77777777" w:rsidR="00000000" w:rsidRDefault="00000000">
    <w:pPr>
      <w:pStyle w:val="Header"/>
    </w:pPr>
  </w:p>
  <w:p w14:paraId="2BF7ABA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C56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A469E3A">
      <w:start w:val="1"/>
      <w:numFmt w:val="decimal"/>
      <w:lvlText w:val="%1."/>
      <w:lvlJc w:val="left"/>
      <w:pPr>
        <w:ind w:left="360" w:hanging="360"/>
      </w:pPr>
    </w:lvl>
    <w:lvl w:ilvl="1" w:tplc="91FE4AF4" w:tentative="1">
      <w:start w:val="1"/>
      <w:numFmt w:val="lowerLetter"/>
      <w:lvlText w:val="%2."/>
      <w:lvlJc w:val="left"/>
      <w:pPr>
        <w:ind w:left="1080" w:hanging="360"/>
      </w:pPr>
    </w:lvl>
    <w:lvl w:ilvl="2" w:tplc="FD1E1F0E" w:tentative="1">
      <w:start w:val="1"/>
      <w:numFmt w:val="lowerRoman"/>
      <w:lvlText w:val="%3."/>
      <w:lvlJc w:val="right"/>
      <w:pPr>
        <w:ind w:left="1800" w:hanging="180"/>
      </w:pPr>
    </w:lvl>
    <w:lvl w:ilvl="3" w:tplc="B57E370C" w:tentative="1">
      <w:start w:val="1"/>
      <w:numFmt w:val="decimal"/>
      <w:lvlText w:val="%4."/>
      <w:lvlJc w:val="left"/>
      <w:pPr>
        <w:ind w:left="2520" w:hanging="360"/>
      </w:pPr>
    </w:lvl>
    <w:lvl w:ilvl="4" w:tplc="34D0867E" w:tentative="1">
      <w:start w:val="1"/>
      <w:numFmt w:val="lowerLetter"/>
      <w:lvlText w:val="%5."/>
      <w:lvlJc w:val="left"/>
      <w:pPr>
        <w:ind w:left="3240" w:hanging="360"/>
      </w:pPr>
    </w:lvl>
    <w:lvl w:ilvl="5" w:tplc="240E8E26" w:tentative="1">
      <w:start w:val="1"/>
      <w:numFmt w:val="lowerRoman"/>
      <w:lvlText w:val="%6."/>
      <w:lvlJc w:val="right"/>
      <w:pPr>
        <w:ind w:left="3960" w:hanging="180"/>
      </w:pPr>
    </w:lvl>
    <w:lvl w:ilvl="6" w:tplc="DF8C9728" w:tentative="1">
      <w:start w:val="1"/>
      <w:numFmt w:val="decimal"/>
      <w:lvlText w:val="%7."/>
      <w:lvlJc w:val="left"/>
      <w:pPr>
        <w:ind w:left="4680" w:hanging="360"/>
      </w:pPr>
    </w:lvl>
    <w:lvl w:ilvl="7" w:tplc="673CC972" w:tentative="1">
      <w:start w:val="1"/>
      <w:numFmt w:val="lowerLetter"/>
      <w:lvlText w:val="%8."/>
      <w:lvlJc w:val="left"/>
      <w:pPr>
        <w:ind w:left="5400" w:hanging="360"/>
      </w:pPr>
    </w:lvl>
    <w:lvl w:ilvl="8" w:tplc="A29CED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FAE49C8">
      <w:start w:val="1"/>
      <w:numFmt w:val="bullet"/>
      <w:lvlText w:val=""/>
      <w:lvlJc w:val="left"/>
      <w:pPr>
        <w:ind w:left="720" w:hanging="360"/>
      </w:pPr>
      <w:rPr>
        <w:rFonts w:ascii="Symbol" w:hAnsi="Symbol" w:hint="default"/>
      </w:rPr>
    </w:lvl>
    <w:lvl w:ilvl="1" w:tplc="D47E88F8" w:tentative="1">
      <w:start w:val="1"/>
      <w:numFmt w:val="bullet"/>
      <w:lvlText w:val="o"/>
      <w:lvlJc w:val="left"/>
      <w:pPr>
        <w:ind w:left="1440" w:hanging="360"/>
      </w:pPr>
      <w:rPr>
        <w:rFonts w:ascii="Courier New" w:hAnsi="Courier New" w:cs="Courier New" w:hint="default"/>
      </w:rPr>
    </w:lvl>
    <w:lvl w:ilvl="2" w:tplc="0A6E59C2" w:tentative="1">
      <w:start w:val="1"/>
      <w:numFmt w:val="bullet"/>
      <w:lvlText w:val=""/>
      <w:lvlJc w:val="left"/>
      <w:pPr>
        <w:ind w:left="2160" w:hanging="360"/>
      </w:pPr>
      <w:rPr>
        <w:rFonts w:ascii="Wingdings" w:hAnsi="Wingdings" w:hint="default"/>
      </w:rPr>
    </w:lvl>
    <w:lvl w:ilvl="3" w:tplc="E06C2D8E" w:tentative="1">
      <w:start w:val="1"/>
      <w:numFmt w:val="bullet"/>
      <w:lvlText w:val=""/>
      <w:lvlJc w:val="left"/>
      <w:pPr>
        <w:ind w:left="2880" w:hanging="360"/>
      </w:pPr>
      <w:rPr>
        <w:rFonts w:ascii="Symbol" w:hAnsi="Symbol" w:hint="default"/>
      </w:rPr>
    </w:lvl>
    <w:lvl w:ilvl="4" w:tplc="12548FB0" w:tentative="1">
      <w:start w:val="1"/>
      <w:numFmt w:val="bullet"/>
      <w:lvlText w:val="o"/>
      <w:lvlJc w:val="left"/>
      <w:pPr>
        <w:ind w:left="3600" w:hanging="360"/>
      </w:pPr>
      <w:rPr>
        <w:rFonts w:ascii="Courier New" w:hAnsi="Courier New" w:cs="Courier New" w:hint="default"/>
      </w:rPr>
    </w:lvl>
    <w:lvl w:ilvl="5" w:tplc="C8C4962C" w:tentative="1">
      <w:start w:val="1"/>
      <w:numFmt w:val="bullet"/>
      <w:lvlText w:val=""/>
      <w:lvlJc w:val="left"/>
      <w:pPr>
        <w:ind w:left="4320" w:hanging="360"/>
      </w:pPr>
      <w:rPr>
        <w:rFonts w:ascii="Wingdings" w:hAnsi="Wingdings" w:hint="default"/>
      </w:rPr>
    </w:lvl>
    <w:lvl w:ilvl="6" w:tplc="A5D460E6" w:tentative="1">
      <w:start w:val="1"/>
      <w:numFmt w:val="bullet"/>
      <w:lvlText w:val=""/>
      <w:lvlJc w:val="left"/>
      <w:pPr>
        <w:ind w:left="5040" w:hanging="360"/>
      </w:pPr>
      <w:rPr>
        <w:rFonts w:ascii="Symbol" w:hAnsi="Symbol" w:hint="default"/>
      </w:rPr>
    </w:lvl>
    <w:lvl w:ilvl="7" w:tplc="C5781394" w:tentative="1">
      <w:start w:val="1"/>
      <w:numFmt w:val="bullet"/>
      <w:lvlText w:val="o"/>
      <w:lvlJc w:val="left"/>
      <w:pPr>
        <w:ind w:left="5760" w:hanging="360"/>
      </w:pPr>
      <w:rPr>
        <w:rFonts w:ascii="Courier New" w:hAnsi="Courier New" w:cs="Courier New" w:hint="default"/>
      </w:rPr>
    </w:lvl>
    <w:lvl w:ilvl="8" w:tplc="6090D252" w:tentative="1">
      <w:start w:val="1"/>
      <w:numFmt w:val="bullet"/>
      <w:lvlText w:val=""/>
      <w:lvlJc w:val="left"/>
      <w:pPr>
        <w:ind w:left="6480" w:hanging="360"/>
      </w:pPr>
      <w:rPr>
        <w:rFonts w:ascii="Wingdings" w:hAnsi="Wingdings" w:hint="default"/>
      </w:rPr>
    </w:lvl>
  </w:abstractNum>
  <w:num w:numId="1" w16cid:durableId="225065654">
    <w:abstractNumId w:val="1"/>
  </w:num>
  <w:num w:numId="2" w16cid:durableId="43004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E0B"/>
    <w:rsid w:val="000F4630"/>
    <w:rsid w:val="003B5337"/>
    <w:rsid w:val="006B205A"/>
    <w:rsid w:val="00777E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5640"/>
  <w15:docId w15:val="{4260C3E7-EDA4-48F4-BCEB-1A563E6F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