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AEAB" w14:textId="77777777" w:rsidR="00000000" w:rsidRDefault="00000000">
      <w:pPr>
        <w:pStyle w:val="Heading1"/>
        <w:rPr>
          <w:rFonts w:cs="Arial"/>
        </w:rPr>
      </w:pPr>
      <w:bookmarkStart w:id="0" w:name="PRMS_RIName"/>
      <w:r>
        <w:rPr>
          <w:rFonts w:cs="Arial"/>
        </w:rPr>
        <w:t>Bupa Care Services NZ Limited - Ballarat Care Home</w:t>
      </w:r>
      <w:bookmarkEnd w:id="0"/>
    </w:p>
    <w:p w14:paraId="6224CE74" w14:textId="77777777" w:rsidR="00000000" w:rsidRDefault="00000000">
      <w:pPr>
        <w:pStyle w:val="Heading2"/>
        <w:spacing w:after="0"/>
        <w:rPr>
          <w:rFonts w:cs="Arial"/>
        </w:rPr>
      </w:pPr>
      <w:r>
        <w:rPr>
          <w:rFonts w:cs="Arial"/>
        </w:rPr>
        <w:t>Introduction</w:t>
      </w:r>
    </w:p>
    <w:p w14:paraId="39112D6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307AC8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8725DE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8A57B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453E2AB" w14:textId="77777777" w:rsidR="00000000" w:rsidRDefault="00000000">
      <w:pPr>
        <w:spacing w:before="240" w:after="240"/>
        <w:rPr>
          <w:rFonts w:cs="Arial"/>
          <w:lang w:eastAsia="en-NZ"/>
        </w:rPr>
      </w:pPr>
      <w:r>
        <w:rPr>
          <w:rFonts w:cs="Arial"/>
          <w:lang w:eastAsia="en-NZ"/>
        </w:rPr>
        <w:t>The specifics of this audit included:</w:t>
      </w:r>
    </w:p>
    <w:p w14:paraId="312B962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02B72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4DCC55D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Ballarat Care Home</w:t>
      </w:r>
      <w:bookmarkEnd w:id="5"/>
    </w:p>
    <w:p w14:paraId="330665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76E39F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22 </w:t>
      </w:r>
      <w:r>
        <w:rPr>
          <w:rFonts w:cs="Arial"/>
        </w:rPr>
        <w:t>October 2025</w:t>
      </w:r>
      <w:bookmarkEnd w:id="7"/>
      <w:r w:rsidRPr="009418D4">
        <w:rPr>
          <w:rFonts w:cs="Arial"/>
        </w:rPr>
        <w:tab/>
        <w:t xml:space="preserve">End date: </w:t>
      </w:r>
      <w:bookmarkStart w:id="8" w:name="AuditEndDate"/>
      <w:r>
        <w:rPr>
          <w:rFonts w:cs="Arial"/>
        </w:rPr>
        <w:t>23 October 2025</w:t>
      </w:r>
      <w:bookmarkEnd w:id="8"/>
    </w:p>
    <w:p w14:paraId="7AB2FFD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also verified the reconfiguration of services. The service notified HealthCERT on 13 October 2025 of the intention to reconfigure 10 dedicated rest home beds (Ashley community) to dual purpose beds. Note: that at the time of the audit the HealthCERT letter in response to the notification was not yet received. The beds were verified at this audit as suitable to include hospital level care. As a result of the reconfiguration, the total number of the dual-purpose beds increased from 50 beds to 60 beds. The overall number of beds remain unchanged.</w:t>
      </w:r>
    </w:p>
    <w:bookmarkEnd w:id="9"/>
    <w:p w14:paraId="400CC027" w14:textId="77777777" w:rsidR="009C7F4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4434801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D22F016" w14:textId="77777777" w:rsidR="00000000" w:rsidRDefault="00000000">
      <w:pPr>
        <w:pStyle w:val="Heading1"/>
        <w:rPr>
          <w:rFonts w:cs="Arial"/>
        </w:rPr>
      </w:pPr>
      <w:r>
        <w:rPr>
          <w:rFonts w:cs="Arial"/>
        </w:rPr>
        <w:lastRenderedPageBreak/>
        <w:t>Executive summary of the audit</w:t>
      </w:r>
    </w:p>
    <w:p w14:paraId="30614DE4" w14:textId="77777777" w:rsidR="00000000" w:rsidRDefault="00000000">
      <w:pPr>
        <w:pStyle w:val="Heading2"/>
        <w:rPr>
          <w:rFonts w:cs="Arial"/>
        </w:rPr>
      </w:pPr>
      <w:r>
        <w:rPr>
          <w:rFonts w:cs="Arial"/>
        </w:rPr>
        <w:t>Introduction</w:t>
      </w:r>
    </w:p>
    <w:p w14:paraId="1FF5EBC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6259B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0181B4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7DAE77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3EF231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822E9A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E6B590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74350D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C800B4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C7F4A" w14:paraId="1710A5FA" w14:textId="77777777">
        <w:trPr>
          <w:cantSplit/>
          <w:tblHeader/>
        </w:trPr>
        <w:tc>
          <w:tcPr>
            <w:tcW w:w="1260" w:type="dxa"/>
            <w:tcBorders>
              <w:bottom w:val="single" w:sz="4" w:space="0" w:color="000000"/>
            </w:tcBorders>
            <w:vAlign w:val="center"/>
          </w:tcPr>
          <w:p w14:paraId="173DD38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9E98E8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00CD33D" w14:textId="77777777" w:rsidR="00000000" w:rsidRDefault="00000000">
            <w:pPr>
              <w:spacing w:before="60" w:after="60"/>
              <w:rPr>
                <w:rFonts w:eastAsia="Calibri"/>
                <w:b/>
                <w:szCs w:val="24"/>
              </w:rPr>
            </w:pPr>
            <w:r>
              <w:rPr>
                <w:rFonts w:eastAsia="Calibri"/>
                <w:b/>
                <w:szCs w:val="24"/>
              </w:rPr>
              <w:t>Definition</w:t>
            </w:r>
          </w:p>
        </w:tc>
      </w:tr>
      <w:tr w:rsidR="009C7F4A" w14:paraId="1D7EB350" w14:textId="77777777">
        <w:trPr>
          <w:cantSplit/>
          <w:trHeight w:val="964"/>
        </w:trPr>
        <w:tc>
          <w:tcPr>
            <w:tcW w:w="1260" w:type="dxa"/>
            <w:tcBorders>
              <w:bottom w:val="single" w:sz="4" w:space="0" w:color="000000"/>
            </w:tcBorders>
            <w:shd w:val="clear" w:color="0066FF" w:fill="0000FF"/>
            <w:vAlign w:val="center"/>
          </w:tcPr>
          <w:p w14:paraId="74BC20F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4A7A7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448876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C7F4A" w14:paraId="2F2BE22F" w14:textId="77777777">
        <w:trPr>
          <w:cantSplit/>
          <w:trHeight w:val="964"/>
        </w:trPr>
        <w:tc>
          <w:tcPr>
            <w:tcW w:w="1260" w:type="dxa"/>
            <w:shd w:val="clear" w:color="33CC33" w:fill="00FF00"/>
            <w:vAlign w:val="center"/>
          </w:tcPr>
          <w:p w14:paraId="20B1CF84" w14:textId="77777777" w:rsidR="00000000" w:rsidRDefault="00000000">
            <w:pPr>
              <w:spacing w:before="60" w:after="60"/>
              <w:rPr>
                <w:rFonts w:eastAsia="Calibri"/>
                <w:szCs w:val="24"/>
              </w:rPr>
            </w:pPr>
          </w:p>
        </w:tc>
        <w:tc>
          <w:tcPr>
            <w:tcW w:w="7095" w:type="dxa"/>
            <w:shd w:val="clear" w:color="auto" w:fill="auto"/>
            <w:vAlign w:val="center"/>
          </w:tcPr>
          <w:p w14:paraId="6072D16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D8E73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C7F4A" w14:paraId="12BFF932" w14:textId="77777777">
        <w:trPr>
          <w:cantSplit/>
          <w:trHeight w:val="964"/>
        </w:trPr>
        <w:tc>
          <w:tcPr>
            <w:tcW w:w="1260" w:type="dxa"/>
            <w:tcBorders>
              <w:bottom w:val="single" w:sz="4" w:space="0" w:color="000000"/>
            </w:tcBorders>
            <w:shd w:val="clear" w:color="auto" w:fill="FFFF00"/>
            <w:vAlign w:val="center"/>
          </w:tcPr>
          <w:p w14:paraId="4190E271" w14:textId="77777777" w:rsidR="00000000" w:rsidRDefault="00000000">
            <w:pPr>
              <w:spacing w:before="60" w:after="60"/>
              <w:rPr>
                <w:rFonts w:eastAsia="Calibri"/>
                <w:szCs w:val="24"/>
              </w:rPr>
            </w:pPr>
          </w:p>
        </w:tc>
        <w:tc>
          <w:tcPr>
            <w:tcW w:w="7095" w:type="dxa"/>
            <w:shd w:val="clear" w:color="auto" w:fill="auto"/>
            <w:vAlign w:val="center"/>
          </w:tcPr>
          <w:p w14:paraId="6E4BD9D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EF0462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C7F4A" w14:paraId="0727C566" w14:textId="77777777">
        <w:trPr>
          <w:cantSplit/>
          <w:trHeight w:val="964"/>
        </w:trPr>
        <w:tc>
          <w:tcPr>
            <w:tcW w:w="1260" w:type="dxa"/>
            <w:tcBorders>
              <w:bottom w:val="single" w:sz="4" w:space="0" w:color="000000"/>
            </w:tcBorders>
            <w:shd w:val="clear" w:color="auto" w:fill="FFC800"/>
            <w:vAlign w:val="center"/>
          </w:tcPr>
          <w:p w14:paraId="69C7C17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F55C4F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718C8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C7F4A" w14:paraId="31A94755" w14:textId="77777777">
        <w:trPr>
          <w:cantSplit/>
          <w:trHeight w:val="964"/>
        </w:trPr>
        <w:tc>
          <w:tcPr>
            <w:tcW w:w="1260" w:type="dxa"/>
            <w:shd w:val="clear" w:color="auto" w:fill="FF0000"/>
            <w:vAlign w:val="center"/>
          </w:tcPr>
          <w:p w14:paraId="1BCC84B1" w14:textId="77777777" w:rsidR="00000000" w:rsidRDefault="00000000">
            <w:pPr>
              <w:spacing w:before="60" w:after="60"/>
              <w:rPr>
                <w:rFonts w:eastAsia="Calibri"/>
                <w:szCs w:val="24"/>
              </w:rPr>
            </w:pPr>
          </w:p>
        </w:tc>
        <w:tc>
          <w:tcPr>
            <w:tcW w:w="7095" w:type="dxa"/>
            <w:shd w:val="clear" w:color="auto" w:fill="auto"/>
            <w:vAlign w:val="center"/>
          </w:tcPr>
          <w:p w14:paraId="100B3B5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9F0458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6224D30" w14:textId="77777777" w:rsidR="00000000" w:rsidRDefault="00000000">
      <w:pPr>
        <w:pStyle w:val="Heading2"/>
        <w:spacing w:after="0"/>
        <w:rPr>
          <w:rFonts w:cs="Arial"/>
        </w:rPr>
      </w:pPr>
      <w:r>
        <w:rPr>
          <w:rFonts w:cs="Arial"/>
        </w:rPr>
        <w:t>General overview of the audit</w:t>
      </w:r>
    </w:p>
    <w:p w14:paraId="2CF804F4" w14:textId="77777777" w:rsidR="00000000" w:rsidRDefault="00000000">
      <w:pPr>
        <w:spacing w:before="240" w:line="276" w:lineRule="auto"/>
        <w:rPr>
          <w:rFonts w:eastAsia="Calibri"/>
        </w:rPr>
      </w:pPr>
      <w:bookmarkStart w:id="13" w:name="GeneralOverview"/>
      <w:r w:rsidRPr="00A4268A">
        <w:rPr>
          <w:rFonts w:eastAsia="Calibri"/>
        </w:rPr>
        <w:t xml:space="preserve"> Ballarat Care Home is a Bupa facility located in North Canterbury and provides hospital (geriatric and medical), rest home and dementia levels of care for up to 80 residents. There were 77 residents on the days of audit. </w:t>
      </w:r>
    </w:p>
    <w:p w14:paraId="41E2C84D" w14:textId="77777777" w:rsidR="009C7F4A"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Health New Zealand - Te Whatu Ora. The audit process included the review of policies and procedures; the review of resident and staff files; observations; and interviews with residents, family/whānau, management, staff and general practitioner. </w:t>
      </w:r>
    </w:p>
    <w:p w14:paraId="342B0CA3" w14:textId="77777777" w:rsidR="009C7F4A" w:rsidRPr="00A4268A" w:rsidRDefault="00000000">
      <w:pPr>
        <w:spacing w:before="240" w:line="276" w:lineRule="auto"/>
        <w:rPr>
          <w:rFonts w:eastAsia="Calibri"/>
        </w:rPr>
      </w:pPr>
      <w:r w:rsidRPr="00A4268A">
        <w:rPr>
          <w:rFonts w:eastAsia="Calibri"/>
        </w:rPr>
        <w:t>This audit also verified the reconfiguration of 10 current rest home to dual purpose beds. All were verified as suitable for that purpose. The overall premise numbers stay the same.</w:t>
      </w:r>
    </w:p>
    <w:p w14:paraId="72909ACF" w14:textId="77777777" w:rsidR="009C7F4A" w:rsidRPr="00A4268A" w:rsidRDefault="00000000">
      <w:pPr>
        <w:spacing w:before="240" w:line="276" w:lineRule="auto"/>
        <w:rPr>
          <w:rFonts w:eastAsia="Calibri"/>
        </w:rPr>
      </w:pPr>
      <w:r w:rsidRPr="00A4268A">
        <w:rPr>
          <w:rFonts w:eastAsia="Calibri"/>
        </w:rPr>
        <w:t xml:space="preserve">The general manager is supported by a clinical manager and a unit coordinator, and a team of experienced staff. </w:t>
      </w:r>
    </w:p>
    <w:p w14:paraId="308FEFFC" w14:textId="77777777" w:rsidR="009C7F4A" w:rsidRPr="00A4268A" w:rsidRDefault="00000000">
      <w:pPr>
        <w:spacing w:before="240" w:line="276" w:lineRule="auto"/>
        <w:rPr>
          <w:rFonts w:eastAsia="Calibri"/>
        </w:rPr>
      </w:pPr>
      <w:r w:rsidRPr="00A4268A">
        <w:rPr>
          <w:rFonts w:eastAsia="Calibri"/>
        </w:rPr>
        <w:t>There are documented quality systems and processes for the care home. Feedback from residents and family/whānau was positive about the care and the services provided. An induction and in-service training programme are in place to provide staff with appropriate knowledge and skills to deliver care.</w:t>
      </w:r>
    </w:p>
    <w:p w14:paraId="1CF668E5" w14:textId="77777777" w:rsidR="009C7F4A" w:rsidRPr="00A4268A" w:rsidRDefault="00000000">
      <w:pPr>
        <w:spacing w:before="240" w:line="276" w:lineRule="auto"/>
        <w:rPr>
          <w:rFonts w:eastAsia="Calibri"/>
        </w:rPr>
      </w:pPr>
      <w:r w:rsidRPr="00A4268A">
        <w:rPr>
          <w:rFonts w:eastAsia="Calibri"/>
        </w:rPr>
        <w:t>Three previous audit findings related to staff performance appraisals, assessment timeframes, and progress notes remain ongoing.</w:t>
      </w:r>
    </w:p>
    <w:p w14:paraId="3422E492" w14:textId="77777777" w:rsidR="009C7F4A" w:rsidRPr="00A4268A" w:rsidRDefault="00000000">
      <w:pPr>
        <w:spacing w:before="240" w:line="276" w:lineRule="auto"/>
        <w:rPr>
          <w:rFonts w:eastAsia="Calibri"/>
        </w:rPr>
      </w:pPr>
      <w:r w:rsidRPr="00A4268A">
        <w:rPr>
          <w:rFonts w:eastAsia="Calibri"/>
        </w:rPr>
        <w:t>This surveillance audit identified a shortfall related to orientation records.</w:t>
      </w:r>
    </w:p>
    <w:bookmarkEnd w:id="13"/>
    <w:p w14:paraId="39A7848A" w14:textId="77777777" w:rsidR="009C7F4A" w:rsidRPr="00A4268A" w:rsidRDefault="009C7F4A">
      <w:pPr>
        <w:spacing w:before="240" w:line="276" w:lineRule="auto"/>
        <w:rPr>
          <w:rFonts w:eastAsia="Calibri"/>
        </w:rPr>
      </w:pPr>
    </w:p>
    <w:p w14:paraId="6A94714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7F4A" w14:paraId="1EFC36E8" w14:textId="77777777" w:rsidTr="00A4268A">
        <w:trPr>
          <w:cantSplit/>
        </w:trPr>
        <w:tc>
          <w:tcPr>
            <w:tcW w:w="10206" w:type="dxa"/>
            <w:vAlign w:val="center"/>
          </w:tcPr>
          <w:p w14:paraId="5BC9C39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662920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88627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136663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CD31D7A"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5A1EA354" w14:textId="77777777" w:rsidR="009C7F4A" w:rsidRPr="00A4268A" w:rsidRDefault="00000000">
      <w:pPr>
        <w:spacing w:before="240" w:line="276" w:lineRule="auto"/>
        <w:rPr>
          <w:rFonts w:eastAsia="Calibri"/>
        </w:rPr>
      </w:pPr>
      <w:r w:rsidRPr="00A4268A">
        <w:rPr>
          <w:rFonts w:eastAsia="Calibri"/>
        </w:rPr>
        <w:t>Ballarat Care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w:t>
      </w:r>
    </w:p>
    <w:bookmarkEnd w:id="16"/>
    <w:p w14:paraId="646CB31E" w14:textId="77777777" w:rsidR="009C7F4A" w:rsidRPr="00A4268A" w:rsidRDefault="009C7F4A">
      <w:pPr>
        <w:spacing w:before="240" w:line="276" w:lineRule="auto"/>
        <w:rPr>
          <w:rFonts w:eastAsia="Calibri"/>
        </w:rPr>
      </w:pPr>
    </w:p>
    <w:p w14:paraId="39206B6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7F4A" w14:paraId="626AC08F" w14:textId="77777777" w:rsidTr="00A4268A">
        <w:trPr>
          <w:cantSplit/>
        </w:trPr>
        <w:tc>
          <w:tcPr>
            <w:tcW w:w="10206" w:type="dxa"/>
            <w:vAlign w:val="center"/>
          </w:tcPr>
          <w:p w14:paraId="2BC613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68D9C83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E2A1ED"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346A2862"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Ballarat Care Home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679C09CC" w14:textId="77777777" w:rsidR="009C7F4A" w:rsidRPr="00A4268A" w:rsidRDefault="00000000">
      <w:pPr>
        <w:spacing w:before="240" w:line="276" w:lineRule="auto"/>
        <w:rPr>
          <w:rFonts w:eastAsia="Calibri"/>
        </w:rPr>
      </w:pPr>
      <w:r w:rsidRPr="00A4268A">
        <w:rPr>
          <w:rFonts w:eastAsia="Calibri"/>
        </w:rPr>
        <w:t>The service has documented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 staff training plan is in place to support staff in delivering safe quality care.</w:t>
      </w:r>
    </w:p>
    <w:bookmarkEnd w:id="19"/>
    <w:p w14:paraId="6830BAE9" w14:textId="77777777" w:rsidR="009C7F4A" w:rsidRPr="00A4268A" w:rsidRDefault="009C7F4A">
      <w:pPr>
        <w:spacing w:before="240" w:line="276" w:lineRule="auto"/>
        <w:rPr>
          <w:rFonts w:eastAsia="Calibri"/>
        </w:rPr>
      </w:pPr>
    </w:p>
    <w:p w14:paraId="307F7AC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7F4A" w14:paraId="29ACFC87" w14:textId="77777777" w:rsidTr="00A4268A">
        <w:trPr>
          <w:cantSplit/>
        </w:trPr>
        <w:tc>
          <w:tcPr>
            <w:tcW w:w="10206" w:type="dxa"/>
            <w:vAlign w:val="center"/>
          </w:tcPr>
          <w:p w14:paraId="2594E62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C4D335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B66E2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C60948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w:t>
      </w:r>
    </w:p>
    <w:p w14:paraId="502E851D" w14:textId="77777777" w:rsidR="009C7F4A" w:rsidRPr="00A4268A" w:rsidRDefault="00000000" w:rsidP="00621629">
      <w:pPr>
        <w:spacing w:before="240" w:line="276" w:lineRule="auto"/>
        <w:rPr>
          <w:rFonts w:eastAsia="Calibri"/>
        </w:rPr>
      </w:pPr>
      <w:r w:rsidRPr="00A4268A">
        <w:rPr>
          <w:rFonts w:eastAsia="Calibri"/>
        </w:rPr>
        <w:t xml:space="preserve">The electronic medicine charts viewed were reviewed at least three-monthly by the general practitioner. The kitchen staff cater to individual cultural and dietary requirements. The service has a current food control plan. </w:t>
      </w:r>
    </w:p>
    <w:p w14:paraId="23B57870" w14:textId="77777777" w:rsidR="009C7F4A"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03DA1E6F" w14:textId="77777777" w:rsidR="009C7F4A" w:rsidRPr="00A4268A" w:rsidRDefault="009C7F4A" w:rsidP="00621629">
      <w:pPr>
        <w:spacing w:before="240" w:line="276" w:lineRule="auto"/>
        <w:rPr>
          <w:rFonts w:eastAsia="Calibri"/>
        </w:rPr>
      </w:pPr>
    </w:p>
    <w:p w14:paraId="61CE2F36"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7F4A" w14:paraId="32554612" w14:textId="77777777" w:rsidTr="00A4268A">
        <w:trPr>
          <w:cantSplit/>
        </w:trPr>
        <w:tc>
          <w:tcPr>
            <w:tcW w:w="10206" w:type="dxa"/>
            <w:vAlign w:val="center"/>
          </w:tcPr>
          <w:p w14:paraId="3DF60E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3A55C3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9CEEC8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C6DF583"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All medical equipment has been serviced and calibrated.</w:t>
      </w:r>
    </w:p>
    <w:bookmarkEnd w:id="25"/>
    <w:p w14:paraId="71705550" w14:textId="77777777" w:rsidR="009C7F4A" w:rsidRPr="00A4268A" w:rsidRDefault="009C7F4A">
      <w:pPr>
        <w:spacing w:before="240" w:line="276" w:lineRule="auto"/>
        <w:rPr>
          <w:rFonts w:eastAsia="Calibri"/>
        </w:rPr>
      </w:pPr>
    </w:p>
    <w:p w14:paraId="7D85DD2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7F4A" w14:paraId="4C65EBB8" w14:textId="77777777" w:rsidTr="00A4268A">
        <w:trPr>
          <w:cantSplit/>
        </w:trPr>
        <w:tc>
          <w:tcPr>
            <w:tcW w:w="10206" w:type="dxa"/>
            <w:vAlign w:val="center"/>
          </w:tcPr>
          <w:p w14:paraId="13818A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A40FF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05DFC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D10CE4D"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08C765B9" w14:textId="77777777" w:rsidR="009C7F4A"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64962686" w14:textId="77777777" w:rsidR="009C7F4A" w:rsidRPr="00A4268A" w:rsidRDefault="009C7F4A">
      <w:pPr>
        <w:spacing w:before="240" w:line="276" w:lineRule="auto"/>
        <w:rPr>
          <w:rFonts w:eastAsia="Calibri"/>
        </w:rPr>
      </w:pPr>
    </w:p>
    <w:p w14:paraId="6F50C4F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7F4A" w14:paraId="237D34DE" w14:textId="77777777" w:rsidTr="00A4268A">
        <w:trPr>
          <w:cantSplit/>
        </w:trPr>
        <w:tc>
          <w:tcPr>
            <w:tcW w:w="10206" w:type="dxa"/>
            <w:vAlign w:val="center"/>
          </w:tcPr>
          <w:p w14:paraId="08A1DD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4B6800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85A18F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56200C4"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BC42A0E" w14:textId="77777777" w:rsidR="009C7F4A" w:rsidRPr="00A4268A" w:rsidRDefault="009C7F4A">
      <w:pPr>
        <w:spacing w:before="240" w:line="276" w:lineRule="auto"/>
        <w:rPr>
          <w:rFonts w:eastAsia="Calibri"/>
        </w:rPr>
      </w:pPr>
    </w:p>
    <w:p w14:paraId="5F8E4688" w14:textId="77777777" w:rsidR="00000000" w:rsidRDefault="00000000" w:rsidP="000E6E02">
      <w:pPr>
        <w:pStyle w:val="Heading2"/>
        <w:spacing w:before="0"/>
        <w:rPr>
          <w:rFonts w:cs="Arial"/>
        </w:rPr>
      </w:pPr>
      <w:r>
        <w:rPr>
          <w:rFonts w:cs="Arial"/>
        </w:rPr>
        <w:t>Summary of attainment</w:t>
      </w:r>
    </w:p>
    <w:p w14:paraId="7034BB8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7F4A" w14:paraId="01F2BCEA" w14:textId="77777777">
        <w:tc>
          <w:tcPr>
            <w:tcW w:w="1384" w:type="dxa"/>
            <w:vAlign w:val="center"/>
          </w:tcPr>
          <w:p w14:paraId="320B080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3EDFCF" w14:textId="77777777" w:rsidR="00000000" w:rsidRDefault="00000000">
            <w:pPr>
              <w:keepNext/>
              <w:spacing w:before="60" w:after="60"/>
              <w:jc w:val="center"/>
              <w:rPr>
                <w:rFonts w:cs="Arial"/>
                <w:b/>
                <w:sz w:val="20"/>
                <w:szCs w:val="20"/>
              </w:rPr>
            </w:pPr>
            <w:r>
              <w:rPr>
                <w:rFonts w:cs="Arial"/>
                <w:b/>
                <w:sz w:val="20"/>
                <w:szCs w:val="20"/>
              </w:rPr>
              <w:t>Continuous Improvement</w:t>
            </w:r>
          </w:p>
          <w:p w14:paraId="431CF30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8A4EE19" w14:textId="77777777" w:rsidR="00000000" w:rsidRDefault="00000000">
            <w:pPr>
              <w:keepNext/>
              <w:spacing w:before="60" w:after="60"/>
              <w:jc w:val="center"/>
              <w:rPr>
                <w:rFonts w:cs="Arial"/>
                <w:b/>
                <w:sz w:val="20"/>
                <w:szCs w:val="20"/>
              </w:rPr>
            </w:pPr>
            <w:r>
              <w:rPr>
                <w:rFonts w:cs="Arial"/>
                <w:b/>
                <w:sz w:val="20"/>
                <w:szCs w:val="20"/>
              </w:rPr>
              <w:t>Fully Attained</w:t>
            </w:r>
          </w:p>
          <w:p w14:paraId="7A4F0DA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5CB679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752781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1D672A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AF88DF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C6BF44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487520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63020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F52A44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07640A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39ABA88" w14:textId="77777777" w:rsidR="00000000" w:rsidRDefault="00000000">
            <w:pPr>
              <w:keepNext/>
              <w:spacing w:before="60" w:after="60"/>
              <w:jc w:val="center"/>
              <w:rPr>
                <w:rFonts w:cs="Arial"/>
                <w:b/>
                <w:sz w:val="20"/>
                <w:szCs w:val="20"/>
              </w:rPr>
            </w:pPr>
            <w:r>
              <w:rPr>
                <w:rFonts w:cs="Arial"/>
                <w:b/>
                <w:sz w:val="20"/>
                <w:szCs w:val="20"/>
              </w:rPr>
              <w:t>(PA Critical)</w:t>
            </w:r>
          </w:p>
        </w:tc>
      </w:tr>
      <w:tr w:rsidR="009C7F4A" w14:paraId="2781946C" w14:textId="77777777">
        <w:tc>
          <w:tcPr>
            <w:tcW w:w="1384" w:type="dxa"/>
            <w:vAlign w:val="center"/>
          </w:tcPr>
          <w:p w14:paraId="584617C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40A0A2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3540A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75FD49F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0C3F2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DDFD00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2E3D597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9EF74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C7F4A" w14:paraId="46DEFD8C" w14:textId="77777777">
        <w:tc>
          <w:tcPr>
            <w:tcW w:w="1384" w:type="dxa"/>
            <w:vAlign w:val="center"/>
          </w:tcPr>
          <w:p w14:paraId="3127B21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AE8692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116277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69F4486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B8AB19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2CCF38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3BA883C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D4201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B1C7B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7F4A" w14:paraId="33946AB3" w14:textId="77777777">
        <w:tc>
          <w:tcPr>
            <w:tcW w:w="1384" w:type="dxa"/>
            <w:vAlign w:val="center"/>
          </w:tcPr>
          <w:p w14:paraId="06487C6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D812C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54C34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7D3EE47" w14:textId="77777777" w:rsidR="00000000" w:rsidRDefault="00000000">
            <w:pPr>
              <w:keepNext/>
              <w:spacing w:before="60" w:after="60"/>
              <w:jc w:val="center"/>
              <w:rPr>
                <w:rFonts w:cs="Arial"/>
                <w:b/>
                <w:sz w:val="20"/>
                <w:szCs w:val="20"/>
              </w:rPr>
            </w:pPr>
            <w:r>
              <w:rPr>
                <w:rFonts w:cs="Arial"/>
                <w:b/>
                <w:sz w:val="20"/>
                <w:szCs w:val="20"/>
              </w:rPr>
              <w:t>Unattained Low Risk</w:t>
            </w:r>
          </w:p>
          <w:p w14:paraId="48690D4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12E734C" w14:textId="77777777" w:rsidR="00000000" w:rsidRDefault="00000000">
            <w:pPr>
              <w:keepNext/>
              <w:spacing w:before="60" w:after="60"/>
              <w:jc w:val="center"/>
              <w:rPr>
                <w:rFonts w:cs="Arial"/>
                <w:b/>
                <w:sz w:val="20"/>
                <w:szCs w:val="20"/>
              </w:rPr>
            </w:pPr>
            <w:r>
              <w:rPr>
                <w:rFonts w:cs="Arial"/>
                <w:b/>
                <w:sz w:val="20"/>
                <w:szCs w:val="20"/>
              </w:rPr>
              <w:t>Unattained Moderate Risk</w:t>
            </w:r>
          </w:p>
          <w:p w14:paraId="6E09E7A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D09B31D" w14:textId="77777777" w:rsidR="00000000" w:rsidRDefault="00000000">
            <w:pPr>
              <w:keepNext/>
              <w:spacing w:before="60" w:after="60"/>
              <w:jc w:val="center"/>
              <w:rPr>
                <w:rFonts w:cs="Arial"/>
                <w:b/>
                <w:sz w:val="20"/>
                <w:szCs w:val="20"/>
              </w:rPr>
            </w:pPr>
            <w:r>
              <w:rPr>
                <w:rFonts w:cs="Arial"/>
                <w:b/>
                <w:sz w:val="20"/>
                <w:szCs w:val="20"/>
              </w:rPr>
              <w:t>Unattained High Risk</w:t>
            </w:r>
          </w:p>
          <w:p w14:paraId="482927B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DE48811" w14:textId="77777777" w:rsidR="00000000" w:rsidRDefault="00000000">
            <w:pPr>
              <w:keepNext/>
              <w:spacing w:before="60" w:after="60"/>
              <w:jc w:val="center"/>
              <w:rPr>
                <w:rFonts w:cs="Arial"/>
                <w:b/>
                <w:sz w:val="20"/>
                <w:szCs w:val="20"/>
              </w:rPr>
            </w:pPr>
            <w:r>
              <w:rPr>
                <w:rFonts w:cs="Arial"/>
                <w:b/>
                <w:sz w:val="20"/>
                <w:szCs w:val="20"/>
              </w:rPr>
              <w:t>Unattained Critical Risk</w:t>
            </w:r>
          </w:p>
          <w:p w14:paraId="7344DB0D" w14:textId="77777777" w:rsidR="00000000" w:rsidRDefault="00000000">
            <w:pPr>
              <w:keepNext/>
              <w:spacing w:before="60" w:after="60"/>
              <w:jc w:val="center"/>
              <w:rPr>
                <w:rFonts w:cs="Arial"/>
                <w:b/>
                <w:sz w:val="20"/>
                <w:szCs w:val="20"/>
              </w:rPr>
            </w:pPr>
            <w:r>
              <w:rPr>
                <w:rFonts w:cs="Arial"/>
                <w:b/>
                <w:sz w:val="20"/>
                <w:szCs w:val="20"/>
              </w:rPr>
              <w:t>(UA Critical)</w:t>
            </w:r>
          </w:p>
        </w:tc>
      </w:tr>
      <w:tr w:rsidR="009C7F4A" w14:paraId="412C0601" w14:textId="77777777">
        <w:tc>
          <w:tcPr>
            <w:tcW w:w="1384" w:type="dxa"/>
            <w:vAlign w:val="center"/>
          </w:tcPr>
          <w:p w14:paraId="5FCE1AE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0EC2EB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C9384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80400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24275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A05877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C7F4A" w14:paraId="348070AA" w14:textId="77777777">
        <w:tc>
          <w:tcPr>
            <w:tcW w:w="1384" w:type="dxa"/>
            <w:vAlign w:val="center"/>
          </w:tcPr>
          <w:p w14:paraId="50EF195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FAD368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113A1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6EEAA5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08F27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B49AD0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6EF24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51D42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B43C84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26676B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9C7F4A" w14:paraId="3F1560D0" w14:textId="77777777">
        <w:tc>
          <w:tcPr>
            <w:tcW w:w="0" w:type="auto"/>
          </w:tcPr>
          <w:p w14:paraId="5FE6777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78126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A398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C7F4A" w14:paraId="13746CBF" w14:textId="77777777">
        <w:tc>
          <w:tcPr>
            <w:tcW w:w="0" w:type="auto"/>
          </w:tcPr>
          <w:p w14:paraId="322FEB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37A86D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E93B23C" w14:textId="77777777" w:rsidR="00000000" w:rsidRPr="00BE00C7" w:rsidRDefault="00000000" w:rsidP="00BE00C7">
            <w:pPr>
              <w:pStyle w:val="OutcomeDescription"/>
              <w:spacing w:before="120" w:after="120"/>
              <w:rPr>
                <w:rFonts w:cs="Arial"/>
                <w:lang w:eastAsia="en-NZ"/>
              </w:rPr>
            </w:pPr>
          </w:p>
        </w:tc>
        <w:tc>
          <w:tcPr>
            <w:tcW w:w="0" w:type="auto"/>
          </w:tcPr>
          <w:p w14:paraId="432970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C439E4"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Ballarat Care Home utilise as part of their strategy to embed and enact Te Tiriti o Waitangi in all aspects of service delivery. The service currently has residents and staff who identify as Māori. The service recognises Māori mana motuhake, and this is reflected in the Māori health plan and care plan process.</w:t>
            </w:r>
          </w:p>
          <w:p w14:paraId="2DEDB639" w14:textId="77777777" w:rsidR="00000000" w:rsidRPr="00BE00C7" w:rsidRDefault="00000000" w:rsidP="00BE00C7">
            <w:pPr>
              <w:pStyle w:val="OutcomeDescription"/>
              <w:spacing w:before="120" w:after="120"/>
              <w:rPr>
                <w:rFonts w:cs="Arial"/>
                <w:lang w:eastAsia="en-NZ"/>
              </w:rPr>
            </w:pPr>
          </w:p>
        </w:tc>
      </w:tr>
      <w:tr w:rsidR="009C7F4A" w14:paraId="53383501" w14:textId="77777777">
        <w:tc>
          <w:tcPr>
            <w:tcW w:w="0" w:type="auto"/>
          </w:tcPr>
          <w:p w14:paraId="747C8C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91A0A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715FD7B" w14:textId="77777777" w:rsidR="00000000" w:rsidRPr="00BE00C7" w:rsidRDefault="00000000" w:rsidP="00BE00C7">
            <w:pPr>
              <w:pStyle w:val="OutcomeDescription"/>
              <w:spacing w:before="120" w:after="120"/>
              <w:rPr>
                <w:rFonts w:cs="Arial"/>
                <w:lang w:eastAsia="en-NZ"/>
              </w:rPr>
            </w:pPr>
          </w:p>
        </w:tc>
        <w:tc>
          <w:tcPr>
            <w:tcW w:w="0" w:type="auto"/>
          </w:tcPr>
          <w:p w14:paraId="11AA26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8E66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no Pacific staff. Twelve staff (five caregivers, four registered nurses (RNs) including one unit coordinator, one maintenance manager, one diversional therapist (DT), and one cook) and two managers (the general manager and clinical manager) completed cultural safety training and could explain the implementation of cultural safety for Pacific peoples related to their cultural, and spiritual beliefs. There were no residents who identified as Pasifika at the time of the audit. </w:t>
            </w:r>
          </w:p>
          <w:p w14:paraId="3D03BB60" w14:textId="77777777" w:rsidR="00000000" w:rsidRPr="00BE00C7" w:rsidRDefault="00000000" w:rsidP="00BE00C7">
            <w:pPr>
              <w:pStyle w:val="OutcomeDescription"/>
              <w:spacing w:before="120" w:after="120"/>
              <w:rPr>
                <w:rFonts w:cs="Arial"/>
                <w:lang w:eastAsia="en-NZ"/>
              </w:rPr>
            </w:pPr>
          </w:p>
        </w:tc>
      </w:tr>
      <w:tr w:rsidR="009C7F4A" w14:paraId="0920FEE3" w14:textId="77777777">
        <w:tc>
          <w:tcPr>
            <w:tcW w:w="0" w:type="auto"/>
          </w:tcPr>
          <w:p w14:paraId="2E564D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FD945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D38E752" w14:textId="77777777" w:rsidR="00000000" w:rsidRPr="00BE00C7" w:rsidRDefault="00000000" w:rsidP="00BE00C7">
            <w:pPr>
              <w:pStyle w:val="OutcomeDescription"/>
              <w:spacing w:before="120" w:after="120"/>
              <w:rPr>
                <w:rFonts w:cs="Arial"/>
                <w:lang w:eastAsia="en-NZ"/>
              </w:rPr>
            </w:pPr>
          </w:p>
        </w:tc>
        <w:tc>
          <w:tcPr>
            <w:tcW w:w="0" w:type="auto"/>
          </w:tcPr>
          <w:p w14:paraId="5B0EF1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6139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general manager demonstrated how it is also given in welcome packs in the language most appropriate for the resident, to ensure they are fully informed of their rights. Interviews with six family/whānau (one rest home, two hospital level and three dementia), and five residents (two hospital level, three rest home level) confirmed they are informed of their rights and their choices are respected.</w:t>
            </w:r>
          </w:p>
          <w:p w14:paraId="17F41046" w14:textId="77777777" w:rsidR="00000000" w:rsidRPr="00BE00C7" w:rsidRDefault="00000000" w:rsidP="00BE00C7">
            <w:pPr>
              <w:pStyle w:val="OutcomeDescription"/>
              <w:spacing w:before="120" w:after="120"/>
              <w:rPr>
                <w:rFonts w:cs="Arial"/>
                <w:lang w:eastAsia="en-NZ"/>
              </w:rPr>
            </w:pPr>
          </w:p>
        </w:tc>
      </w:tr>
      <w:tr w:rsidR="009C7F4A" w14:paraId="620F9107" w14:textId="77777777">
        <w:tc>
          <w:tcPr>
            <w:tcW w:w="0" w:type="auto"/>
          </w:tcPr>
          <w:p w14:paraId="51DEF9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2145F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B30AA9" w14:textId="77777777" w:rsidR="00000000" w:rsidRPr="00BE00C7" w:rsidRDefault="00000000" w:rsidP="00BE00C7">
            <w:pPr>
              <w:pStyle w:val="OutcomeDescription"/>
              <w:spacing w:before="120" w:after="120"/>
              <w:rPr>
                <w:rFonts w:cs="Arial"/>
                <w:lang w:eastAsia="en-NZ"/>
              </w:rPr>
            </w:pPr>
          </w:p>
        </w:tc>
        <w:tc>
          <w:tcPr>
            <w:tcW w:w="0" w:type="auto"/>
          </w:tcPr>
          <w:p w14:paraId="79ACAD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7DF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Ballarat Care Home are trained in and aware of professional boundaries, as evidenced in orientation documents and ongoing education records. </w:t>
            </w:r>
          </w:p>
          <w:p w14:paraId="2C66C4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demonstrated an understanding of professional boundaries when interviewed. </w:t>
            </w:r>
          </w:p>
          <w:p w14:paraId="7D91EBCA" w14:textId="77777777" w:rsidR="00000000" w:rsidRPr="00BE00C7" w:rsidRDefault="00000000" w:rsidP="00BE00C7">
            <w:pPr>
              <w:pStyle w:val="OutcomeDescription"/>
              <w:spacing w:before="120" w:after="120"/>
              <w:rPr>
                <w:rFonts w:cs="Arial"/>
                <w:lang w:eastAsia="en-NZ"/>
              </w:rPr>
            </w:pPr>
          </w:p>
        </w:tc>
      </w:tr>
      <w:tr w:rsidR="009C7F4A" w14:paraId="79312B16" w14:textId="77777777">
        <w:tc>
          <w:tcPr>
            <w:tcW w:w="0" w:type="auto"/>
          </w:tcPr>
          <w:p w14:paraId="0A3BA2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CC54E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exercise independence, choice, and </w:t>
            </w:r>
            <w:r w:rsidRPr="00BE00C7">
              <w:rPr>
                <w:rFonts w:cs="Arial"/>
                <w:lang w:eastAsia="en-NZ"/>
              </w:rPr>
              <w:lastRenderedPageBreak/>
              <w:t>control.</w:t>
            </w:r>
          </w:p>
          <w:p w14:paraId="2871B164" w14:textId="77777777" w:rsidR="00000000" w:rsidRPr="00BE00C7" w:rsidRDefault="00000000" w:rsidP="00BE00C7">
            <w:pPr>
              <w:pStyle w:val="OutcomeDescription"/>
              <w:spacing w:before="120" w:after="120"/>
              <w:rPr>
                <w:rFonts w:cs="Arial"/>
                <w:lang w:eastAsia="en-NZ"/>
              </w:rPr>
            </w:pPr>
          </w:p>
        </w:tc>
        <w:tc>
          <w:tcPr>
            <w:tcW w:w="0" w:type="auto"/>
          </w:tcPr>
          <w:p w14:paraId="2CAF14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A8F4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the activated enduring power of attorney (EPOA), where this has been activated. All documentation regarding EPOA, and activation is on file, as reviewed in the residents’ files. </w:t>
            </w:r>
          </w:p>
          <w:p w14:paraId="13A69866" w14:textId="77777777" w:rsidR="00000000" w:rsidRPr="00BE00C7" w:rsidRDefault="00000000" w:rsidP="00BE00C7">
            <w:pPr>
              <w:pStyle w:val="OutcomeDescription"/>
              <w:spacing w:before="120" w:after="120"/>
              <w:rPr>
                <w:rFonts w:cs="Arial"/>
                <w:lang w:eastAsia="en-NZ"/>
              </w:rPr>
            </w:pPr>
          </w:p>
        </w:tc>
      </w:tr>
      <w:tr w:rsidR="009C7F4A" w14:paraId="3044B656" w14:textId="77777777">
        <w:tc>
          <w:tcPr>
            <w:tcW w:w="0" w:type="auto"/>
          </w:tcPr>
          <w:p w14:paraId="6E4EE7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40F15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1B608C9" w14:textId="77777777" w:rsidR="00000000" w:rsidRPr="00BE00C7" w:rsidRDefault="00000000" w:rsidP="00BE00C7">
            <w:pPr>
              <w:pStyle w:val="OutcomeDescription"/>
              <w:spacing w:before="120" w:after="120"/>
              <w:rPr>
                <w:rFonts w:cs="Arial"/>
                <w:lang w:eastAsia="en-NZ"/>
              </w:rPr>
            </w:pPr>
          </w:p>
        </w:tc>
        <w:tc>
          <w:tcPr>
            <w:tcW w:w="0" w:type="auto"/>
          </w:tcPr>
          <w:p w14:paraId="2F7BC9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DEF2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Health and Disability Commissioner’s Code of Health and Disability Services Consumers’ Rights and complaints process is visible, and available in te reo Māori, and English. An electronic complaints register is being maintained, which includes all complaints, dates and actions taken. There were seven complaints documented since the last audit; all have been closed off to the satisfaction of all involved. Documentation including follow-up letters and resolution demonstrates that complaints are being managed in accordance with guidelines set by the Health and Disability Commissioner. Main themes were around care services, clothing and some related to communication. There were no complaints from external agencies. </w:t>
            </w:r>
          </w:p>
          <w:p w14:paraId="160D664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general manager acknowledged their understanding that for Māori, there is a preference for face-to-face communication and to include whānau participation.</w:t>
            </w:r>
          </w:p>
          <w:p w14:paraId="1B192F9F" w14:textId="77777777" w:rsidR="00000000" w:rsidRPr="00BE00C7" w:rsidRDefault="00000000" w:rsidP="00BE00C7">
            <w:pPr>
              <w:pStyle w:val="OutcomeDescription"/>
              <w:spacing w:before="120" w:after="120"/>
              <w:rPr>
                <w:rFonts w:cs="Arial"/>
                <w:lang w:eastAsia="en-NZ"/>
              </w:rPr>
            </w:pPr>
          </w:p>
        </w:tc>
      </w:tr>
      <w:tr w:rsidR="009C7F4A" w14:paraId="5B531AAD" w14:textId="77777777">
        <w:tc>
          <w:tcPr>
            <w:tcW w:w="0" w:type="auto"/>
          </w:tcPr>
          <w:p w14:paraId="5713D7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F38CC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311462D5" w14:textId="77777777" w:rsidR="00000000" w:rsidRPr="00BE00C7" w:rsidRDefault="00000000" w:rsidP="00BE00C7">
            <w:pPr>
              <w:pStyle w:val="OutcomeDescription"/>
              <w:spacing w:before="120" w:after="120"/>
              <w:rPr>
                <w:rFonts w:cs="Arial"/>
                <w:lang w:eastAsia="en-NZ"/>
              </w:rPr>
            </w:pPr>
          </w:p>
        </w:tc>
        <w:tc>
          <w:tcPr>
            <w:tcW w:w="0" w:type="auto"/>
          </w:tcPr>
          <w:p w14:paraId="762040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658D64" w14:textId="77777777" w:rsidR="00000000" w:rsidRPr="00BE00C7" w:rsidRDefault="00000000" w:rsidP="00BE00C7">
            <w:pPr>
              <w:pStyle w:val="OutcomeDescription"/>
              <w:spacing w:before="120" w:after="120"/>
              <w:rPr>
                <w:rFonts w:cs="Arial"/>
                <w:lang w:eastAsia="en-NZ"/>
              </w:rPr>
            </w:pPr>
            <w:r w:rsidRPr="00BE00C7">
              <w:rPr>
                <w:rFonts w:cs="Arial"/>
                <w:lang w:eastAsia="en-NZ"/>
              </w:rPr>
              <w:t>Ballarat Care Home is located in Rangiora, North Canterbury. The service is certified to provide rest home, hospital, and dementia level of care for up to 80 residents. There are 50 dual-purpose beds, 10 bed designated rest home unit, and a 20-bed dementia care unit.</w:t>
            </w:r>
          </w:p>
          <w:p w14:paraId="28EE2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audit also verified the reconfiguration of 10 current dedicated rest home (Ashley wing) to dual purpose beds. All were verified as suitable for that purpose. The overall premise numbers stay the same. All rooms are designed for single occupancy. There are no changes to the overall bed numbers. Total </w:t>
            </w:r>
            <w:r w:rsidRPr="00BE00C7">
              <w:rPr>
                <w:rFonts w:cs="Arial"/>
                <w:lang w:eastAsia="en-NZ"/>
              </w:rPr>
              <w:lastRenderedPageBreak/>
              <w:t>number of dual-purpose beds are now 60.</w:t>
            </w:r>
          </w:p>
          <w:p w14:paraId="52A2D5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77 residents: 20 rest home residents; and 38 hospital residents, including two rest home residents on younger person with a disability (YPD) contract. There were 19 residents in the dementia unit. The remaining residents were under the age-related residential care contract (ARRC). There were three married couples at the time of the audit who were not sharing a room. </w:t>
            </w:r>
          </w:p>
          <w:p w14:paraId="4BE344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There is a New Zealand based managing director that reports to a New Zealand based Board. The directors are knowledgeable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are discussed for service improvement.</w:t>
            </w:r>
          </w:p>
          <w:p w14:paraId="68D5B2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693EA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NZ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vision, mission statement and </w:t>
            </w:r>
            <w:r w:rsidRPr="00BE00C7">
              <w:rPr>
                <w:rFonts w:cs="Arial"/>
                <w:lang w:eastAsia="en-NZ"/>
              </w:rPr>
              <w:lastRenderedPageBreak/>
              <w:t xml:space="preserve">objectives are in place. Annual goals for Ballarat Care Home have been determined, which link to the overarching Bupa strategic plan. Goals are regularly reviewed in quality, and staff meetings. Quality goals are reviewed as part of weekly clinical review meetings. </w:t>
            </w:r>
          </w:p>
          <w:p w14:paraId="2493F60D" w14:textId="77777777" w:rsidR="00000000" w:rsidRPr="00BE00C7" w:rsidRDefault="00000000" w:rsidP="00BE00C7">
            <w:pPr>
              <w:pStyle w:val="OutcomeDescription"/>
              <w:spacing w:before="120" w:after="120"/>
              <w:rPr>
                <w:rFonts w:cs="Arial"/>
                <w:lang w:eastAsia="en-NZ"/>
              </w:rPr>
            </w:pPr>
          </w:p>
        </w:tc>
      </w:tr>
      <w:tr w:rsidR="009C7F4A" w14:paraId="3CA352E7" w14:textId="77777777">
        <w:tc>
          <w:tcPr>
            <w:tcW w:w="0" w:type="auto"/>
          </w:tcPr>
          <w:p w14:paraId="1E3343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FAD97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18B256D" w14:textId="77777777" w:rsidR="00000000" w:rsidRPr="00BE00C7" w:rsidRDefault="00000000" w:rsidP="00BE00C7">
            <w:pPr>
              <w:pStyle w:val="OutcomeDescription"/>
              <w:spacing w:before="120" w:after="120"/>
              <w:rPr>
                <w:rFonts w:cs="Arial"/>
                <w:lang w:eastAsia="en-NZ"/>
              </w:rPr>
            </w:pPr>
          </w:p>
        </w:tc>
        <w:tc>
          <w:tcPr>
            <w:tcW w:w="0" w:type="auto"/>
          </w:tcPr>
          <w:p w14:paraId="4227A4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CCB4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Ballarat Care Home is implementing a quality and risk management programme. The quality and risk management systems include performance monitoring through internal audits and through the collection of clinical indicator data. Bimonthly quality meetings, monthly staff meetings, and weekly clinical meetings provide an avenue for discussions in relation to (but not limited to): quality data; health and safety; infection control/pandemic strategies; complaints; staffing; and education. Meetings were completed as scheduled. Action identified in meetings were assigned to a person with timeframes for achievement. Action plans were signed off. </w:t>
            </w:r>
          </w:p>
          <w:p w14:paraId="19280F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internal auditing schedule in place. Internal audits have been completed as scheduled. Collation of data was documented as taking place. Quality, health and safety goals, and progress towards attainment are discussed at meetings. Quality data and trends are added to meeting minutes and held in folders in the staffroom. Corrective actions are discussed at meetings. Benchmarking occurs on a national level against other Bupa facilities. Quality improvement projects are documented related to reduction in antipsychotic medication and for the reduction in falls.</w:t>
            </w:r>
          </w:p>
          <w:p w14:paraId="30E9E7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 satisfaction surveys have been completed. The most recent March 2025 and September 2025 resident and family/whānau satisfaction surveys had been collated and analysed at head office. The survey results reviewed evidence that the feedback was overall positive related to staff, and the quality of services provided; however, the food services and activities programme need improvement. Action plans are documented to ensure improvement. The latest results were discussed with staff and shared with residents and family/whānau. </w:t>
            </w:r>
          </w:p>
          <w:p w14:paraId="1863BB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w:t>
            </w:r>
            <w:r w:rsidRPr="00BE00C7">
              <w:rPr>
                <w:rFonts w:cs="Arial"/>
                <w:lang w:eastAsia="en-NZ"/>
              </w:rPr>
              <w:lastRenderedPageBreak/>
              <w:t>follow-up action(s) required, evidenced in the accident/incident records reviewed. Incident and accident data is collated monthly and analysed. The electronic system generates a report that goes to each operational team/governance team and generates alerts depending on the risk level. Results are discussed in the quality and general staff meetings and at handover. Each event involving a resident reflected a clinical assessment and a timely follow up by a registered nurse.</w:t>
            </w:r>
          </w:p>
          <w:p w14:paraId="452A483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have been Section 31 notifications and notifications to the Health Quality and Safety Commission since last audit. There have been outbreaks documented since the previous audit, which were appropriately notified.</w:t>
            </w:r>
          </w:p>
          <w:p w14:paraId="0220BA9A" w14:textId="77777777" w:rsidR="00000000" w:rsidRPr="00BE00C7" w:rsidRDefault="00000000" w:rsidP="00BE00C7">
            <w:pPr>
              <w:pStyle w:val="OutcomeDescription"/>
              <w:spacing w:before="120" w:after="120"/>
              <w:rPr>
                <w:rFonts w:cs="Arial"/>
                <w:lang w:eastAsia="en-NZ"/>
              </w:rPr>
            </w:pPr>
          </w:p>
        </w:tc>
      </w:tr>
      <w:tr w:rsidR="009C7F4A" w14:paraId="2A44CCBD" w14:textId="77777777">
        <w:tc>
          <w:tcPr>
            <w:tcW w:w="0" w:type="auto"/>
          </w:tcPr>
          <w:p w14:paraId="60B041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4C099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C1915E" w14:textId="77777777" w:rsidR="00000000" w:rsidRPr="00BE00C7" w:rsidRDefault="00000000" w:rsidP="00BE00C7">
            <w:pPr>
              <w:pStyle w:val="OutcomeDescription"/>
              <w:spacing w:before="120" w:after="120"/>
              <w:rPr>
                <w:rFonts w:cs="Arial"/>
                <w:lang w:eastAsia="en-NZ"/>
              </w:rPr>
            </w:pPr>
          </w:p>
        </w:tc>
        <w:tc>
          <w:tcPr>
            <w:tcW w:w="0" w:type="auto"/>
          </w:tcPr>
          <w:p w14:paraId="5BF28F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6C7F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provides sufficient and appropriate coverage for the delivery of care and support. Staff and residents are informed when there are changes to staffing levels, evidenced in staff interviews. Staff absences are covered by agency, as sighted on the roster and on the days of the audit. The general manager, clinical manager and unit coordinator are available Monday to Friday. On call is provided on rotation with other general managers and clinical managers within the region. The roster reviewed and the general manager, clinical manager and area manager confirmed that the roster can accommodate an increase in hospital level care in Ashley wing.</w:t>
            </w:r>
          </w:p>
          <w:p w14:paraId="745F7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The service provides study days each month and staff are rostered to attend; this ensures a very high percentage of staff who attend the compulsory training. Training has included (but not limited to) hand hygiene; abuse and neglect; chemical safety; emergency safety; manual handling; end of life choices; cultural and Māori strategy; restraint; dementia; the aging process; infection control; pressure injury prevention; and falls prevention.</w:t>
            </w:r>
          </w:p>
          <w:p w14:paraId="0E3D4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Thirty-nine caregivers are employed. The Bupa orientation programme qualifies new caregivers at a </w:t>
            </w:r>
            <w:r w:rsidRPr="00BE00C7">
              <w:rPr>
                <w:rFonts w:cs="Arial"/>
                <w:lang w:eastAsia="en-NZ"/>
              </w:rPr>
              <w:lastRenderedPageBreak/>
              <w:t>level two NZQA. Of the 39 caregivers at Ballarat Care Home, 29 have achieved a level 3 NZQA qualification or higher.</w:t>
            </w:r>
          </w:p>
          <w:p w14:paraId="61157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16 caregivers allocated to work in the dementia unit, and 12 have completed the required dementia standards; whilst four are in the progress to complete the standards within the required timeframe.</w:t>
            </w:r>
          </w:p>
          <w:p w14:paraId="0FB700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undertake many of the same competencies as the registered nurses (eg, medication administration, controlled drug administration, nebuliser, blood sugar levels and insulin administration, oxygen administration, and wound management). </w:t>
            </w:r>
          </w:p>
          <w:p w14:paraId="7A98D087" w14:textId="77777777" w:rsidR="00000000" w:rsidRPr="00BE00C7" w:rsidRDefault="00000000" w:rsidP="00BE00C7">
            <w:pPr>
              <w:pStyle w:val="OutcomeDescription"/>
              <w:spacing w:before="120" w:after="120"/>
              <w:rPr>
                <w:rFonts w:cs="Arial"/>
                <w:lang w:eastAsia="en-NZ"/>
              </w:rPr>
            </w:pPr>
            <w:r w:rsidRPr="00BE00C7">
              <w:rPr>
                <w:rFonts w:cs="Arial"/>
                <w:lang w:eastAsia="en-NZ"/>
              </w:rPr>
              <w:t>Additional RN specific competencies include syringe driver, and interRAI assessment competency. There are eleven registered nurses, including the coordinator and the clinical manager; nine are interRAI trained.</w:t>
            </w:r>
          </w:p>
          <w:p w14:paraId="5384D74F" w14:textId="77777777" w:rsidR="00000000" w:rsidRPr="00BE00C7" w:rsidRDefault="00000000" w:rsidP="00BE00C7">
            <w:pPr>
              <w:pStyle w:val="OutcomeDescription"/>
              <w:spacing w:before="120" w:after="120"/>
              <w:rPr>
                <w:rFonts w:cs="Arial"/>
                <w:lang w:eastAsia="en-NZ"/>
              </w:rPr>
            </w:pPr>
          </w:p>
        </w:tc>
      </w:tr>
      <w:tr w:rsidR="009C7F4A" w14:paraId="0DD672DA" w14:textId="77777777">
        <w:tc>
          <w:tcPr>
            <w:tcW w:w="0" w:type="auto"/>
          </w:tcPr>
          <w:p w14:paraId="2C6F3C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79DC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80C088A" w14:textId="77777777" w:rsidR="00000000" w:rsidRPr="00BE00C7" w:rsidRDefault="00000000" w:rsidP="00BE00C7">
            <w:pPr>
              <w:pStyle w:val="OutcomeDescription"/>
              <w:spacing w:before="120" w:after="120"/>
              <w:rPr>
                <w:rFonts w:cs="Arial"/>
                <w:lang w:eastAsia="en-NZ"/>
              </w:rPr>
            </w:pPr>
          </w:p>
        </w:tc>
        <w:tc>
          <w:tcPr>
            <w:tcW w:w="0" w:type="auto"/>
          </w:tcPr>
          <w:p w14:paraId="60B0764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CB5EA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(three registered nurses and three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19E90B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this was confirmed by staff interviewed. The service policies demonstrates that the orientation programme supports registered nurses and caregivers to provide a culturally safe environment for Māori. However, not all staff files had completed orientation records on file, and not all staff who have been employed for a year or more, had a current performance review on file. This is an ongoing shortfall. </w:t>
            </w:r>
          </w:p>
          <w:p w14:paraId="1C5F4493" w14:textId="77777777" w:rsidR="00000000" w:rsidRPr="00BE00C7" w:rsidRDefault="00000000" w:rsidP="00BE00C7">
            <w:pPr>
              <w:pStyle w:val="OutcomeDescription"/>
              <w:spacing w:before="120" w:after="120"/>
              <w:rPr>
                <w:rFonts w:cs="Arial"/>
                <w:lang w:eastAsia="en-NZ"/>
              </w:rPr>
            </w:pPr>
          </w:p>
        </w:tc>
      </w:tr>
      <w:tr w:rsidR="009C7F4A" w14:paraId="5EA674D1" w14:textId="77777777">
        <w:tc>
          <w:tcPr>
            <w:tcW w:w="0" w:type="auto"/>
          </w:tcPr>
          <w:p w14:paraId="7700D8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680A4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w:t>
            </w:r>
            <w:r w:rsidRPr="00BE00C7">
              <w:rPr>
                <w:rFonts w:cs="Arial"/>
                <w:lang w:eastAsia="en-NZ"/>
              </w:rPr>
              <w:lastRenderedPageBreak/>
              <w:t>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3CC8E4" w14:textId="77777777" w:rsidR="00000000" w:rsidRPr="00BE00C7" w:rsidRDefault="00000000" w:rsidP="00BE00C7">
            <w:pPr>
              <w:pStyle w:val="OutcomeDescription"/>
              <w:spacing w:before="120" w:after="120"/>
              <w:rPr>
                <w:rFonts w:cs="Arial"/>
                <w:lang w:eastAsia="en-NZ"/>
              </w:rPr>
            </w:pPr>
          </w:p>
        </w:tc>
        <w:tc>
          <w:tcPr>
            <w:tcW w:w="0" w:type="auto"/>
          </w:tcPr>
          <w:p w14:paraId="76F3B1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DF76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completing all residents’ assessments, developing and evaluating care plans, and overseeing the ongoing review of </w:t>
            </w:r>
            <w:r w:rsidRPr="00BE00C7">
              <w:rPr>
                <w:rFonts w:cs="Arial"/>
                <w:lang w:eastAsia="en-NZ"/>
              </w:rPr>
              <w:lastRenderedPageBreak/>
              <w:t>care. Six resident files were reviewed across all service levels (two rest home, two hospital, and two dementia care residents) including one hospital-level resident funded under a YPD contract. Initial assessments and care plans were developed in consultation with the resident and/or their Enduring Power of Attorney (EPOA) and were completed within the required timeframes. Care plans were informed by data collected through comprehensive nursing assessments, which included (but were not limited to) domains such as nutrition; pain; mobility and transfers; skin integrity; continence; pressure injury risk; cultural considerations; behaviour; and social history, as well as information obtained from pre-entry assessments completed by the Needs Assessment and Service Coordination (NASC) service or other referral agencies.</w:t>
            </w:r>
          </w:p>
          <w:p w14:paraId="16EA7EDA" w14:textId="77777777" w:rsidR="00000000" w:rsidRPr="00BE00C7" w:rsidRDefault="00000000" w:rsidP="00BE00C7">
            <w:pPr>
              <w:pStyle w:val="OutcomeDescription"/>
              <w:spacing w:before="120" w:after="120"/>
              <w:rPr>
                <w:rFonts w:cs="Arial"/>
                <w:lang w:eastAsia="en-NZ"/>
              </w:rPr>
            </w:pPr>
            <w:r w:rsidRPr="00BE00C7">
              <w:rPr>
                <w:rFonts w:cs="Arial"/>
                <w:lang w:eastAsia="en-NZ"/>
              </w:rPr>
              <w:t>In four resident files, initial interRAI assessments were completed within three weeks of admission. InterRAI reassessments were generally completed every six months or earlier if clinically indicated; however, not all interRAI assessments were undertaken within the required timeframes. The previous finding related to criterion # 3.2.1 remains open. Long term care plans have been completed within three weeks of admission.</w:t>
            </w:r>
          </w:p>
          <w:p w14:paraId="3D11408B"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residents’ care plans confirmed that interventions were sufficiently detailed to provide clear direction and guidance for care staff in the safe and effective delivery of care. Care plans in the dementia unit evidenced a comprehensive 24-hour approach that reflected each resident’s usual daily routine. Individualised interventions were documented to support caregivers in managing resident behaviours, promoting consistency, responsiveness, and person-centred care. Long-term care plans were holistic and individualised, reflecting each resident’s assessed needs, preferences and goals of care. The care plans provided clear guidance to staff regarding both medical and non-medical support requirements. Documented interventions and identification of early warning signs were appropriate to the residents’ clinical presentations and met their assessed needs.</w:t>
            </w:r>
          </w:p>
          <w:p w14:paraId="59E5F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were in place for the use of short-term care plans to address specific issues such as infections, weight loss and wounds. These short-term plans were completed, evaluated, and either signed off when resolved or integrated into the long-term care plan as appropriate. Review of resident records confirmed that short-term care plans were in use and consistently evaluated. </w:t>
            </w:r>
          </w:p>
          <w:p w14:paraId="670333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manager confirmed that a Māori Health Care Plan is </w:t>
            </w:r>
            <w:r w:rsidRPr="00BE00C7">
              <w:rPr>
                <w:rFonts w:cs="Arial"/>
                <w:lang w:eastAsia="en-NZ"/>
              </w:rPr>
              <w:lastRenderedPageBreak/>
              <w:t>completed when a resident identifies as Māori, to ensure cultural needs are appropriately assessed and integrated into care planning. There were no residents who identified as Māori at the time of audit.</w:t>
            </w:r>
          </w:p>
          <w:p w14:paraId="00D1DE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within the required timeframe following admission. There is documented evidence of the exemption from monthly general practitioner visits when the resident’s condition is considered stable. The service has a contract with a local medical practice that provides a general practitioner who visits the care home weekly, and provides on-call cover after hours. The general practitioner has access to the residents’ records, including the medication system. The general practitioner interviewed stated that there was good communication with the service and the registered nurses demonstrated good assessment skills and that they were informed of concerns in a timely manner. A physiotherapist visits the care home weekly, and reviews residents referred by the registered nurse. There is evidence of a multidisciplinary approach in the care of residents with other specialist services, including (but not limited to) speech language therapist, wound care specialist, and continence specialist nurse available as required through Health New Zealand. </w:t>
            </w:r>
          </w:p>
          <w:p w14:paraId="0E4D6864"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4AAA71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care home. A review of the wound care plans evidenced wounds were assessed in a timely manner and reviewed at appropriate intervals. The active wounds include pressure injuries (stage I and II), skin tears, incontinence associated dermatitis, lesions, abscess, and abrasions. Wounds were dressed as scheduled, with clear documentation that included assessments, photographs, management plans, and evaluations, evidencing progress towards healing. Referrals were completed for wound nurse specialist input as clinically indicated, with recommended plans incorporated into the wound management plans. </w:t>
            </w:r>
          </w:p>
          <w:p w14:paraId="07CEA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registered nurses (RNs) and caregivers confirmed that both verbal and written handovers occur at the commencement of each shift to ensure continuity of service delivery. The handover process takes place </w:t>
            </w:r>
            <w:r w:rsidRPr="00BE00C7">
              <w:rPr>
                <w:rFonts w:cs="Arial"/>
                <w:lang w:eastAsia="en-NZ"/>
              </w:rPr>
              <w:lastRenderedPageBreak/>
              <w:t>between the outgoing and incoming RNs, and includes all caregivers rostered on the shift. Observation on the day of audit verified that the handover was comprehensive and facilitated effective communication of residents’ current status and care needs.</w:t>
            </w:r>
          </w:p>
          <w:p w14:paraId="1D29C7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 progress notes are generated through pre-populated intervention templates, which are populated once specific tasks are completed. RNs document clinical assessments as progress notes; however, review of resident progress notes in their entirety indicated that the entries do not consistently provide a complete and cohesive record of each resident’s care journey, including all treatments and interventions delivered by both caregivers and RNs. Therefore, the previous finding related to criteria # 3.2.5 shall remain open. </w:t>
            </w:r>
          </w:p>
          <w:p w14:paraId="66C7CF8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visual checks, weight; food and fluid; repositioning charts; and blood glucose levels. Monitoring charts have been completed as scheduled.</w:t>
            </w:r>
          </w:p>
          <w:p w14:paraId="1A71C9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the care home,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1A4F3AE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(where these are completed) and when there is a change in the resident’s condition. Evaluations are documented by the registered nurse. The evaluations include the degree of achievement towards meeting desired goals and outcomes.</w:t>
            </w:r>
          </w:p>
          <w:p w14:paraId="6C93D80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C5BF3D8" w14:textId="77777777" w:rsidR="00000000" w:rsidRPr="00BE00C7" w:rsidRDefault="00000000" w:rsidP="008E2B73">
            <w:pPr>
              <w:pStyle w:val="OutcomeDescription"/>
              <w:spacing w:before="120" w:after="120"/>
              <w:rPr>
                <w:rFonts w:cs="Arial"/>
                <w:lang w:eastAsia="en-NZ"/>
              </w:rPr>
            </w:pPr>
          </w:p>
        </w:tc>
      </w:tr>
      <w:tr w:rsidR="009C7F4A" w14:paraId="56D16E17" w14:textId="77777777">
        <w:tc>
          <w:tcPr>
            <w:tcW w:w="0" w:type="auto"/>
          </w:tcPr>
          <w:p w14:paraId="32DC5D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AFAEC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74493C2" w14:textId="77777777" w:rsidR="00000000" w:rsidRPr="00BE00C7" w:rsidRDefault="00000000" w:rsidP="00BE00C7">
            <w:pPr>
              <w:pStyle w:val="OutcomeDescription"/>
              <w:spacing w:before="120" w:after="120"/>
              <w:rPr>
                <w:rFonts w:cs="Arial"/>
                <w:lang w:eastAsia="en-NZ"/>
              </w:rPr>
            </w:pPr>
          </w:p>
        </w:tc>
        <w:tc>
          <w:tcPr>
            <w:tcW w:w="0" w:type="auto"/>
          </w:tcPr>
          <w:p w14:paraId="3CE53F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C33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have been assessed for competency on an annual basis. Education around safe medication administration has been provided as part of the competency process. Registered nurses are required to complete syringe driver training, and these have been completed as sighted in the training records. </w:t>
            </w:r>
          </w:p>
          <w:p w14:paraId="7A3791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All medications are checked on delivery against the medication chart, and any discrepancies are fed back to the supplying pharmacy. </w:t>
            </w:r>
          </w:p>
          <w:p w14:paraId="40CF6E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All stored medications are checked weekly. Eyedrops have been dated on opening. </w:t>
            </w:r>
          </w:p>
          <w:p w14:paraId="70D4D1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general practitioner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There were two resident self-administering medications. The self-administration guidelines have been implemented including an assessment of competency, general practitioner sign off, and secure medication storage. No vaccines are kept on site, and no standing orders are used. </w:t>
            </w:r>
          </w:p>
          <w:p w14:paraId="2F7293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5998D287" w14:textId="77777777" w:rsidR="00000000" w:rsidRPr="00BE00C7" w:rsidRDefault="00000000" w:rsidP="00BE00C7">
            <w:pPr>
              <w:pStyle w:val="OutcomeDescription"/>
              <w:spacing w:before="120" w:after="120"/>
              <w:rPr>
                <w:rFonts w:cs="Arial"/>
                <w:lang w:eastAsia="en-NZ"/>
              </w:rPr>
            </w:pPr>
          </w:p>
        </w:tc>
      </w:tr>
      <w:tr w:rsidR="009C7F4A" w14:paraId="4A48C368" w14:textId="77777777">
        <w:tc>
          <w:tcPr>
            <w:tcW w:w="0" w:type="auto"/>
          </w:tcPr>
          <w:p w14:paraId="3B795B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9B8DE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42E3F2E" w14:textId="77777777" w:rsidR="00000000" w:rsidRPr="00BE00C7" w:rsidRDefault="00000000" w:rsidP="00BE00C7">
            <w:pPr>
              <w:pStyle w:val="OutcomeDescription"/>
              <w:spacing w:before="120" w:after="120"/>
              <w:rPr>
                <w:rFonts w:cs="Arial"/>
                <w:lang w:eastAsia="en-NZ"/>
              </w:rPr>
            </w:pPr>
          </w:p>
        </w:tc>
        <w:tc>
          <w:tcPr>
            <w:tcW w:w="0" w:type="auto"/>
          </w:tcPr>
          <w:p w14:paraId="7D3A7B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91D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w:t>
            </w:r>
            <w:r w:rsidRPr="00BE00C7">
              <w:rPr>
                <w:rFonts w:cs="Arial"/>
                <w:lang w:eastAsia="en-NZ"/>
              </w:rPr>
              <w:lastRenderedPageBreak/>
              <w:t xml:space="preserve">changes for residents. Dislikes and special dietary requirements are accommodated, including food allergies. The cook reported they accommodate residents’ requests. </w:t>
            </w:r>
          </w:p>
          <w:p w14:paraId="403B4B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verified food control plan. The residents and family/whānau interviewed were complimentary regarding the standard of food provided.</w:t>
            </w:r>
          </w:p>
          <w:p w14:paraId="3DD5B335" w14:textId="77777777" w:rsidR="00000000" w:rsidRPr="00BE00C7" w:rsidRDefault="00000000" w:rsidP="00BE00C7">
            <w:pPr>
              <w:pStyle w:val="OutcomeDescription"/>
              <w:spacing w:before="120" w:after="120"/>
              <w:rPr>
                <w:rFonts w:cs="Arial"/>
                <w:lang w:eastAsia="en-NZ"/>
              </w:rPr>
            </w:pPr>
          </w:p>
        </w:tc>
      </w:tr>
      <w:tr w:rsidR="009C7F4A" w14:paraId="4504D656" w14:textId="77777777">
        <w:tc>
          <w:tcPr>
            <w:tcW w:w="0" w:type="auto"/>
          </w:tcPr>
          <w:p w14:paraId="647D4D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61C27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16AE53" w14:textId="77777777" w:rsidR="00000000" w:rsidRPr="00BE00C7" w:rsidRDefault="00000000" w:rsidP="00BE00C7">
            <w:pPr>
              <w:pStyle w:val="OutcomeDescription"/>
              <w:spacing w:before="120" w:after="120"/>
              <w:rPr>
                <w:rFonts w:cs="Arial"/>
                <w:lang w:eastAsia="en-NZ"/>
              </w:rPr>
            </w:pPr>
          </w:p>
        </w:tc>
        <w:tc>
          <w:tcPr>
            <w:tcW w:w="0" w:type="auto"/>
          </w:tcPr>
          <w:p w14:paraId="0E2A97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14DB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223ACE30" w14:textId="77777777" w:rsidR="00000000" w:rsidRPr="00BE00C7" w:rsidRDefault="00000000" w:rsidP="00BE00C7">
            <w:pPr>
              <w:pStyle w:val="OutcomeDescription"/>
              <w:spacing w:before="120" w:after="120"/>
              <w:rPr>
                <w:rFonts w:cs="Arial"/>
                <w:lang w:eastAsia="en-NZ"/>
              </w:rPr>
            </w:pPr>
          </w:p>
        </w:tc>
      </w:tr>
      <w:tr w:rsidR="009C7F4A" w14:paraId="689E2EF2" w14:textId="77777777">
        <w:tc>
          <w:tcPr>
            <w:tcW w:w="0" w:type="auto"/>
          </w:tcPr>
          <w:p w14:paraId="659F85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3CB74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F445C63" w14:textId="77777777" w:rsidR="00000000" w:rsidRPr="00BE00C7" w:rsidRDefault="00000000" w:rsidP="00BE00C7">
            <w:pPr>
              <w:pStyle w:val="OutcomeDescription"/>
              <w:spacing w:before="120" w:after="120"/>
              <w:rPr>
                <w:rFonts w:cs="Arial"/>
                <w:lang w:eastAsia="en-NZ"/>
              </w:rPr>
            </w:pPr>
          </w:p>
        </w:tc>
        <w:tc>
          <w:tcPr>
            <w:tcW w:w="0" w:type="auto"/>
          </w:tcPr>
          <w:p w14:paraId="1C98F6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407F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Ballarat Care Home and comply with legislation relevant to the health and disability services being provided. The environment is inclusive of people’s cultures and supports cultural practices. The building warrant of fitness is current, expiring 10 December 2025. There is a maintenance request book for repair and maintenance requests located in each nurses’ station.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weekly testing of hot water temperatures. Essential contractors/tradespeople are available as required. Hot water temperature recording reviewed had corrective actions undertaken when outside of expected ranges. </w:t>
            </w:r>
          </w:p>
          <w:p w14:paraId="4C6421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Ten dedicated rest home beds in Ashley Community have been verified as suitable for hospital level care:</w:t>
            </w:r>
          </w:p>
          <w:p w14:paraId="386AF2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Ashley wing is attached to Loburn wing, with its own spacious dining room and kitchenette with tea and coffee making facilities. The nurses’ station in centrally located. </w:t>
            </w:r>
          </w:p>
          <w:p w14:paraId="79E44B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enough space for equipment storage. The sluice is located in Loburn wing.</w:t>
            </w:r>
          </w:p>
          <w:p w14:paraId="4634DEE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generously sized, with ample room for hospital beds and equipment. Hallways and doorways are wide enough to accommodate transfer by gurney. Staff confirmed all equipment is appropriate to meet the needs of individual residents.</w:t>
            </w:r>
          </w:p>
          <w:p w14:paraId="755953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is heating in all areas, including full ensuite and communal shower area, and there are also heat pumps/ air conditioning units in the communal areas. There was a good ambient temperature on the day of the audit. </w:t>
            </w:r>
          </w:p>
          <w:p w14:paraId="7ED4574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Ensuites, communal showers and toilets are spacious to manoeuvre transfer and mobility equipment and have handrails. Taps are designed for ease of opening. Floors are non-slip and appropriate for ease of cleaning.</w:t>
            </w:r>
          </w:p>
          <w:p w14:paraId="3325A1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layout of the wing ensures communal areas are easy to access. Residents can easily access the outdoor areas.</w:t>
            </w:r>
          </w:p>
          <w:p w14:paraId="459E653A" w14:textId="77777777" w:rsidR="00000000" w:rsidRPr="00BE00C7" w:rsidRDefault="00000000" w:rsidP="00BE00C7">
            <w:pPr>
              <w:pStyle w:val="OutcomeDescription"/>
              <w:spacing w:before="120" w:after="120"/>
              <w:rPr>
                <w:rFonts w:cs="Arial"/>
                <w:lang w:eastAsia="en-NZ"/>
              </w:rPr>
            </w:pPr>
          </w:p>
        </w:tc>
      </w:tr>
      <w:tr w:rsidR="009C7F4A" w14:paraId="53C7373B" w14:textId="77777777">
        <w:tc>
          <w:tcPr>
            <w:tcW w:w="0" w:type="auto"/>
          </w:tcPr>
          <w:p w14:paraId="177BE1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68E0C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128B3C13" w14:textId="77777777" w:rsidR="00000000" w:rsidRPr="00BE00C7" w:rsidRDefault="00000000" w:rsidP="00BE00C7">
            <w:pPr>
              <w:pStyle w:val="OutcomeDescription"/>
              <w:spacing w:before="120" w:after="120"/>
              <w:rPr>
                <w:rFonts w:cs="Arial"/>
                <w:lang w:eastAsia="en-NZ"/>
              </w:rPr>
            </w:pPr>
          </w:p>
        </w:tc>
        <w:tc>
          <w:tcPr>
            <w:tcW w:w="0" w:type="auto"/>
          </w:tcPr>
          <w:p w14:paraId="028C6C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1B50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stewardship programme and procedure that has been developed by Bupa and their in-house infection control specialists, which includes the pandemic plan. 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This links to the overarching quality programme, and the infection control </w:t>
            </w:r>
            <w:r w:rsidRPr="00BE00C7">
              <w:rPr>
                <w:rFonts w:cs="Arial"/>
                <w:lang w:eastAsia="en-NZ"/>
              </w:rPr>
              <w:lastRenderedPageBreak/>
              <w:t xml:space="preserve">programme is reviewed, evaluated, and reported on annually. </w:t>
            </w:r>
          </w:p>
          <w:p w14:paraId="12FB57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donning and doffing personal protective equipment (PPE); monitoring of antimicrobial medication; infection control and cultural safety; aseptic technique; and transmission-based precautions.</w:t>
            </w:r>
          </w:p>
          <w:p w14:paraId="4F5039D3" w14:textId="77777777" w:rsidR="00000000" w:rsidRPr="00BE00C7" w:rsidRDefault="00000000" w:rsidP="00BE00C7">
            <w:pPr>
              <w:pStyle w:val="OutcomeDescription"/>
              <w:spacing w:before="120" w:after="120"/>
              <w:rPr>
                <w:rFonts w:cs="Arial"/>
                <w:lang w:eastAsia="en-NZ"/>
              </w:rPr>
            </w:pPr>
          </w:p>
        </w:tc>
      </w:tr>
      <w:tr w:rsidR="009C7F4A" w14:paraId="1EAB6263" w14:textId="77777777">
        <w:tc>
          <w:tcPr>
            <w:tcW w:w="0" w:type="auto"/>
          </w:tcPr>
          <w:p w14:paraId="1C9EBB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09110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836496C" w14:textId="77777777" w:rsidR="00000000" w:rsidRPr="00BE00C7" w:rsidRDefault="00000000" w:rsidP="00BE00C7">
            <w:pPr>
              <w:pStyle w:val="OutcomeDescription"/>
              <w:spacing w:before="120" w:after="120"/>
              <w:rPr>
                <w:rFonts w:cs="Arial"/>
                <w:lang w:eastAsia="en-NZ"/>
              </w:rPr>
            </w:pPr>
          </w:p>
        </w:tc>
        <w:tc>
          <w:tcPr>
            <w:tcW w:w="0" w:type="auto"/>
          </w:tcPr>
          <w:p w14:paraId="45AB82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BB94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care homes.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3A3C6D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four outbreaks documented since the previous audit, including two Covid-19 outbreaks, an Influenza-like outbreak and an Influenza A outbreak. These were well documented, managed and reported to Public Health, where appropriate. Daily outbreak meetings occurred. A debrief was completed to identify what went well, and areas of improvement for future outbreak management. </w:t>
            </w:r>
          </w:p>
          <w:p w14:paraId="3B469ABF" w14:textId="77777777" w:rsidR="00000000" w:rsidRPr="00BE00C7" w:rsidRDefault="00000000" w:rsidP="00BE00C7">
            <w:pPr>
              <w:pStyle w:val="OutcomeDescription"/>
              <w:spacing w:before="120" w:after="120"/>
              <w:rPr>
                <w:rFonts w:cs="Arial"/>
                <w:lang w:eastAsia="en-NZ"/>
              </w:rPr>
            </w:pPr>
          </w:p>
        </w:tc>
      </w:tr>
      <w:tr w:rsidR="009C7F4A" w14:paraId="6FF687F5" w14:textId="77777777">
        <w:tc>
          <w:tcPr>
            <w:tcW w:w="0" w:type="auto"/>
          </w:tcPr>
          <w:p w14:paraId="2FEA31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666C0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w:t>
            </w:r>
            <w:r w:rsidRPr="00BE00C7">
              <w:rPr>
                <w:rFonts w:cs="Arial"/>
                <w:lang w:eastAsia="en-NZ"/>
              </w:rPr>
              <w:lastRenderedPageBreak/>
              <w:t>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ECABCE" w14:textId="77777777" w:rsidR="00000000" w:rsidRPr="00BE00C7" w:rsidRDefault="00000000" w:rsidP="00BE00C7">
            <w:pPr>
              <w:pStyle w:val="OutcomeDescription"/>
              <w:spacing w:before="120" w:after="120"/>
              <w:rPr>
                <w:rFonts w:cs="Arial"/>
                <w:lang w:eastAsia="en-NZ"/>
              </w:rPr>
            </w:pPr>
          </w:p>
        </w:tc>
        <w:tc>
          <w:tcPr>
            <w:tcW w:w="0" w:type="auto"/>
          </w:tcPr>
          <w:p w14:paraId="0887E9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15FA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and are approved by head office. Policies state that only a restraint coordinator and clinical </w:t>
            </w:r>
            <w:r w:rsidRPr="00BE00C7">
              <w:rPr>
                <w:rFonts w:cs="Arial"/>
                <w:lang w:eastAsia="en-NZ"/>
              </w:rPr>
              <w:lastRenderedPageBreak/>
              <w:t>manager may authorise the use of restraint. The regional restraint group is responsible for the Bupa restraint elimination strategy, and for monitoring restraint use in the organisation. Restraint is discussed at clinical governance and Board level.</w:t>
            </w:r>
          </w:p>
          <w:p w14:paraId="2343EE8E"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using restraints. The designated restraint coordinator is one of the registered nurses. Training for all staff occurs at orientation and annually, as sighted in the training records.</w:t>
            </w:r>
          </w:p>
          <w:p w14:paraId="00239422" w14:textId="77777777" w:rsidR="00000000" w:rsidRPr="00BE00C7" w:rsidRDefault="00000000" w:rsidP="00BE00C7">
            <w:pPr>
              <w:pStyle w:val="OutcomeDescription"/>
              <w:spacing w:before="120" w:after="120"/>
              <w:rPr>
                <w:rFonts w:cs="Arial"/>
                <w:lang w:eastAsia="en-NZ"/>
              </w:rPr>
            </w:pPr>
          </w:p>
        </w:tc>
      </w:tr>
    </w:tbl>
    <w:p w14:paraId="5FCAB74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EE59E44" w14:textId="77777777" w:rsidR="00000000" w:rsidRDefault="00000000">
      <w:pPr>
        <w:pStyle w:val="Heading1"/>
        <w:rPr>
          <w:rFonts w:cs="Arial"/>
        </w:rPr>
      </w:pPr>
      <w:r>
        <w:rPr>
          <w:rFonts w:cs="Arial"/>
        </w:rPr>
        <w:lastRenderedPageBreak/>
        <w:t>Specific results for criterion where corrective actions are required</w:t>
      </w:r>
    </w:p>
    <w:p w14:paraId="49F58C7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C1B85E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6EDD23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1313"/>
        <w:gridCol w:w="4475"/>
        <w:gridCol w:w="2835"/>
        <w:gridCol w:w="2361"/>
      </w:tblGrid>
      <w:tr w:rsidR="009C7F4A" w14:paraId="1477039E" w14:textId="77777777">
        <w:tc>
          <w:tcPr>
            <w:tcW w:w="0" w:type="auto"/>
          </w:tcPr>
          <w:p w14:paraId="1CA6E21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93CA9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4469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68DF9B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FB2411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C7F4A" w14:paraId="23331D0B" w14:textId="77777777">
        <w:tc>
          <w:tcPr>
            <w:tcW w:w="0" w:type="auto"/>
          </w:tcPr>
          <w:p w14:paraId="34D2811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0AAF2E2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7D89EC4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3B1BEB"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comprehensive policies and documents in place in relation to onboarding/orientation of new employees. The Bupa head office recruitment team ensures that the relevant documents of a new employee are uploaded to the electronic staff files; however, orientation records and performance appraisals are the responsibility at facility level. Staff interviewed stated a structured orientation is provided to newly employed staff. Five of the staff files reviewed did not have a completed orientation record on file.</w:t>
            </w:r>
          </w:p>
          <w:p w14:paraId="09AAC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clinical manager and new general manager stated they have identified an improved process to ensure completed orientation records are put on file. </w:t>
            </w:r>
          </w:p>
          <w:p w14:paraId="77A274BD" w14:textId="77777777" w:rsidR="00000000" w:rsidRPr="00BE00C7" w:rsidRDefault="00000000" w:rsidP="00BE00C7">
            <w:pPr>
              <w:pStyle w:val="OutcomeDescription"/>
              <w:spacing w:before="120" w:after="120"/>
              <w:rPr>
                <w:rFonts w:cs="Arial"/>
                <w:lang w:eastAsia="en-NZ"/>
              </w:rPr>
            </w:pPr>
          </w:p>
        </w:tc>
        <w:tc>
          <w:tcPr>
            <w:tcW w:w="0" w:type="auto"/>
          </w:tcPr>
          <w:p w14:paraId="2E657A03"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orientation records were on file for five of six staff files reviewed.</w:t>
            </w:r>
          </w:p>
          <w:p w14:paraId="0606889B" w14:textId="77777777" w:rsidR="00000000" w:rsidRPr="00BE00C7" w:rsidRDefault="00000000" w:rsidP="00BE00C7">
            <w:pPr>
              <w:pStyle w:val="OutcomeDescription"/>
              <w:spacing w:before="120" w:after="120"/>
              <w:rPr>
                <w:rFonts w:cs="Arial"/>
                <w:lang w:eastAsia="en-NZ"/>
              </w:rPr>
            </w:pPr>
          </w:p>
        </w:tc>
        <w:tc>
          <w:tcPr>
            <w:tcW w:w="0" w:type="auto"/>
          </w:tcPr>
          <w:p w14:paraId="43B348A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completed orientation records are kept on file.</w:t>
            </w:r>
          </w:p>
          <w:p w14:paraId="4FF7C853" w14:textId="77777777" w:rsidR="00000000" w:rsidRPr="00BE00C7" w:rsidRDefault="00000000" w:rsidP="00BE00C7">
            <w:pPr>
              <w:pStyle w:val="OutcomeDescription"/>
              <w:spacing w:before="120" w:after="120"/>
              <w:rPr>
                <w:rFonts w:cs="Arial"/>
                <w:lang w:eastAsia="en-NZ"/>
              </w:rPr>
            </w:pPr>
          </w:p>
          <w:p w14:paraId="6FCCE9D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F4A" w14:paraId="5ED76189" w14:textId="77777777">
        <w:tc>
          <w:tcPr>
            <w:tcW w:w="0" w:type="auto"/>
          </w:tcPr>
          <w:p w14:paraId="7AEDFD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2.4.5</w:t>
            </w:r>
          </w:p>
          <w:p w14:paraId="171B1F5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068DC7B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83458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schedule of when performance reviews are due. A review of the schedule evidence that performance reviews were not completed in 2024 and 2025 YTD. The new clinical manager and new general manager have implemented a process to review the schedule to ensure performance reviews are completed.</w:t>
            </w:r>
          </w:p>
          <w:p w14:paraId="5B361095" w14:textId="77777777" w:rsidR="00000000" w:rsidRPr="00BE00C7" w:rsidRDefault="00000000" w:rsidP="00BE00C7">
            <w:pPr>
              <w:pStyle w:val="OutcomeDescription"/>
              <w:spacing w:before="120" w:after="120"/>
              <w:rPr>
                <w:rFonts w:cs="Arial"/>
                <w:lang w:eastAsia="en-NZ"/>
              </w:rPr>
            </w:pPr>
          </w:p>
        </w:tc>
        <w:tc>
          <w:tcPr>
            <w:tcW w:w="0" w:type="auto"/>
          </w:tcPr>
          <w:p w14:paraId="44270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reviews were not completed as scheduled for 2024 and 2025. </w:t>
            </w:r>
          </w:p>
          <w:p w14:paraId="28F22D5C" w14:textId="77777777" w:rsidR="00000000" w:rsidRPr="00BE00C7" w:rsidRDefault="00000000" w:rsidP="00BE00C7">
            <w:pPr>
              <w:pStyle w:val="OutcomeDescription"/>
              <w:spacing w:before="120" w:after="120"/>
              <w:rPr>
                <w:rFonts w:cs="Arial"/>
                <w:lang w:eastAsia="en-NZ"/>
              </w:rPr>
            </w:pPr>
          </w:p>
        </w:tc>
        <w:tc>
          <w:tcPr>
            <w:tcW w:w="0" w:type="auto"/>
          </w:tcPr>
          <w:p w14:paraId="6DC2EAC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Ensures staff who are employed for more than 12 months have an annual performance review completed.</w:t>
            </w:r>
          </w:p>
          <w:p w14:paraId="69B6A624" w14:textId="77777777" w:rsidR="00000000" w:rsidRPr="00BE00C7" w:rsidRDefault="00000000" w:rsidP="00BE00C7">
            <w:pPr>
              <w:pStyle w:val="OutcomeDescription"/>
              <w:spacing w:before="120" w:after="120"/>
              <w:rPr>
                <w:rFonts w:cs="Arial"/>
                <w:lang w:eastAsia="en-NZ"/>
              </w:rPr>
            </w:pPr>
          </w:p>
          <w:p w14:paraId="1F10B40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F4A" w14:paraId="24A3686D" w14:textId="77777777">
        <w:tc>
          <w:tcPr>
            <w:tcW w:w="0" w:type="auto"/>
          </w:tcPr>
          <w:p w14:paraId="07C59B5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2E41E0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4610E2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A696B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required to demonstrate that all residents have an interRAI assessment completed, using the most clinically appropriate tool within 21 days of admission. Each resident’s care plan must be informed by the interRAI assessment, and reviewed or updated when clinically indicated or at least every six months, whichever occurs first.</w:t>
            </w:r>
          </w:p>
          <w:p w14:paraId="19568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from six resident files reviewed confirmed compliance with the required timeframes for both initial and six-monthly interRAI assessments. However, the resident’s assessments due generated from the momentum system identified six overdue assessments on the day of the audit. This is an ongoing shortfall. </w:t>
            </w:r>
          </w:p>
          <w:p w14:paraId="283EDB8B" w14:textId="77777777" w:rsidR="00000000" w:rsidRPr="00BE00C7" w:rsidRDefault="00000000" w:rsidP="00BE00C7">
            <w:pPr>
              <w:pStyle w:val="OutcomeDescription"/>
              <w:spacing w:before="120" w:after="120"/>
              <w:rPr>
                <w:rFonts w:cs="Arial"/>
                <w:lang w:eastAsia="en-NZ"/>
              </w:rPr>
            </w:pPr>
          </w:p>
        </w:tc>
        <w:tc>
          <w:tcPr>
            <w:tcW w:w="0" w:type="auto"/>
          </w:tcPr>
          <w:p w14:paraId="0E793E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Initial interRAI assessments for two hospital level care residents are overdue for three to eighteen days. </w:t>
            </w:r>
          </w:p>
          <w:p w14:paraId="5C669B96" w14:textId="77777777" w:rsidR="00000000" w:rsidRPr="00BE00C7" w:rsidRDefault="00000000" w:rsidP="00BE00C7">
            <w:pPr>
              <w:pStyle w:val="OutcomeDescription"/>
              <w:spacing w:before="120" w:after="120"/>
              <w:rPr>
                <w:rFonts w:cs="Arial"/>
                <w:lang w:eastAsia="en-NZ"/>
              </w:rPr>
            </w:pPr>
            <w:r w:rsidRPr="00BE00C7">
              <w:rPr>
                <w:rFonts w:cs="Arial"/>
                <w:lang w:eastAsia="en-NZ"/>
              </w:rPr>
              <w:t>(ii). Six-monthly interRAI reassessments for three rest home level care residents and one dementia level care resident are overdue by more than fourteen to thirty days.</w:t>
            </w:r>
          </w:p>
          <w:p w14:paraId="676BA56D" w14:textId="77777777" w:rsidR="00000000" w:rsidRPr="00BE00C7" w:rsidRDefault="00000000" w:rsidP="00BE00C7">
            <w:pPr>
              <w:pStyle w:val="OutcomeDescription"/>
              <w:spacing w:before="120" w:after="120"/>
              <w:rPr>
                <w:rFonts w:cs="Arial"/>
                <w:lang w:eastAsia="en-NZ"/>
              </w:rPr>
            </w:pPr>
          </w:p>
        </w:tc>
        <w:tc>
          <w:tcPr>
            <w:tcW w:w="0" w:type="auto"/>
          </w:tcPr>
          <w:p w14:paraId="27B641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 (ii). Ensure interRAI assessments and reassessments are completed within the required timeframes. </w:t>
            </w:r>
          </w:p>
          <w:p w14:paraId="160C208E" w14:textId="77777777" w:rsidR="00000000" w:rsidRPr="00BE00C7" w:rsidRDefault="00000000" w:rsidP="00BE00C7">
            <w:pPr>
              <w:pStyle w:val="OutcomeDescription"/>
              <w:spacing w:before="120" w:after="120"/>
              <w:rPr>
                <w:rFonts w:cs="Arial"/>
                <w:lang w:eastAsia="en-NZ"/>
              </w:rPr>
            </w:pPr>
          </w:p>
          <w:p w14:paraId="6A4999E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C7F4A" w14:paraId="1ED8D9B1" w14:textId="77777777">
        <w:tc>
          <w:tcPr>
            <w:tcW w:w="0" w:type="auto"/>
          </w:tcPr>
          <w:p w14:paraId="2BE9E81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47790FDF"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 xml:space="preserve">(b) Include the use of a range </w:t>
            </w:r>
            <w:r w:rsidRPr="00BE00C7">
              <w:rPr>
                <w:rFonts w:cs="Arial"/>
                <w:lang w:eastAsia="en-NZ"/>
              </w:rPr>
              <w:lastRenderedPageBreak/>
              <w:t>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0A62B83B" w14:textId="77777777" w:rsidR="00000000" w:rsidRPr="00BE00C7" w:rsidRDefault="00000000" w:rsidP="00BE00C7">
            <w:pPr>
              <w:pStyle w:val="OutcomeDescription"/>
              <w:spacing w:before="120" w:after="120"/>
              <w:rPr>
                <w:rFonts w:cs="Arial"/>
                <w:lang w:eastAsia="en-NZ"/>
              </w:rPr>
            </w:pPr>
          </w:p>
        </w:tc>
        <w:tc>
          <w:tcPr>
            <w:tcW w:w="0" w:type="auto"/>
          </w:tcPr>
          <w:p w14:paraId="084257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418EA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Exception reporting, as outlined in the Bupa Policy related to progress reporting, requires nursing staff to complete a progress note entry whenever there is a significant change in a resident’s condition, health status, or response to care, or when a new intervention or event of clinical relevance occurs. This includes deterioration or improvement in condition, communication with the general practitioner or </w:t>
            </w:r>
            <w:r w:rsidRPr="00BE00C7">
              <w:rPr>
                <w:rFonts w:cs="Arial"/>
                <w:lang w:eastAsia="en-NZ"/>
              </w:rPr>
              <w:lastRenderedPageBreak/>
              <w:t>family/whānau, attendance at appointments, or any situation that impacts the resident’s wellbeing. The process supports early recognition of clinical changes and ensures prompt escalation and continuity of care. All entries are to be recorded contemporaneously, providing an accurate and chronological account of the resident’s care journey and clinical interventions.</w:t>
            </w:r>
          </w:p>
          <w:p w14:paraId="7AE8B3DE"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Providers are required to maintain planned reviews and documentation that record achievement towards goals, identify changes in condition, and ensure the care plan is updated in response to progress that differs from expectation. The ARRC Contract Clause D7.1 mandates regular and accurate progress reporting that reflects changes in condition, treatment, and response to care.</w:t>
            </w:r>
          </w:p>
          <w:p w14:paraId="4C495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notes reviewed do not consistently evidence exception reporting as per policy. Progress notes are not consistently written to accurately describe details to show changes in a resident’s condition, treatment / interventions implemented, or progress towards goals. This is an ongoing shortfall. </w:t>
            </w:r>
          </w:p>
          <w:p w14:paraId="33F2704E" w14:textId="77777777" w:rsidR="00000000" w:rsidRPr="00BE00C7" w:rsidRDefault="00000000" w:rsidP="00BE00C7">
            <w:pPr>
              <w:pStyle w:val="OutcomeDescription"/>
              <w:spacing w:before="120" w:after="120"/>
              <w:rPr>
                <w:rFonts w:cs="Arial"/>
                <w:lang w:eastAsia="en-NZ"/>
              </w:rPr>
            </w:pPr>
          </w:p>
        </w:tc>
        <w:tc>
          <w:tcPr>
            <w:tcW w:w="0" w:type="auto"/>
          </w:tcPr>
          <w:p w14:paraId="76CB27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Caregivers mainly use the pre-set task lists and intervention templates in electronic management system, and do not always record when care or observations differ from what is usual for the resident.</w:t>
            </w:r>
          </w:p>
          <w:p w14:paraId="6AA6A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Registered nurses </w:t>
            </w:r>
            <w:r w:rsidRPr="00BE00C7">
              <w:rPr>
                <w:rFonts w:cs="Arial"/>
                <w:lang w:eastAsia="en-NZ"/>
              </w:rPr>
              <w:lastRenderedPageBreak/>
              <w:t>complete progress notes, but these entries lack the level of detail expected when monitoring charts or assessment forms are in use.</w:t>
            </w:r>
          </w:p>
          <w:p w14:paraId="15C7F92A" w14:textId="77777777" w:rsidR="00000000" w:rsidRPr="00BE00C7" w:rsidRDefault="00000000" w:rsidP="00BE00C7">
            <w:pPr>
              <w:pStyle w:val="OutcomeDescription"/>
              <w:spacing w:before="120" w:after="120"/>
              <w:rPr>
                <w:rFonts w:cs="Arial"/>
                <w:lang w:eastAsia="en-NZ"/>
              </w:rPr>
            </w:pPr>
          </w:p>
        </w:tc>
        <w:tc>
          <w:tcPr>
            <w:tcW w:w="0" w:type="auto"/>
          </w:tcPr>
          <w:p w14:paraId="33AE82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 (i). Ensure when care or observations differ from what is usual for the resident, that this is clearly documented within progress notes.</w:t>
            </w:r>
          </w:p>
          <w:p w14:paraId="48D6CB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progress notes completed by registered nurses, </w:t>
            </w:r>
            <w:r w:rsidRPr="00BE00C7">
              <w:rPr>
                <w:rFonts w:cs="Arial"/>
                <w:lang w:eastAsia="en-NZ"/>
              </w:rPr>
              <w:lastRenderedPageBreak/>
              <w:t>evidence sufficient detail.</w:t>
            </w:r>
          </w:p>
          <w:p w14:paraId="733F87B9" w14:textId="77777777" w:rsidR="00000000" w:rsidRPr="00BE00C7" w:rsidRDefault="00000000" w:rsidP="00BE00C7">
            <w:pPr>
              <w:pStyle w:val="OutcomeDescription"/>
              <w:spacing w:before="120" w:after="120"/>
              <w:rPr>
                <w:rFonts w:cs="Arial"/>
                <w:lang w:eastAsia="en-NZ"/>
              </w:rPr>
            </w:pPr>
          </w:p>
          <w:p w14:paraId="6746B69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00240C4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1F8DE3D" w14:textId="77777777" w:rsidR="00000000" w:rsidRDefault="00000000">
      <w:pPr>
        <w:pStyle w:val="Heading1"/>
        <w:rPr>
          <w:rFonts w:cs="Arial"/>
        </w:rPr>
      </w:pPr>
      <w:r>
        <w:rPr>
          <w:rFonts w:cs="Arial"/>
        </w:rPr>
        <w:lastRenderedPageBreak/>
        <w:t>Specific results for criterion where a continuous improvement has been recorded</w:t>
      </w:r>
    </w:p>
    <w:p w14:paraId="43726BB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9BB52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B82212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C7F4A" w14:paraId="20179D59" w14:textId="77777777">
        <w:tc>
          <w:tcPr>
            <w:tcW w:w="0" w:type="auto"/>
          </w:tcPr>
          <w:p w14:paraId="5A3E38D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FC21D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7AC26E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65DC" w14:textId="77777777" w:rsidR="004031DE" w:rsidRDefault="004031DE">
      <w:r>
        <w:separator/>
      </w:r>
    </w:p>
  </w:endnote>
  <w:endnote w:type="continuationSeparator" w:id="0">
    <w:p w14:paraId="3576638D" w14:textId="77777777" w:rsidR="004031DE" w:rsidRDefault="0040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53DB" w14:textId="77777777" w:rsidR="00000000" w:rsidRDefault="00000000">
    <w:pPr>
      <w:pStyle w:val="Footer"/>
    </w:pPr>
  </w:p>
  <w:p w14:paraId="4D30E641" w14:textId="77777777" w:rsidR="00000000" w:rsidRDefault="00000000"/>
  <w:p w14:paraId="67FE227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0D5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Ballarat Care Home</w:t>
    </w:r>
    <w:bookmarkEnd w:id="59"/>
    <w:r>
      <w:rPr>
        <w:rFonts w:cs="Arial"/>
        <w:sz w:val="16"/>
        <w:szCs w:val="20"/>
      </w:rPr>
      <w:tab/>
      <w:t xml:space="preserve">Date of Audit: </w:t>
    </w:r>
    <w:bookmarkStart w:id="60" w:name="AuditStartDate1"/>
    <w:r>
      <w:rPr>
        <w:rFonts w:cs="Arial"/>
        <w:sz w:val="16"/>
        <w:szCs w:val="20"/>
      </w:rPr>
      <w:t>22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160EC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06F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894F" w14:textId="77777777" w:rsidR="004031DE" w:rsidRDefault="004031DE">
      <w:r>
        <w:separator/>
      </w:r>
    </w:p>
  </w:footnote>
  <w:footnote w:type="continuationSeparator" w:id="0">
    <w:p w14:paraId="2187CBEE" w14:textId="77777777" w:rsidR="004031DE" w:rsidRDefault="0040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110A" w14:textId="77777777" w:rsidR="00000000" w:rsidRDefault="00000000">
    <w:pPr>
      <w:pStyle w:val="Header"/>
    </w:pPr>
  </w:p>
  <w:p w14:paraId="7E258BA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0168" w14:textId="77777777" w:rsidR="00000000" w:rsidRDefault="00000000">
    <w:pPr>
      <w:pStyle w:val="Header"/>
    </w:pPr>
  </w:p>
  <w:p w14:paraId="0346E1D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5D2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226B1D0">
      <w:start w:val="1"/>
      <w:numFmt w:val="decimal"/>
      <w:lvlText w:val="%1."/>
      <w:lvlJc w:val="left"/>
      <w:pPr>
        <w:ind w:left="360" w:hanging="360"/>
      </w:pPr>
    </w:lvl>
    <w:lvl w:ilvl="1" w:tplc="FDEE5B6E" w:tentative="1">
      <w:start w:val="1"/>
      <w:numFmt w:val="lowerLetter"/>
      <w:lvlText w:val="%2."/>
      <w:lvlJc w:val="left"/>
      <w:pPr>
        <w:ind w:left="1080" w:hanging="360"/>
      </w:pPr>
    </w:lvl>
    <w:lvl w:ilvl="2" w:tplc="DE701952" w:tentative="1">
      <w:start w:val="1"/>
      <w:numFmt w:val="lowerRoman"/>
      <w:lvlText w:val="%3."/>
      <w:lvlJc w:val="right"/>
      <w:pPr>
        <w:ind w:left="1800" w:hanging="180"/>
      </w:pPr>
    </w:lvl>
    <w:lvl w:ilvl="3" w:tplc="CE58AF20" w:tentative="1">
      <w:start w:val="1"/>
      <w:numFmt w:val="decimal"/>
      <w:lvlText w:val="%4."/>
      <w:lvlJc w:val="left"/>
      <w:pPr>
        <w:ind w:left="2520" w:hanging="360"/>
      </w:pPr>
    </w:lvl>
    <w:lvl w:ilvl="4" w:tplc="E5A81556" w:tentative="1">
      <w:start w:val="1"/>
      <w:numFmt w:val="lowerLetter"/>
      <w:lvlText w:val="%5."/>
      <w:lvlJc w:val="left"/>
      <w:pPr>
        <w:ind w:left="3240" w:hanging="360"/>
      </w:pPr>
    </w:lvl>
    <w:lvl w:ilvl="5" w:tplc="FD241BAA" w:tentative="1">
      <w:start w:val="1"/>
      <w:numFmt w:val="lowerRoman"/>
      <w:lvlText w:val="%6."/>
      <w:lvlJc w:val="right"/>
      <w:pPr>
        <w:ind w:left="3960" w:hanging="180"/>
      </w:pPr>
    </w:lvl>
    <w:lvl w:ilvl="6" w:tplc="A102467C" w:tentative="1">
      <w:start w:val="1"/>
      <w:numFmt w:val="decimal"/>
      <w:lvlText w:val="%7."/>
      <w:lvlJc w:val="left"/>
      <w:pPr>
        <w:ind w:left="4680" w:hanging="360"/>
      </w:pPr>
    </w:lvl>
    <w:lvl w:ilvl="7" w:tplc="6EAE9626" w:tentative="1">
      <w:start w:val="1"/>
      <w:numFmt w:val="lowerLetter"/>
      <w:lvlText w:val="%8."/>
      <w:lvlJc w:val="left"/>
      <w:pPr>
        <w:ind w:left="5400" w:hanging="360"/>
      </w:pPr>
    </w:lvl>
    <w:lvl w:ilvl="8" w:tplc="AA24AB0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6F476C6">
      <w:start w:val="1"/>
      <w:numFmt w:val="bullet"/>
      <w:lvlText w:val=""/>
      <w:lvlJc w:val="left"/>
      <w:pPr>
        <w:ind w:left="720" w:hanging="360"/>
      </w:pPr>
      <w:rPr>
        <w:rFonts w:ascii="Symbol" w:hAnsi="Symbol" w:hint="default"/>
      </w:rPr>
    </w:lvl>
    <w:lvl w:ilvl="1" w:tplc="21840FD6" w:tentative="1">
      <w:start w:val="1"/>
      <w:numFmt w:val="bullet"/>
      <w:lvlText w:val="o"/>
      <w:lvlJc w:val="left"/>
      <w:pPr>
        <w:ind w:left="1440" w:hanging="360"/>
      </w:pPr>
      <w:rPr>
        <w:rFonts w:ascii="Courier New" w:hAnsi="Courier New" w:cs="Courier New" w:hint="default"/>
      </w:rPr>
    </w:lvl>
    <w:lvl w:ilvl="2" w:tplc="DB806EC6" w:tentative="1">
      <w:start w:val="1"/>
      <w:numFmt w:val="bullet"/>
      <w:lvlText w:val=""/>
      <w:lvlJc w:val="left"/>
      <w:pPr>
        <w:ind w:left="2160" w:hanging="360"/>
      </w:pPr>
      <w:rPr>
        <w:rFonts w:ascii="Wingdings" w:hAnsi="Wingdings" w:hint="default"/>
      </w:rPr>
    </w:lvl>
    <w:lvl w:ilvl="3" w:tplc="32AC7F5C" w:tentative="1">
      <w:start w:val="1"/>
      <w:numFmt w:val="bullet"/>
      <w:lvlText w:val=""/>
      <w:lvlJc w:val="left"/>
      <w:pPr>
        <w:ind w:left="2880" w:hanging="360"/>
      </w:pPr>
      <w:rPr>
        <w:rFonts w:ascii="Symbol" w:hAnsi="Symbol" w:hint="default"/>
      </w:rPr>
    </w:lvl>
    <w:lvl w:ilvl="4" w:tplc="784C973E" w:tentative="1">
      <w:start w:val="1"/>
      <w:numFmt w:val="bullet"/>
      <w:lvlText w:val="o"/>
      <w:lvlJc w:val="left"/>
      <w:pPr>
        <w:ind w:left="3600" w:hanging="360"/>
      </w:pPr>
      <w:rPr>
        <w:rFonts w:ascii="Courier New" w:hAnsi="Courier New" w:cs="Courier New" w:hint="default"/>
      </w:rPr>
    </w:lvl>
    <w:lvl w:ilvl="5" w:tplc="9ED842BA" w:tentative="1">
      <w:start w:val="1"/>
      <w:numFmt w:val="bullet"/>
      <w:lvlText w:val=""/>
      <w:lvlJc w:val="left"/>
      <w:pPr>
        <w:ind w:left="4320" w:hanging="360"/>
      </w:pPr>
      <w:rPr>
        <w:rFonts w:ascii="Wingdings" w:hAnsi="Wingdings" w:hint="default"/>
      </w:rPr>
    </w:lvl>
    <w:lvl w:ilvl="6" w:tplc="38047726" w:tentative="1">
      <w:start w:val="1"/>
      <w:numFmt w:val="bullet"/>
      <w:lvlText w:val=""/>
      <w:lvlJc w:val="left"/>
      <w:pPr>
        <w:ind w:left="5040" w:hanging="360"/>
      </w:pPr>
      <w:rPr>
        <w:rFonts w:ascii="Symbol" w:hAnsi="Symbol" w:hint="default"/>
      </w:rPr>
    </w:lvl>
    <w:lvl w:ilvl="7" w:tplc="4BC2B7CC" w:tentative="1">
      <w:start w:val="1"/>
      <w:numFmt w:val="bullet"/>
      <w:lvlText w:val="o"/>
      <w:lvlJc w:val="left"/>
      <w:pPr>
        <w:ind w:left="5760" w:hanging="360"/>
      </w:pPr>
      <w:rPr>
        <w:rFonts w:ascii="Courier New" w:hAnsi="Courier New" w:cs="Courier New" w:hint="default"/>
      </w:rPr>
    </w:lvl>
    <w:lvl w:ilvl="8" w:tplc="807A260C" w:tentative="1">
      <w:start w:val="1"/>
      <w:numFmt w:val="bullet"/>
      <w:lvlText w:val=""/>
      <w:lvlJc w:val="left"/>
      <w:pPr>
        <w:ind w:left="6480" w:hanging="360"/>
      </w:pPr>
      <w:rPr>
        <w:rFonts w:ascii="Wingdings" w:hAnsi="Wingdings" w:hint="default"/>
      </w:rPr>
    </w:lvl>
  </w:abstractNum>
  <w:num w:numId="1" w16cid:durableId="32927338">
    <w:abstractNumId w:val="1"/>
  </w:num>
  <w:num w:numId="2" w16cid:durableId="209185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4A"/>
    <w:rsid w:val="004031DE"/>
    <w:rsid w:val="00851133"/>
    <w:rsid w:val="008E2B73"/>
    <w:rsid w:val="009C7F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E46D"/>
  <w15:docId w15:val="{25238E8D-15A4-4F34-AB43-3B28F562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8888</Words>
  <Characters>50663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