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F817" w14:textId="77777777" w:rsidR="00000000" w:rsidRDefault="00000000">
      <w:pPr>
        <w:pStyle w:val="Heading1"/>
        <w:rPr>
          <w:rFonts w:cs="Arial"/>
        </w:rPr>
      </w:pPr>
      <w:bookmarkStart w:id="0" w:name="PRMS_RIName"/>
      <w:r>
        <w:rPr>
          <w:rFonts w:cs="Arial"/>
        </w:rPr>
        <w:t>Lexall Limited - Lexall Care</w:t>
      </w:r>
      <w:bookmarkEnd w:id="0"/>
    </w:p>
    <w:p w14:paraId="3C127B59" w14:textId="77777777" w:rsidR="00000000" w:rsidRDefault="00000000">
      <w:pPr>
        <w:pStyle w:val="Heading2"/>
        <w:spacing w:after="0"/>
        <w:rPr>
          <w:rFonts w:cs="Arial"/>
        </w:rPr>
      </w:pPr>
      <w:r>
        <w:rPr>
          <w:rFonts w:cs="Arial"/>
        </w:rPr>
        <w:t>Introduction</w:t>
      </w:r>
    </w:p>
    <w:p w14:paraId="2C12DBE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A89F25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9230F3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10C2E8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B623163" w14:textId="77777777" w:rsidR="00000000" w:rsidRDefault="00000000">
      <w:pPr>
        <w:spacing w:before="240" w:after="240"/>
        <w:rPr>
          <w:rFonts w:cs="Arial"/>
          <w:lang w:eastAsia="en-NZ"/>
        </w:rPr>
      </w:pPr>
      <w:r>
        <w:rPr>
          <w:rFonts w:cs="Arial"/>
          <w:lang w:eastAsia="en-NZ"/>
        </w:rPr>
        <w:t>The specifics of this audit included:</w:t>
      </w:r>
    </w:p>
    <w:p w14:paraId="710D60D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9498C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Lexall Limited</w:t>
      </w:r>
      <w:bookmarkEnd w:id="4"/>
    </w:p>
    <w:p w14:paraId="05A957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Lexall Care</w:t>
      </w:r>
      <w:bookmarkEnd w:id="5"/>
    </w:p>
    <w:p w14:paraId="4C8D9FD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03AB2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November 2025</w:t>
      </w:r>
      <w:bookmarkEnd w:id="7"/>
      <w:r w:rsidRPr="009418D4">
        <w:rPr>
          <w:rFonts w:cs="Arial"/>
        </w:rPr>
        <w:tab/>
        <w:t xml:space="preserve">End date: </w:t>
      </w:r>
      <w:bookmarkStart w:id="8" w:name="AuditEndDate"/>
      <w:r>
        <w:rPr>
          <w:rFonts w:cs="Arial"/>
        </w:rPr>
        <w:t>25 November 2025</w:t>
      </w:r>
      <w:bookmarkEnd w:id="8"/>
    </w:p>
    <w:p w14:paraId="16D09BD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F67645" w14:textId="77777777" w:rsidR="005C26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19240AA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6B8D354" w14:textId="77777777" w:rsidR="00000000" w:rsidRDefault="00000000">
      <w:pPr>
        <w:pStyle w:val="Heading1"/>
        <w:rPr>
          <w:rFonts w:cs="Arial"/>
        </w:rPr>
      </w:pPr>
      <w:r>
        <w:rPr>
          <w:rFonts w:cs="Arial"/>
        </w:rPr>
        <w:lastRenderedPageBreak/>
        <w:t>Executive summary of the audit</w:t>
      </w:r>
    </w:p>
    <w:p w14:paraId="4B8FF543" w14:textId="77777777" w:rsidR="00000000" w:rsidRDefault="00000000">
      <w:pPr>
        <w:pStyle w:val="Heading2"/>
        <w:rPr>
          <w:rFonts w:cs="Arial"/>
        </w:rPr>
      </w:pPr>
      <w:r>
        <w:rPr>
          <w:rFonts w:cs="Arial"/>
        </w:rPr>
        <w:t>Introduction</w:t>
      </w:r>
    </w:p>
    <w:p w14:paraId="6CC0EA9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F3DE1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9B3C4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63F3D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C8E519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DD5A4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8DC839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B1547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401D81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C26E0" w14:paraId="187B3CA3" w14:textId="77777777">
        <w:trPr>
          <w:cantSplit/>
          <w:tblHeader/>
        </w:trPr>
        <w:tc>
          <w:tcPr>
            <w:tcW w:w="1260" w:type="dxa"/>
            <w:tcBorders>
              <w:bottom w:val="single" w:sz="4" w:space="0" w:color="000000"/>
            </w:tcBorders>
            <w:vAlign w:val="center"/>
          </w:tcPr>
          <w:p w14:paraId="75CC684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DC9A89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C565EAE" w14:textId="77777777" w:rsidR="00000000" w:rsidRDefault="00000000">
            <w:pPr>
              <w:spacing w:before="60" w:after="60"/>
              <w:rPr>
                <w:rFonts w:eastAsia="Calibri"/>
                <w:b/>
                <w:szCs w:val="24"/>
              </w:rPr>
            </w:pPr>
            <w:r>
              <w:rPr>
                <w:rFonts w:eastAsia="Calibri"/>
                <w:b/>
                <w:szCs w:val="24"/>
              </w:rPr>
              <w:t>Definition</w:t>
            </w:r>
          </w:p>
        </w:tc>
      </w:tr>
      <w:tr w:rsidR="005C26E0" w14:paraId="26E4A196" w14:textId="77777777">
        <w:trPr>
          <w:cantSplit/>
          <w:trHeight w:val="964"/>
        </w:trPr>
        <w:tc>
          <w:tcPr>
            <w:tcW w:w="1260" w:type="dxa"/>
            <w:tcBorders>
              <w:bottom w:val="single" w:sz="4" w:space="0" w:color="000000"/>
            </w:tcBorders>
            <w:shd w:val="clear" w:color="0066FF" w:fill="0000FF"/>
            <w:vAlign w:val="center"/>
          </w:tcPr>
          <w:p w14:paraId="4AD203C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75E76C2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A2C772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C26E0" w14:paraId="4C301A9C" w14:textId="77777777">
        <w:trPr>
          <w:cantSplit/>
          <w:trHeight w:val="964"/>
        </w:trPr>
        <w:tc>
          <w:tcPr>
            <w:tcW w:w="1260" w:type="dxa"/>
            <w:shd w:val="clear" w:color="33CC33" w:fill="00FF00"/>
            <w:vAlign w:val="center"/>
          </w:tcPr>
          <w:p w14:paraId="2C17BFB9" w14:textId="77777777" w:rsidR="00000000" w:rsidRDefault="00000000">
            <w:pPr>
              <w:spacing w:before="60" w:after="60"/>
              <w:rPr>
                <w:rFonts w:eastAsia="Calibri"/>
                <w:szCs w:val="24"/>
              </w:rPr>
            </w:pPr>
          </w:p>
        </w:tc>
        <w:tc>
          <w:tcPr>
            <w:tcW w:w="7095" w:type="dxa"/>
            <w:vAlign w:val="center"/>
          </w:tcPr>
          <w:p w14:paraId="2622F9F2"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26DB754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C26E0" w14:paraId="319CB752" w14:textId="77777777">
        <w:trPr>
          <w:cantSplit/>
          <w:trHeight w:val="964"/>
        </w:trPr>
        <w:tc>
          <w:tcPr>
            <w:tcW w:w="1260" w:type="dxa"/>
            <w:tcBorders>
              <w:bottom w:val="single" w:sz="4" w:space="0" w:color="000000"/>
            </w:tcBorders>
            <w:shd w:val="clear" w:color="auto" w:fill="FFFF00"/>
            <w:vAlign w:val="center"/>
          </w:tcPr>
          <w:p w14:paraId="6C79B460" w14:textId="77777777" w:rsidR="00000000" w:rsidRDefault="00000000">
            <w:pPr>
              <w:spacing w:before="60" w:after="60"/>
              <w:rPr>
                <w:rFonts w:eastAsia="Calibri"/>
                <w:szCs w:val="24"/>
              </w:rPr>
            </w:pPr>
          </w:p>
        </w:tc>
        <w:tc>
          <w:tcPr>
            <w:tcW w:w="7095" w:type="dxa"/>
            <w:vAlign w:val="center"/>
          </w:tcPr>
          <w:p w14:paraId="1409C1A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558255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C26E0" w14:paraId="1A7BF0FD" w14:textId="77777777">
        <w:trPr>
          <w:cantSplit/>
          <w:trHeight w:val="964"/>
        </w:trPr>
        <w:tc>
          <w:tcPr>
            <w:tcW w:w="1260" w:type="dxa"/>
            <w:tcBorders>
              <w:bottom w:val="single" w:sz="4" w:space="0" w:color="000000"/>
            </w:tcBorders>
            <w:shd w:val="clear" w:color="auto" w:fill="FFC800"/>
            <w:vAlign w:val="center"/>
          </w:tcPr>
          <w:p w14:paraId="64319A48"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DF89FA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611F8A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C26E0" w14:paraId="79E8B212" w14:textId="77777777">
        <w:trPr>
          <w:cantSplit/>
          <w:trHeight w:val="964"/>
        </w:trPr>
        <w:tc>
          <w:tcPr>
            <w:tcW w:w="1260" w:type="dxa"/>
            <w:shd w:val="clear" w:color="auto" w:fill="FF0000"/>
            <w:vAlign w:val="center"/>
          </w:tcPr>
          <w:p w14:paraId="1FD8CBBD" w14:textId="77777777" w:rsidR="00000000" w:rsidRDefault="00000000">
            <w:pPr>
              <w:spacing w:before="60" w:after="60"/>
              <w:rPr>
                <w:rFonts w:eastAsia="Calibri"/>
                <w:szCs w:val="24"/>
              </w:rPr>
            </w:pPr>
          </w:p>
        </w:tc>
        <w:tc>
          <w:tcPr>
            <w:tcW w:w="7095" w:type="dxa"/>
            <w:vAlign w:val="center"/>
          </w:tcPr>
          <w:p w14:paraId="5B0CE37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87FCD0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F044F67" w14:textId="77777777" w:rsidR="00000000" w:rsidRDefault="00000000">
      <w:pPr>
        <w:pStyle w:val="Heading2"/>
        <w:spacing w:after="0"/>
        <w:rPr>
          <w:rFonts w:cs="Arial"/>
        </w:rPr>
      </w:pPr>
      <w:r>
        <w:rPr>
          <w:rFonts w:cs="Arial"/>
        </w:rPr>
        <w:t>General overview of the audit</w:t>
      </w:r>
    </w:p>
    <w:p w14:paraId="13670DCB" w14:textId="77777777" w:rsidR="00000000" w:rsidRDefault="00000000">
      <w:pPr>
        <w:spacing w:before="240" w:line="276" w:lineRule="auto"/>
        <w:rPr>
          <w:rFonts w:eastAsia="Calibri"/>
        </w:rPr>
      </w:pPr>
      <w:bookmarkStart w:id="13" w:name="GeneralOverview"/>
      <w:r w:rsidRPr="00A4268A">
        <w:rPr>
          <w:rFonts w:eastAsia="Calibri"/>
        </w:rPr>
        <w:t xml:space="preserve">Lexall Care is owned by Lexall Limited. The service provides hospital (medical and geriatric) and rest home level of care for up to 58 residents. On the day of the audit, there were 55 residents. </w:t>
      </w:r>
    </w:p>
    <w:p w14:paraId="7388E375" w14:textId="77777777" w:rsidR="005C26E0" w:rsidRPr="00A4268A" w:rsidRDefault="00000000">
      <w:pPr>
        <w:spacing w:before="240" w:line="276" w:lineRule="auto"/>
        <w:rPr>
          <w:rFonts w:eastAsia="Calibri"/>
        </w:rPr>
      </w:pPr>
      <w:r w:rsidRPr="00A4268A">
        <w:rPr>
          <w:rFonts w:eastAsia="Calibri"/>
        </w:rPr>
        <w:t>The service is managed by a clinical manager, who is supported by a charge nurse, owner/manager, assistant manager, finance manager, nursing team and staff.</w:t>
      </w:r>
    </w:p>
    <w:p w14:paraId="658B00FA" w14:textId="77777777" w:rsidR="005C26E0"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20B1723B" w14:textId="77777777" w:rsidR="005C26E0" w:rsidRPr="00A4268A" w:rsidRDefault="00000000">
      <w:pPr>
        <w:spacing w:before="240" w:line="276" w:lineRule="auto"/>
        <w:rPr>
          <w:rFonts w:eastAsia="Calibri"/>
        </w:rPr>
      </w:pPr>
      <w:r w:rsidRPr="00A4268A">
        <w:rPr>
          <w:rFonts w:eastAsia="Calibri"/>
        </w:rPr>
        <w:t>The previous four audit shortfalls around staff meetings, training for staff, neurological observations, and including ethnicity data in the surveillance of infections have been addressed.</w:t>
      </w:r>
    </w:p>
    <w:p w14:paraId="5277FB21" w14:textId="77777777" w:rsidR="005C26E0"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5FE9F595" w14:textId="77777777" w:rsidR="005C26E0" w:rsidRPr="00A4268A" w:rsidRDefault="005C26E0">
      <w:pPr>
        <w:spacing w:before="240" w:line="276" w:lineRule="auto"/>
        <w:rPr>
          <w:rFonts w:eastAsia="Calibri"/>
        </w:rPr>
      </w:pPr>
    </w:p>
    <w:p w14:paraId="2D7F31B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3DF03C23" w14:textId="77777777" w:rsidTr="00A4268A">
        <w:trPr>
          <w:cantSplit/>
        </w:trPr>
        <w:tc>
          <w:tcPr>
            <w:tcW w:w="10206" w:type="dxa"/>
            <w:vAlign w:val="center"/>
          </w:tcPr>
          <w:p w14:paraId="03A40CF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92D38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6CA7DF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14E8FD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43FE42E" w14:textId="77777777" w:rsidR="00000000" w:rsidRDefault="00000000">
      <w:pPr>
        <w:spacing w:before="240" w:line="276" w:lineRule="auto"/>
        <w:rPr>
          <w:rFonts w:eastAsia="Calibri"/>
        </w:rPr>
      </w:pPr>
      <w:bookmarkStart w:id="16" w:name="ConsumerRights"/>
      <w:r w:rsidRPr="00A4268A">
        <w:rPr>
          <w:rFonts w:eastAsia="Calibri"/>
        </w:rPr>
        <w:t xml:space="preserve">Lexall Care provides an environment that supports resident rights. Staff demonstrated an understanding of residents' rights and Te Tiriti o Waitangi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w:t>
      </w:r>
    </w:p>
    <w:p w14:paraId="6221995E" w14:textId="77777777" w:rsidR="005C26E0"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3E059120" w14:textId="77777777" w:rsidR="005C26E0"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769D5AA1" w14:textId="77777777" w:rsidR="005C26E0" w:rsidRPr="00A4268A" w:rsidRDefault="005C26E0">
      <w:pPr>
        <w:spacing w:before="240" w:line="276" w:lineRule="auto"/>
        <w:rPr>
          <w:rFonts w:eastAsia="Calibri"/>
        </w:rPr>
      </w:pPr>
    </w:p>
    <w:p w14:paraId="0DAAC2C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504F3DEC" w14:textId="77777777" w:rsidTr="00A4268A">
        <w:trPr>
          <w:cantSplit/>
        </w:trPr>
        <w:tc>
          <w:tcPr>
            <w:tcW w:w="10206" w:type="dxa"/>
            <w:vAlign w:val="center"/>
          </w:tcPr>
          <w:p w14:paraId="6B003D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42D5E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14A01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B0758D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33E8A665" w14:textId="77777777" w:rsidR="005C26E0"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7F444C8D" w14:textId="77777777" w:rsidR="005C26E0"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7A39B195" w14:textId="77777777" w:rsidR="005C26E0" w:rsidRPr="00A4268A" w:rsidRDefault="005C26E0">
      <w:pPr>
        <w:spacing w:before="240" w:line="276" w:lineRule="auto"/>
        <w:rPr>
          <w:rFonts w:eastAsia="Calibri"/>
        </w:rPr>
      </w:pPr>
    </w:p>
    <w:p w14:paraId="125EA4C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33D23B58" w14:textId="77777777" w:rsidTr="00A4268A">
        <w:trPr>
          <w:cantSplit/>
        </w:trPr>
        <w:tc>
          <w:tcPr>
            <w:tcW w:w="10206" w:type="dxa"/>
            <w:vAlign w:val="center"/>
          </w:tcPr>
          <w:p w14:paraId="53E445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751E07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B1C9D7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33B79A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 level of care required. The nursing team is responsible for the assessment, development, and evaluation of care plans. Care plans are individualised and based on the residents’ assessed needs and routines. Interventions are documented and evaluated.</w:t>
      </w:r>
    </w:p>
    <w:p w14:paraId="3BB60D73" w14:textId="77777777" w:rsidR="005C26E0"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practitioners every three months. Staff involved in medication administration are assessed as competent to do so.</w:t>
      </w:r>
    </w:p>
    <w:p w14:paraId="522EC733" w14:textId="77777777" w:rsidR="005C26E0" w:rsidRPr="00A4268A" w:rsidRDefault="00000000" w:rsidP="00621629">
      <w:pPr>
        <w:spacing w:before="240" w:line="276" w:lineRule="auto"/>
        <w:rPr>
          <w:rFonts w:eastAsia="Calibri"/>
        </w:rPr>
      </w:pPr>
      <w:r w:rsidRPr="00A4268A">
        <w:rPr>
          <w:rFonts w:eastAsia="Calibri"/>
        </w:rPr>
        <w:t xml:space="preserve">The food service provides for the specific dietary likes and dislikes of the residents. A current food control plan is in place. </w:t>
      </w:r>
    </w:p>
    <w:p w14:paraId="679CC1DF" w14:textId="77777777" w:rsidR="005C26E0"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3C679C2" w14:textId="77777777" w:rsidR="005C26E0" w:rsidRPr="00A4268A" w:rsidRDefault="005C26E0" w:rsidP="00621629">
      <w:pPr>
        <w:spacing w:before="240" w:line="276" w:lineRule="auto"/>
        <w:rPr>
          <w:rFonts w:eastAsia="Calibri"/>
        </w:rPr>
      </w:pPr>
    </w:p>
    <w:p w14:paraId="7039B09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1F7CE2DA" w14:textId="77777777" w:rsidTr="00A4268A">
        <w:trPr>
          <w:cantSplit/>
        </w:trPr>
        <w:tc>
          <w:tcPr>
            <w:tcW w:w="10206" w:type="dxa"/>
            <w:vAlign w:val="center"/>
          </w:tcPr>
          <w:p w14:paraId="703946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045658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155467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51791B3"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443D44F6" w14:textId="77777777" w:rsidR="005C26E0" w:rsidRPr="00A4268A" w:rsidRDefault="005C26E0">
      <w:pPr>
        <w:spacing w:before="240" w:line="276" w:lineRule="auto"/>
        <w:rPr>
          <w:rFonts w:eastAsia="Calibri"/>
        </w:rPr>
      </w:pPr>
    </w:p>
    <w:p w14:paraId="7D8B6F6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00251891" w14:textId="77777777" w:rsidTr="00A4268A">
        <w:trPr>
          <w:cantSplit/>
        </w:trPr>
        <w:tc>
          <w:tcPr>
            <w:tcW w:w="10206" w:type="dxa"/>
            <w:vAlign w:val="center"/>
          </w:tcPr>
          <w:p w14:paraId="693D9A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64048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0E06B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A2C23FB"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charge nurse coordinates the programme.</w:t>
      </w:r>
    </w:p>
    <w:p w14:paraId="7A6D1B97" w14:textId="77777777" w:rsidR="005C26E0"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46C85C0D" w14:textId="77777777" w:rsidR="005C26E0" w:rsidRPr="00A4268A" w:rsidRDefault="0000000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of Covid-19 are managed according to the Ministry of Health guidelines.</w:t>
      </w:r>
    </w:p>
    <w:bookmarkEnd w:id="28"/>
    <w:p w14:paraId="0F8043A8" w14:textId="77777777" w:rsidR="005C26E0" w:rsidRPr="00A4268A" w:rsidRDefault="005C26E0">
      <w:pPr>
        <w:spacing w:before="240" w:line="276" w:lineRule="auto"/>
        <w:rPr>
          <w:rFonts w:eastAsia="Calibri"/>
        </w:rPr>
      </w:pPr>
    </w:p>
    <w:p w14:paraId="46B02AD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26E0" w14:paraId="3D98C079" w14:textId="77777777" w:rsidTr="00A4268A">
        <w:trPr>
          <w:cantSplit/>
        </w:trPr>
        <w:tc>
          <w:tcPr>
            <w:tcW w:w="10206" w:type="dxa"/>
            <w:vAlign w:val="center"/>
          </w:tcPr>
          <w:p w14:paraId="6F687D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AD346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DC0EEE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1CA52B" w14:textId="77777777" w:rsidR="00000000" w:rsidRDefault="00000000">
      <w:pPr>
        <w:spacing w:before="240" w:line="276" w:lineRule="auto"/>
        <w:rPr>
          <w:rFonts w:eastAsia="Calibri"/>
        </w:rPr>
      </w:pPr>
      <w:bookmarkStart w:id="31" w:name="InfectionPreventionAndControl"/>
      <w:r w:rsidRPr="00A4268A">
        <w:rPr>
          <w:rFonts w:eastAsia="Calibri"/>
        </w:rPr>
        <w:t>The governance body aim for a restraint-free environment. A comprehensive assessment, approval, and monitoring process, with regular reviews, is in place should restraint be considered. A suitably qualified restraint coordinator manages the process. The staff interviewed demonstrated a sound knowledge and understanding of providing the least restrictive practice, de-escalation techniques, alternative interventions to restraint, and restraint monitoring. There are eight restraints in use by seven hospital level care residents.</w:t>
      </w:r>
    </w:p>
    <w:bookmarkEnd w:id="31"/>
    <w:p w14:paraId="6DF939D6" w14:textId="77777777" w:rsidR="005C26E0" w:rsidRPr="00A4268A" w:rsidRDefault="005C26E0">
      <w:pPr>
        <w:spacing w:before="240" w:line="276" w:lineRule="auto"/>
        <w:rPr>
          <w:rFonts w:eastAsia="Calibri"/>
        </w:rPr>
      </w:pPr>
    </w:p>
    <w:p w14:paraId="0D2CB112" w14:textId="77777777" w:rsidR="00000000" w:rsidRDefault="00000000" w:rsidP="000E6E02">
      <w:pPr>
        <w:pStyle w:val="Heading2"/>
        <w:spacing w:before="0"/>
        <w:rPr>
          <w:rFonts w:cs="Arial"/>
        </w:rPr>
      </w:pPr>
      <w:r>
        <w:rPr>
          <w:rFonts w:cs="Arial"/>
        </w:rPr>
        <w:lastRenderedPageBreak/>
        <w:t>Summary of attainment</w:t>
      </w:r>
    </w:p>
    <w:p w14:paraId="0691A96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C26E0" w14:paraId="3A35E7F3" w14:textId="77777777">
        <w:tc>
          <w:tcPr>
            <w:tcW w:w="1384" w:type="dxa"/>
            <w:vAlign w:val="center"/>
          </w:tcPr>
          <w:p w14:paraId="1D1D82A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02B1D03" w14:textId="77777777" w:rsidR="00000000" w:rsidRDefault="00000000">
            <w:pPr>
              <w:keepNext/>
              <w:spacing w:before="60" w:after="60"/>
              <w:jc w:val="center"/>
              <w:rPr>
                <w:rFonts w:cs="Arial"/>
                <w:b/>
                <w:sz w:val="20"/>
                <w:szCs w:val="20"/>
              </w:rPr>
            </w:pPr>
            <w:r>
              <w:rPr>
                <w:rFonts w:cs="Arial"/>
                <w:b/>
                <w:sz w:val="20"/>
                <w:szCs w:val="20"/>
              </w:rPr>
              <w:t>Continuous Improvement</w:t>
            </w:r>
          </w:p>
          <w:p w14:paraId="6104C0B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E6261BC" w14:textId="77777777" w:rsidR="00000000" w:rsidRDefault="00000000">
            <w:pPr>
              <w:keepNext/>
              <w:spacing w:before="60" w:after="60"/>
              <w:jc w:val="center"/>
              <w:rPr>
                <w:rFonts w:cs="Arial"/>
                <w:b/>
                <w:sz w:val="20"/>
                <w:szCs w:val="20"/>
              </w:rPr>
            </w:pPr>
            <w:r>
              <w:rPr>
                <w:rFonts w:cs="Arial"/>
                <w:b/>
                <w:sz w:val="20"/>
                <w:szCs w:val="20"/>
              </w:rPr>
              <w:t>Fully Attained</w:t>
            </w:r>
          </w:p>
          <w:p w14:paraId="6F4C2BA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34AFD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84BA2A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ABB3B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E194AA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5252E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042EDB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2A5525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542EB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91FAC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64E7044" w14:textId="77777777" w:rsidR="00000000" w:rsidRDefault="00000000">
            <w:pPr>
              <w:keepNext/>
              <w:spacing w:before="60" w:after="60"/>
              <w:jc w:val="center"/>
              <w:rPr>
                <w:rFonts w:cs="Arial"/>
                <w:b/>
                <w:sz w:val="20"/>
                <w:szCs w:val="20"/>
              </w:rPr>
            </w:pPr>
            <w:r>
              <w:rPr>
                <w:rFonts w:cs="Arial"/>
                <w:b/>
                <w:sz w:val="20"/>
                <w:szCs w:val="20"/>
              </w:rPr>
              <w:t>(PA Critical)</w:t>
            </w:r>
          </w:p>
        </w:tc>
      </w:tr>
      <w:tr w:rsidR="005C26E0" w14:paraId="68428F2E" w14:textId="77777777">
        <w:tc>
          <w:tcPr>
            <w:tcW w:w="1384" w:type="dxa"/>
            <w:vAlign w:val="center"/>
          </w:tcPr>
          <w:p w14:paraId="411029D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4232CA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73BD1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729A8F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44F48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465101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264B2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C1DA4A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C26E0" w14:paraId="451D98C4" w14:textId="77777777">
        <w:tc>
          <w:tcPr>
            <w:tcW w:w="1384" w:type="dxa"/>
            <w:vAlign w:val="center"/>
          </w:tcPr>
          <w:p w14:paraId="5C7BC2D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2EF420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FC49A5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4613A3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102542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1621FC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6ABC9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D19A6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7A834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C26E0" w14:paraId="44BF11C4" w14:textId="77777777">
        <w:tc>
          <w:tcPr>
            <w:tcW w:w="1384" w:type="dxa"/>
            <w:vAlign w:val="center"/>
          </w:tcPr>
          <w:p w14:paraId="460A053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977F0F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9632A1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C527458" w14:textId="77777777" w:rsidR="00000000" w:rsidRDefault="00000000">
            <w:pPr>
              <w:keepNext/>
              <w:spacing w:before="60" w:after="60"/>
              <w:jc w:val="center"/>
              <w:rPr>
                <w:rFonts w:cs="Arial"/>
                <w:b/>
                <w:sz w:val="20"/>
                <w:szCs w:val="20"/>
              </w:rPr>
            </w:pPr>
            <w:r>
              <w:rPr>
                <w:rFonts w:cs="Arial"/>
                <w:b/>
                <w:sz w:val="20"/>
                <w:szCs w:val="20"/>
              </w:rPr>
              <w:t>Unattained Low Risk</w:t>
            </w:r>
          </w:p>
          <w:p w14:paraId="1246327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A0A67DB" w14:textId="77777777" w:rsidR="00000000" w:rsidRDefault="00000000">
            <w:pPr>
              <w:keepNext/>
              <w:spacing w:before="60" w:after="60"/>
              <w:jc w:val="center"/>
              <w:rPr>
                <w:rFonts w:cs="Arial"/>
                <w:b/>
                <w:sz w:val="20"/>
                <w:szCs w:val="20"/>
              </w:rPr>
            </w:pPr>
            <w:r>
              <w:rPr>
                <w:rFonts w:cs="Arial"/>
                <w:b/>
                <w:sz w:val="20"/>
                <w:szCs w:val="20"/>
              </w:rPr>
              <w:t>Unattained Moderate Risk</w:t>
            </w:r>
          </w:p>
          <w:p w14:paraId="6C3EFC9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76E4537" w14:textId="77777777" w:rsidR="00000000" w:rsidRDefault="00000000">
            <w:pPr>
              <w:keepNext/>
              <w:spacing w:before="60" w:after="60"/>
              <w:jc w:val="center"/>
              <w:rPr>
                <w:rFonts w:cs="Arial"/>
                <w:b/>
                <w:sz w:val="20"/>
                <w:szCs w:val="20"/>
              </w:rPr>
            </w:pPr>
            <w:r>
              <w:rPr>
                <w:rFonts w:cs="Arial"/>
                <w:b/>
                <w:sz w:val="20"/>
                <w:szCs w:val="20"/>
              </w:rPr>
              <w:t>Unattained High Risk</w:t>
            </w:r>
          </w:p>
          <w:p w14:paraId="6C6226B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C745596" w14:textId="77777777" w:rsidR="00000000" w:rsidRDefault="00000000">
            <w:pPr>
              <w:keepNext/>
              <w:spacing w:before="60" w:after="60"/>
              <w:jc w:val="center"/>
              <w:rPr>
                <w:rFonts w:cs="Arial"/>
                <w:b/>
                <w:sz w:val="20"/>
                <w:szCs w:val="20"/>
              </w:rPr>
            </w:pPr>
            <w:r>
              <w:rPr>
                <w:rFonts w:cs="Arial"/>
                <w:b/>
                <w:sz w:val="20"/>
                <w:szCs w:val="20"/>
              </w:rPr>
              <w:t>Unattained Critical Risk</w:t>
            </w:r>
          </w:p>
          <w:p w14:paraId="66040EF7" w14:textId="77777777" w:rsidR="00000000" w:rsidRDefault="00000000">
            <w:pPr>
              <w:keepNext/>
              <w:spacing w:before="60" w:after="60"/>
              <w:jc w:val="center"/>
              <w:rPr>
                <w:rFonts w:cs="Arial"/>
                <w:b/>
                <w:sz w:val="20"/>
                <w:szCs w:val="20"/>
              </w:rPr>
            </w:pPr>
            <w:r>
              <w:rPr>
                <w:rFonts w:cs="Arial"/>
                <w:b/>
                <w:sz w:val="20"/>
                <w:szCs w:val="20"/>
              </w:rPr>
              <w:t>(UA Critical)</w:t>
            </w:r>
          </w:p>
        </w:tc>
      </w:tr>
      <w:tr w:rsidR="005C26E0" w14:paraId="42C37E56" w14:textId="77777777">
        <w:tc>
          <w:tcPr>
            <w:tcW w:w="1384" w:type="dxa"/>
            <w:vAlign w:val="center"/>
          </w:tcPr>
          <w:p w14:paraId="711965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5B467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6AA4F2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ABF0A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3CDE5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2A59C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C26E0" w14:paraId="779A7DB3" w14:textId="77777777">
        <w:tc>
          <w:tcPr>
            <w:tcW w:w="1384" w:type="dxa"/>
            <w:vAlign w:val="center"/>
          </w:tcPr>
          <w:p w14:paraId="60D28EE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C1B9D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04541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1AB30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53B22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E606A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D522F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7ABC0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311C0D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B20A01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5C26E0" w14:paraId="64717360" w14:textId="77777777">
        <w:tc>
          <w:tcPr>
            <w:tcW w:w="0" w:type="auto"/>
          </w:tcPr>
          <w:p w14:paraId="3DA9BED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409F71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59432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C26E0" w14:paraId="3B6B6812" w14:textId="77777777">
        <w:tc>
          <w:tcPr>
            <w:tcW w:w="0" w:type="auto"/>
          </w:tcPr>
          <w:p w14:paraId="6F6405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B3FD18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A5627A6" w14:textId="77777777" w:rsidR="00000000" w:rsidRPr="00BE00C7" w:rsidRDefault="00000000" w:rsidP="00BE00C7">
            <w:pPr>
              <w:pStyle w:val="OutcomeDescription"/>
              <w:spacing w:before="120" w:after="120"/>
              <w:rPr>
                <w:rFonts w:cs="Arial"/>
                <w:lang w:eastAsia="en-NZ"/>
              </w:rPr>
            </w:pPr>
          </w:p>
        </w:tc>
        <w:tc>
          <w:tcPr>
            <w:tcW w:w="0" w:type="auto"/>
          </w:tcPr>
          <w:p w14:paraId="263BCB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013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Lexall Care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4D1E25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policies, procedures and processes to embed and enact Te Tiriti o Waitangi in all aspects of its work. The clinical manager (CM) and the charge nurse (CN) reported that there were no residents and staff who identified as Māori.</w:t>
            </w:r>
          </w:p>
          <w:p w14:paraId="18821863"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staff (the CM, CN, two registered nurses [RNs], five healthcare assistants [HCAs], a cleaner, a kitchen hand, and a cook), confirmed that the service delivers a service that is focused on the health, wellbeing, and cultural needs of its residents.</w:t>
            </w:r>
          </w:p>
          <w:p w14:paraId="51EE3B72" w14:textId="77777777" w:rsidR="00000000" w:rsidRPr="00BE00C7" w:rsidRDefault="00000000" w:rsidP="00BE00C7">
            <w:pPr>
              <w:pStyle w:val="OutcomeDescription"/>
              <w:spacing w:before="120" w:after="120"/>
              <w:rPr>
                <w:rFonts w:cs="Arial"/>
                <w:lang w:eastAsia="en-NZ"/>
              </w:rPr>
            </w:pPr>
          </w:p>
        </w:tc>
      </w:tr>
      <w:tr w:rsidR="005C26E0" w14:paraId="4E5A74AA" w14:textId="77777777">
        <w:tc>
          <w:tcPr>
            <w:tcW w:w="0" w:type="auto"/>
          </w:tcPr>
          <w:p w14:paraId="228444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73EBA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C88E56E" w14:textId="77777777" w:rsidR="00000000" w:rsidRPr="00BE00C7" w:rsidRDefault="00000000" w:rsidP="00BE00C7">
            <w:pPr>
              <w:pStyle w:val="OutcomeDescription"/>
              <w:spacing w:before="120" w:after="120"/>
              <w:rPr>
                <w:rFonts w:cs="Arial"/>
                <w:lang w:eastAsia="en-NZ"/>
              </w:rPr>
            </w:pPr>
          </w:p>
        </w:tc>
        <w:tc>
          <w:tcPr>
            <w:tcW w:w="0" w:type="auto"/>
          </w:tcPr>
          <w:p w14:paraId="3AD69E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7C2F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peoples’ policy that commits to providing appropriate and equitable care for residents who identify as Pasifika. The Pacific People’s policy includes the Pacific health plan, which guides on how Pacific people who engage with the service are supported. The service had residents and staff who identify as Pasifika. There are currently staff employed that </w:t>
            </w:r>
            <w:r w:rsidRPr="00BE00C7">
              <w:rPr>
                <w:rFonts w:cs="Arial"/>
                <w:lang w:eastAsia="en-NZ"/>
              </w:rPr>
              <w:lastRenderedPageBreak/>
              <w:t>identify as Pasifika. The staff interviewed highlighted the importance of understanding and supporting each other’s culture.</w:t>
            </w:r>
          </w:p>
          <w:p w14:paraId="754760D3" w14:textId="77777777" w:rsidR="00000000" w:rsidRPr="00BE00C7" w:rsidRDefault="00000000" w:rsidP="00BE00C7">
            <w:pPr>
              <w:pStyle w:val="OutcomeDescription"/>
              <w:spacing w:before="120" w:after="120"/>
              <w:rPr>
                <w:rFonts w:cs="Arial"/>
                <w:lang w:eastAsia="en-NZ"/>
              </w:rPr>
            </w:pPr>
          </w:p>
        </w:tc>
      </w:tr>
      <w:tr w:rsidR="005C26E0" w14:paraId="7C3EA9DF" w14:textId="77777777">
        <w:tc>
          <w:tcPr>
            <w:tcW w:w="0" w:type="auto"/>
          </w:tcPr>
          <w:p w14:paraId="7F3A7A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18974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1499C58" w14:textId="77777777" w:rsidR="00000000" w:rsidRPr="00BE00C7" w:rsidRDefault="00000000" w:rsidP="00BE00C7">
            <w:pPr>
              <w:pStyle w:val="OutcomeDescription"/>
              <w:spacing w:before="120" w:after="120"/>
              <w:rPr>
                <w:rFonts w:cs="Arial"/>
                <w:lang w:eastAsia="en-NZ"/>
              </w:rPr>
            </w:pPr>
          </w:p>
        </w:tc>
        <w:tc>
          <w:tcPr>
            <w:tcW w:w="0" w:type="auto"/>
          </w:tcPr>
          <w:p w14:paraId="4FFFA2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0065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Code of Health and Disability Services Consumers’ Rights (the Code) and were observed supporting residents to follow their wishes. Three family/whānau (hospital) and six residents (four rest home and two hospital) reported being made aware of the Code and the Nationwide Health and Disability Advocacy Service (Advocacy Service), and confirmed they were provided with opportunities to discuss and clarify their rights.</w:t>
            </w:r>
          </w:p>
          <w:p w14:paraId="33346620" w14:textId="77777777" w:rsidR="00000000" w:rsidRPr="00BE00C7" w:rsidRDefault="00000000" w:rsidP="00BE00C7">
            <w:pPr>
              <w:pStyle w:val="OutcomeDescription"/>
              <w:spacing w:before="120" w:after="120"/>
              <w:rPr>
                <w:rFonts w:cs="Arial"/>
                <w:lang w:eastAsia="en-NZ"/>
              </w:rPr>
            </w:pPr>
          </w:p>
        </w:tc>
      </w:tr>
      <w:tr w:rsidR="005C26E0" w14:paraId="0DFE8453" w14:textId="77777777">
        <w:tc>
          <w:tcPr>
            <w:tcW w:w="0" w:type="auto"/>
          </w:tcPr>
          <w:p w14:paraId="0B07BE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3225E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8E5AB7" w14:textId="77777777" w:rsidR="00000000" w:rsidRPr="00BE00C7" w:rsidRDefault="00000000" w:rsidP="00BE00C7">
            <w:pPr>
              <w:pStyle w:val="OutcomeDescription"/>
              <w:spacing w:before="120" w:after="120"/>
              <w:rPr>
                <w:rFonts w:cs="Arial"/>
                <w:lang w:eastAsia="en-NZ"/>
              </w:rPr>
            </w:pPr>
          </w:p>
        </w:tc>
        <w:tc>
          <w:tcPr>
            <w:tcW w:w="0" w:type="auto"/>
          </w:tcPr>
          <w:p w14:paraId="283AD8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8CAA8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5377D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and CN reported that staff are guided by the code of conduct to ensure the environment is safe and free from any form of institutional and/or systemic racism. Family/whānau members interviewed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37ECAEE6" w14:textId="77777777" w:rsidR="00000000" w:rsidRPr="00BE00C7" w:rsidRDefault="00000000" w:rsidP="00BE00C7">
            <w:pPr>
              <w:pStyle w:val="OutcomeDescription"/>
              <w:spacing w:before="120" w:after="120"/>
              <w:rPr>
                <w:rFonts w:cs="Arial"/>
                <w:lang w:eastAsia="en-NZ"/>
              </w:rPr>
            </w:pPr>
          </w:p>
        </w:tc>
      </w:tr>
      <w:tr w:rsidR="005C26E0" w14:paraId="6599A1B6" w14:textId="77777777">
        <w:tc>
          <w:tcPr>
            <w:tcW w:w="0" w:type="auto"/>
          </w:tcPr>
          <w:p w14:paraId="782724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B676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2F2F042" w14:textId="77777777" w:rsidR="00000000" w:rsidRPr="00BE00C7" w:rsidRDefault="00000000" w:rsidP="00BE00C7">
            <w:pPr>
              <w:pStyle w:val="OutcomeDescription"/>
              <w:spacing w:before="120" w:after="120"/>
              <w:rPr>
                <w:rFonts w:cs="Arial"/>
                <w:lang w:eastAsia="en-NZ"/>
              </w:rPr>
            </w:pPr>
          </w:p>
        </w:tc>
        <w:tc>
          <w:tcPr>
            <w:tcW w:w="0" w:type="auto"/>
          </w:tcPr>
          <w:p w14:paraId="7CF7FD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B2C258"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Activation letters related to enduring power of attorney (EPOA) were in place where required.</w:t>
            </w:r>
          </w:p>
          <w:p w14:paraId="74D68AD9" w14:textId="77777777" w:rsidR="00000000" w:rsidRPr="00BE00C7" w:rsidRDefault="00000000" w:rsidP="00BE00C7">
            <w:pPr>
              <w:pStyle w:val="OutcomeDescription"/>
              <w:spacing w:before="120" w:after="120"/>
              <w:rPr>
                <w:rFonts w:cs="Arial"/>
                <w:lang w:eastAsia="en-NZ"/>
              </w:rPr>
            </w:pPr>
          </w:p>
        </w:tc>
      </w:tr>
      <w:tr w:rsidR="005C26E0" w14:paraId="0A8AAEC8" w14:textId="77777777">
        <w:tc>
          <w:tcPr>
            <w:tcW w:w="0" w:type="auto"/>
          </w:tcPr>
          <w:p w14:paraId="51DDBF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2F9F9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ED4862" w14:textId="77777777" w:rsidR="00000000" w:rsidRPr="00BE00C7" w:rsidRDefault="00000000" w:rsidP="00BE00C7">
            <w:pPr>
              <w:pStyle w:val="OutcomeDescription"/>
              <w:spacing w:before="120" w:after="120"/>
              <w:rPr>
                <w:rFonts w:cs="Arial"/>
                <w:lang w:eastAsia="en-NZ"/>
              </w:rPr>
            </w:pPr>
          </w:p>
        </w:tc>
        <w:tc>
          <w:tcPr>
            <w:tcW w:w="0" w:type="auto"/>
          </w:tcPr>
          <w:p w14:paraId="4BFE90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07A5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management policy and procedures were clearly documented to guide staff. The process complies with Right 10 of the Code of Rights, which is the right to complain, to be taken seriously, respected and to receive a timely response. The service maintains a complaints’ register. There were three complaints in 2024, and five in 2025 (year to date) since the previous audit. The CM reported that the complaint process timeframes are adhered to, and service improvement measures are implemented as required. Documentation, including follow-up letters and resolution, were completed and managed in accordance with guidelines set by the Health and Disability Commissioner (HDC). Discussions with residents and family/whānau confirmed that they are provided with information on the complaints process and remarked that any concerns or issues they had, were addressed promptly. The CM reported that any issues are discussed promptly with the residents before they escalate into complaints. Satisfaction and dissatisfaction outcomes of the complainant were documented.</w:t>
            </w:r>
          </w:p>
          <w:p w14:paraId="40775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making a complaint can involve an independent support person in the process if they choose. The complaints process is linked to advocacy services. The Code is visible and available in te reo Māori and English. The residents and family/whānau spoken with </w:t>
            </w:r>
            <w:r w:rsidRPr="00BE00C7">
              <w:rPr>
                <w:rFonts w:cs="Arial"/>
                <w:lang w:eastAsia="en-NZ"/>
              </w:rPr>
              <w:lastRenderedPageBreak/>
              <w:t>expressed satisfaction with the complaints process. In the event of a complaint from a Māori resident or family/whānau member, the service would seek the assistance of an interpreter or cultural advisor if needed, to ensure an equitable process.</w:t>
            </w:r>
          </w:p>
          <w:p w14:paraId="3E3DB2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since the last audit.</w:t>
            </w:r>
          </w:p>
          <w:p w14:paraId="5FF9BB13" w14:textId="77777777" w:rsidR="00000000" w:rsidRPr="00BE00C7" w:rsidRDefault="00000000" w:rsidP="00BE00C7">
            <w:pPr>
              <w:pStyle w:val="OutcomeDescription"/>
              <w:spacing w:before="120" w:after="120"/>
              <w:rPr>
                <w:rFonts w:cs="Arial"/>
                <w:lang w:eastAsia="en-NZ"/>
              </w:rPr>
            </w:pPr>
          </w:p>
        </w:tc>
      </w:tr>
      <w:tr w:rsidR="005C26E0" w14:paraId="24D9AFC7" w14:textId="77777777">
        <w:tc>
          <w:tcPr>
            <w:tcW w:w="0" w:type="auto"/>
          </w:tcPr>
          <w:p w14:paraId="055FF1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CB4CA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EB75798" w14:textId="77777777" w:rsidR="00000000" w:rsidRPr="00BE00C7" w:rsidRDefault="00000000" w:rsidP="00BE00C7">
            <w:pPr>
              <w:pStyle w:val="OutcomeDescription"/>
              <w:spacing w:before="120" w:after="120"/>
              <w:rPr>
                <w:rFonts w:cs="Arial"/>
                <w:lang w:eastAsia="en-NZ"/>
              </w:rPr>
            </w:pPr>
          </w:p>
        </w:tc>
        <w:tc>
          <w:tcPr>
            <w:tcW w:w="0" w:type="auto"/>
          </w:tcPr>
          <w:p w14:paraId="6AA82F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20B39F" w14:textId="77777777" w:rsidR="00000000" w:rsidRPr="00BE00C7" w:rsidRDefault="00000000" w:rsidP="00BE00C7">
            <w:pPr>
              <w:pStyle w:val="OutcomeDescription"/>
              <w:spacing w:before="120" w:after="120"/>
              <w:rPr>
                <w:rFonts w:cs="Arial"/>
                <w:lang w:eastAsia="en-NZ"/>
              </w:rPr>
            </w:pPr>
            <w:r w:rsidRPr="00BE00C7">
              <w:rPr>
                <w:rFonts w:cs="Arial"/>
                <w:lang w:eastAsia="en-NZ"/>
              </w:rPr>
              <w:t>Lexall Care is owned by Lexall Limited. The service is privately owned by an owner/manager with over 24 years of aged-care management experience, who also owns two other aged care facilities in Auckland. The governing body includes the owner/manager, an assistant manager (with three years’ experience and a business management degree), and a finance manager.</w:t>
            </w:r>
          </w:p>
          <w:p w14:paraId="6E97CEAC" w14:textId="77777777" w:rsidR="00000000" w:rsidRPr="00BE00C7" w:rsidRDefault="00000000" w:rsidP="00BE00C7">
            <w:pPr>
              <w:pStyle w:val="OutcomeDescription"/>
              <w:spacing w:before="120" w:after="120"/>
              <w:rPr>
                <w:rFonts w:cs="Arial"/>
                <w:lang w:eastAsia="en-NZ"/>
              </w:rPr>
            </w:pPr>
            <w:r w:rsidRPr="00BE00C7">
              <w:rPr>
                <w:rFonts w:cs="Arial"/>
                <w:lang w:eastAsia="en-NZ"/>
              </w:rPr>
              <w:t>Lexall Care is certified to provide rest home and hospital (including medical) levels of care for 58 residents, including one double/shared room. Five designated rooms are allocated for residents requiring rest home-level care. At the time of the audit, occupancy was 55 residents. This included 20 residents receiving rest home level care (two under the long-term support–chronic health conditions (LTS-CHC) contract) and 35 residents receiving hospital level care. Hospital-level occupancy included two residents under Accident Compensation Corporation (ACC) funding, one interim-care (medical) resident, and three residents under LTS-CHC. All remaining residents were admitted under the Age-Related Residential Care (ARRC) contract. There was a couple occupying the double/shared room and all other rooms were singly occupied.</w:t>
            </w:r>
          </w:p>
          <w:p w14:paraId="50E09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an experienced clinical manager (registered nurse), who is supported by the charge nurse and the governing body.</w:t>
            </w:r>
          </w:p>
          <w:p w14:paraId="53E4FD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business strategy and management plan (2024-2025), which is current and includes the scope, direction, goals, values, and mission statement of the organisation. The document describes annual and long-term objectives and the associated operational plans. The sighted objectives were time-framed with action steps that the CM regularly reports on to the owner/manager weekly or as required. The meeting minutes show a discussion of the objectives and progress. There is a quality and </w:t>
            </w:r>
            <w:r w:rsidRPr="00BE00C7">
              <w:rPr>
                <w:rFonts w:cs="Arial"/>
                <w:lang w:eastAsia="en-NZ"/>
              </w:rPr>
              <w:lastRenderedPageBreak/>
              <w:t xml:space="preserve">risk management plan updated as required and at least annually. The CM reviews all aspects of the quality programme annually. </w:t>
            </w:r>
          </w:p>
          <w:p w14:paraId="12ECD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the meaningful inclusion of Māori and Pasifika in honouring Te Tiriti o Waitangi, and being focused on improving outcomes for Māori and Pasifika. Equity for Māori and Pasifika is also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Local Māori organisations are consulted in policy formulation and cultural advice. The CM and CN were knowledgeable about legislative and contractual requirements. </w:t>
            </w:r>
          </w:p>
          <w:p w14:paraId="234A4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is appropriate to the size and complexity of the organisation. An external specialist reviews policies and procedures, and the GP, CM, CN and registered nurses offer clinical advice on all clinical matters. </w:t>
            </w:r>
          </w:p>
          <w:p w14:paraId="74B6D36B" w14:textId="77777777" w:rsidR="00000000" w:rsidRPr="00BE00C7" w:rsidRDefault="00000000" w:rsidP="00BE00C7">
            <w:pPr>
              <w:pStyle w:val="OutcomeDescription"/>
              <w:spacing w:before="120" w:after="120"/>
              <w:rPr>
                <w:rFonts w:cs="Arial"/>
                <w:lang w:eastAsia="en-NZ"/>
              </w:rPr>
            </w:pPr>
          </w:p>
        </w:tc>
      </w:tr>
      <w:tr w:rsidR="005C26E0" w14:paraId="2C8D4E36" w14:textId="77777777">
        <w:tc>
          <w:tcPr>
            <w:tcW w:w="0" w:type="auto"/>
          </w:tcPr>
          <w:p w14:paraId="4E391B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FD40B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4BAAD0E" w14:textId="77777777" w:rsidR="00000000" w:rsidRPr="00BE00C7" w:rsidRDefault="00000000" w:rsidP="00BE00C7">
            <w:pPr>
              <w:pStyle w:val="OutcomeDescription"/>
              <w:spacing w:before="120" w:after="120"/>
              <w:rPr>
                <w:rFonts w:cs="Arial"/>
                <w:lang w:eastAsia="en-NZ"/>
              </w:rPr>
            </w:pPr>
          </w:p>
        </w:tc>
        <w:tc>
          <w:tcPr>
            <w:tcW w:w="0" w:type="auto"/>
          </w:tcPr>
          <w:p w14:paraId="088DA6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696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0C5D5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meeting schedule has been implemented, including monthly staff meetings, registered nurses’ meetings, management meetings, and quality meetings. There are regular meetings with the governance body to discuss progress and updates on service delivery.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tables are also posted in the staffroom. Internal audits, meetings (including monthly staff meetings, registered nurses’ meetings, management meetings, and quality meetings), and data collation were all documented as scheduled, with </w:t>
            </w:r>
            <w:r w:rsidRPr="00BE00C7">
              <w:rPr>
                <w:rFonts w:cs="Arial"/>
                <w:lang w:eastAsia="en-NZ"/>
              </w:rPr>
              <w:lastRenderedPageBreak/>
              <w:t xml:space="preserve">corrective actions as indicated. Corrective actions are being documented to address service improvements, with evidence of progress and sign-off when achieved. The corrective action document is posted in the staffroom and discussed in staff meetings. Previous corrective action shortfalls related to meetings (criteria # 2.2.2) have been addressed. </w:t>
            </w:r>
          </w:p>
          <w:p w14:paraId="73C3D8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completed in May 2025 reflected high levels of satisfaction in all areas. Minimal corrective actions were identified in areas, such as food, laundry and frequency of residents' outings, which have been implemented. All these were reported to the staff, and evidence of this was sighted. Quality initiatives are identified, followed up and evaluated.</w:t>
            </w:r>
          </w:p>
          <w:p w14:paraId="3B5A75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policies, and procedures clearly describe all potential internal and external risks, and corresponding mitigation strategies in line with the National Adverse Event Reporting Policy. Management understood the Severity Assessment Codes (SAC), SAC1 and SAC 2 reporting requirements. These were reported as per protocol and included two falls, which resulted in injury. There was a Covid-19 infection outbreak in August 2025, reported since the previous audit.</w:t>
            </w:r>
          </w:p>
          <w:p w14:paraId="18598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w:t>
            </w:r>
          </w:p>
          <w:p w14:paraId="3E7C9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manual handling sessions for staff. Staff state that they are kept informed on health and safety. </w:t>
            </w:r>
          </w:p>
          <w:p w14:paraId="4C4AA9A6"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 Opportunities were identified to mitigate future risks.</w:t>
            </w:r>
          </w:p>
          <w:p w14:paraId="675B16F9" w14:textId="77777777" w:rsidR="00000000" w:rsidRPr="00BE00C7" w:rsidRDefault="00000000" w:rsidP="00BE00C7">
            <w:pPr>
              <w:pStyle w:val="OutcomeDescription"/>
              <w:spacing w:before="120" w:after="120"/>
              <w:rPr>
                <w:rFonts w:cs="Arial"/>
                <w:lang w:eastAsia="en-NZ"/>
              </w:rPr>
            </w:pPr>
          </w:p>
        </w:tc>
      </w:tr>
      <w:tr w:rsidR="005C26E0" w14:paraId="4B15EC79" w14:textId="77777777">
        <w:tc>
          <w:tcPr>
            <w:tcW w:w="0" w:type="auto"/>
          </w:tcPr>
          <w:p w14:paraId="43FE3B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4A99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E4EBAF" w14:textId="77777777" w:rsidR="00000000" w:rsidRPr="00BE00C7" w:rsidRDefault="00000000" w:rsidP="00BE00C7">
            <w:pPr>
              <w:pStyle w:val="OutcomeDescription"/>
              <w:spacing w:before="120" w:after="120"/>
              <w:rPr>
                <w:rFonts w:cs="Arial"/>
                <w:lang w:eastAsia="en-NZ"/>
              </w:rPr>
            </w:pPr>
          </w:p>
        </w:tc>
        <w:tc>
          <w:tcPr>
            <w:tcW w:w="0" w:type="auto"/>
          </w:tcPr>
          <w:p w14:paraId="343279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A52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Staff interviewed reported that there has been adequate staff at the service. Residents and family/whānau interviewed supported this.</w:t>
            </w:r>
          </w:p>
          <w:p w14:paraId="7CD985D2" w14:textId="77777777" w:rsidR="00000000" w:rsidRPr="00BE00C7" w:rsidRDefault="00000000" w:rsidP="00BE00C7">
            <w:pPr>
              <w:pStyle w:val="OutcomeDescription"/>
              <w:spacing w:before="120" w:after="120"/>
              <w:rPr>
                <w:rFonts w:cs="Arial"/>
                <w:lang w:eastAsia="en-NZ"/>
              </w:rPr>
            </w:pPr>
            <w:r w:rsidRPr="00BE00C7">
              <w:rPr>
                <w:rFonts w:cs="Arial"/>
                <w:lang w:eastAsia="en-NZ"/>
              </w:rPr>
              <w:t>Rosters from the past four weeks showed that all shifts were covered by experienced registered nurses and HCAs, with support from the management team. The service employed 10 registered nurses, and all shifts were covered by the registered nurses. A significant number of staff members maintain current first-aid certificates, so there is always a first aider on site.</w:t>
            </w:r>
          </w:p>
          <w:p w14:paraId="3FEFBAB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training schedule has been implemented for 2024 and being implemented for 2025. The previous corrective action (criteria # 232) related to the implementation of the training schedule has been addressed.</w:t>
            </w:r>
          </w:p>
          <w:p w14:paraId="6ADB7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moving and handling; medication; de-escalation; pain management; falls assessment; care planning; chemical training; skin management; hydration and nutrition; open disclosure; advocacy; sexuality and intimacy; wound management; continence management; abuse and neglect; first aid; fire evacuation; and restraint management.</w:t>
            </w:r>
          </w:p>
          <w:p w14:paraId="7FB40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Healthcare assistants have either completed or commenced a New Zealand Qualification Authority (NZQA) education programme to meet the provider’s funding and service agreement requirements. Staff records were reviewed to demonstrate completion of the required training and competency assessments. There are 27 HCAs employed. Fourteen have achieved NZQA qualification level four, six with level three, two with level </w:t>
            </w:r>
            <w:r w:rsidRPr="00BE00C7">
              <w:rPr>
                <w:rFonts w:cs="Arial"/>
                <w:lang w:eastAsia="en-NZ"/>
              </w:rPr>
              <w:lastRenderedPageBreak/>
              <w:t>two, and five with level one. The management team reported that the model of care and cultural training provided ensured that all residents are treated equitably.</w:t>
            </w:r>
          </w:p>
          <w:p w14:paraId="38F3B70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78C22517" w14:textId="77777777" w:rsidR="00000000" w:rsidRPr="00BE00C7" w:rsidRDefault="00000000" w:rsidP="00BE00C7">
            <w:pPr>
              <w:pStyle w:val="OutcomeDescription"/>
              <w:spacing w:before="120" w:after="120"/>
              <w:rPr>
                <w:rFonts w:cs="Arial"/>
                <w:lang w:eastAsia="en-NZ"/>
              </w:rPr>
            </w:pPr>
          </w:p>
        </w:tc>
      </w:tr>
      <w:tr w:rsidR="005C26E0" w14:paraId="4CBD2D8A" w14:textId="77777777">
        <w:tc>
          <w:tcPr>
            <w:tcW w:w="0" w:type="auto"/>
          </w:tcPr>
          <w:p w14:paraId="231DC7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876C3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45814F" w14:textId="77777777" w:rsidR="00000000" w:rsidRPr="00BE00C7" w:rsidRDefault="00000000" w:rsidP="00BE00C7">
            <w:pPr>
              <w:pStyle w:val="OutcomeDescription"/>
              <w:spacing w:before="120" w:after="120"/>
              <w:rPr>
                <w:rFonts w:cs="Arial"/>
                <w:lang w:eastAsia="en-NZ"/>
              </w:rPr>
            </w:pPr>
          </w:p>
        </w:tc>
        <w:tc>
          <w:tcPr>
            <w:tcW w:w="0" w:type="auto"/>
          </w:tcPr>
          <w:p w14:paraId="787E5C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B96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3E9749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RNs and associated health contractors. </w:t>
            </w:r>
          </w:p>
          <w:p w14:paraId="4CEABB2A"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five staff records reviewed confirmed the organisation’s policies are being consistently implemented. All staff records reviewed evidenced completed induction and orientation. A total of five staff files (clinical manager, charge nurse, one registered nurse, one HCA, and one cleaner) were reviewed. Staff files included reference checks; police checks; appraisals; competencies; individual training plans; professional qualifications; orientation; employment agreements; and position descriptions.</w:t>
            </w:r>
          </w:p>
          <w:p w14:paraId="641B1F0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7F8281DE" w14:textId="77777777" w:rsidR="00000000" w:rsidRPr="00BE00C7" w:rsidRDefault="00000000" w:rsidP="00BE00C7">
            <w:pPr>
              <w:pStyle w:val="OutcomeDescription"/>
              <w:spacing w:before="120" w:after="120"/>
              <w:rPr>
                <w:rFonts w:cs="Arial"/>
                <w:lang w:eastAsia="en-NZ"/>
              </w:rPr>
            </w:pPr>
          </w:p>
        </w:tc>
      </w:tr>
      <w:tr w:rsidR="005C26E0" w14:paraId="5D7A77DD" w14:textId="77777777">
        <w:tc>
          <w:tcPr>
            <w:tcW w:w="0" w:type="auto"/>
          </w:tcPr>
          <w:p w14:paraId="1088E5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EE37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27C67E62" w14:textId="77777777" w:rsidR="00000000" w:rsidRPr="00BE00C7" w:rsidRDefault="00000000" w:rsidP="00BE00C7">
            <w:pPr>
              <w:pStyle w:val="OutcomeDescription"/>
              <w:spacing w:before="120" w:after="120"/>
              <w:rPr>
                <w:rFonts w:cs="Arial"/>
                <w:lang w:eastAsia="en-NZ"/>
              </w:rPr>
            </w:pPr>
          </w:p>
        </w:tc>
        <w:tc>
          <w:tcPr>
            <w:tcW w:w="0" w:type="auto"/>
          </w:tcPr>
          <w:p w14:paraId="04EB35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70E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residents' files sampled included three hospital care, including one ACC, one on an interim care contract, and two rest home, including one resident on a LTS-CHC contract. The residents’ files reviewed identified that initial assessments and initial care plans were resident-centred, and these were completed in a timely manner. The service uses assessment tools that includes consideration of resident’s lived experiences, cultural </w:t>
            </w:r>
            <w:r w:rsidRPr="00BE00C7">
              <w:rPr>
                <w:rFonts w:cs="Arial"/>
                <w:lang w:eastAsia="en-NZ"/>
              </w:rPr>
              <w:lastRenderedPageBreak/>
              <w:t xml:space="preserve">needs, values, and beliefs. Nursing care is undertaken by appropriately trained and skilled staff, including the nursing team and HCAs. </w:t>
            </w:r>
          </w:p>
          <w:p w14:paraId="5B603B6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and long-term care plans were reviewed following interRAI reassessments. Cultural assessments were completed by the nursing team in consultation with the residents and family/whānau. Long-term care plans were also developed, and a six-monthly evaluation was conducted. Resident, family/whānau, EPOA, and GP involvement is encouraged in the plan of care. Interventions were adequate to identify early warning signs and to meet the needs of the residents.</w:t>
            </w:r>
          </w:p>
          <w:p w14:paraId="15D4AA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completes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resident-centred. Residents’ files sampled identified service integration with other members of the health team. Multidisciplinary team (MDT) meetings were completed six-monthly.</w:t>
            </w:r>
          </w:p>
          <w:p w14:paraId="1AA38B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 and registered nurses reported that sufficient and appropriate information is shared between the staff at each handover. The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weekly or more frequently if clinically indicated by the degree of risk noted during the assessment process. These were added to the long-term care plan if the condition did not resolve in three weeks. Any change in condition is reported to the charge nurse or registered nurses; this was evidenced in the records sampled. Interviews verified that residents and family/whānau are included and informed of all changes.</w:t>
            </w:r>
          </w:p>
          <w:p w14:paraId="0F230E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progress was different from expected, the service, in collaboration with the resident or family/whānau, responded by initiating changes to the care plan. Where there was a significant change in the resident’s condition before the review date, an interRAI re-assessment was completed. A range of equipment and resources were available, suited to the levels of care provided and in accordance with the residents’ needs. The </w:t>
            </w:r>
            <w:r w:rsidRPr="00BE00C7">
              <w:rPr>
                <w:rFonts w:cs="Arial"/>
                <w:lang w:eastAsia="en-NZ"/>
              </w:rPr>
              <w:lastRenderedPageBreak/>
              <w:t>family/whānau and residents interviewed confirmed their involvement in the evaluation of progress and any resulting changes.</w:t>
            </w:r>
          </w:p>
          <w:p w14:paraId="4F02E4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43 active wounds at the time of the audit, and these included 28 skin tears/abrasions, 7 chronic wounds and 8 pressure injuries at stage II. Wound management plans were implemented, with regular evaluation completed. Wound nurse specialists were attending to the pressure injuries and chronic wounds as required. The following monitoring charts were completed in assessing and monitoring residents: food and fluid balance charts; turn charts; weight charts, behaviour monitoring charts, restraint monitoring charts; neurological observations forms; blood glucose; and bowel charts.</w:t>
            </w:r>
          </w:p>
          <w:p w14:paraId="3D11D9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 (criteria # 3.2.4) relating to completing neurological observations has been addressed. Neurological observations were completed for all unwitnessed falls and falls resulting in head injury. Evidence of this was sighted.</w:t>
            </w:r>
          </w:p>
          <w:p w14:paraId="70C97C7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care plans were reviewed, progression towards the resident`s individual goals were documented.</w:t>
            </w:r>
          </w:p>
          <w:p w14:paraId="783D29D3" w14:textId="77777777" w:rsidR="00000000" w:rsidRPr="00BE00C7" w:rsidRDefault="00000000" w:rsidP="00BD7F99">
            <w:pPr>
              <w:pStyle w:val="OutcomeDescription"/>
              <w:spacing w:before="120" w:after="120"/>
              <w:rPr>
                <w:rFonts w:cs="Arial"/>
                <w:lang w:eastAsia="en-NZ"/>
              </w:rPr>
            </w:pPr>
          </w:p>
        </w:tc>
      </w:tr>
      <w:tr w:rsidR="005C26E0" w14:paraId="7EB9F93E" w14:textId="77777777">
        <w:tc>
          <w:tcPr>
            <w:tcW w:w="0" w:type="auto"/>
          </w:tcPr>
          <w:p w14:paraId="3E554E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9C47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AA3054" w14:textId="77777777" w:rsidR="00000000" w:rsidRPr="00BE00C7" w:rsidRDefault="00000000" w:rsidP="00BE00C7">
            <w:pPr>
              <w:pStyle w:val="OutcomeDescription"/>
              <w:spacing w:before="120" w:after="120"/>
              <w:rPr>
                <w:rFonts w:cs="Arial"/>
                <w:lang w:eastAsia="en-NZ"/>
              </w:rPr>
            </w:pPr>
          </w:p>
        </w:tc>
        <w:tc>
          <w:tcPr>
            <w:tcW w:w="0" w:type="auto"/>
          </w:tcPr>
          <w:p w14:paraId="0C0CC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2DE1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Administration records were maintained. Medications are supplied to the facility from a contracted pharmacy. The GP completes three-monthly medication reviews. A total of ten medication charts, including six hospital (including one LTS-CHC, one interim care, one ACC) and four rest home (including one LTS-CHC) were reviewed. Allergies were documented, and indications for use are noted for pro re nata (PRN) medications. Eye drops were dated on opening.</w:t>
            </w:r>
          </w:p>
          <w:p w14:paraId="382102D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65763F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expired or unwanted medicines. Expired medicines are returned to the pharmacy promptly. The medicine fridge and medication room temperatures were monitored regularly, and deviations from normal </w:t>
            </w:r>
            <w:r w:rsidRPr="00BE00C7">
              <w:rPr>
                <w:rFonts w:cs="Arial"/>
                <w:lang w:eastAsia="en-NZ"/>
              </w:rPr>
              <w:lastRenderedPageBreak/>
              <w:t>were reported and attended to promptly. Records were sighted. There was no food in the medication fridge.</w:t>
            </w:r>
          </w:p>
          <w:p w14:paraId="047B86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was observed administering medications safely and correctly. Medications were stored safely and securely in the trolleys, locked treatment rooms, and cupboards.</w:t>
            </w:r>
          </w:p>
          <w:p w14:paraId="11E0D8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self-administering medications. Appropriate processes were in place to ensure this was managed safely, including safe storage. There is a self-medication policy in place, and this was sighted. There were no standing orders in use.</w:t>
            </w:r>
          </w:p>
          <w:p w14:paraId="79D86C26" w14:textId="77777777" w:rsidR="00000000" w:rsidRPr="00BE00C7" w:rsidRDefault="00000000" w:rsidP="00BE00C7">
            <w:pPr>
              <w:pStyle w:val="OutcomeDescription"/>
              <w:spacing w:before="120" w:after="120"/>
              <w:rPr>
                <w:rFonts w:cs="Arial"/>
                <w:lang w:eastAsia="en-NZ"/>
              </w:rPr>
            </w:pPr>
          </w:p>
        </w:tc>
      </w:tr>
      <w:tr w:rsidR="005C26E0" w14:paraId="764B8793" w14:textId="77777777">
        <w:tc>
          <w:tcPr>
            <w:tcW w:w="0" w:type="auto"/>
          </w:tcPr>
          <w:p w14:paraId="3F9BC1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54AD1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66B9D1" w14:textId="77777777" w:rsidR="00000000" w:rsidRPr="00BE00C7" w:rsidRDefault="00000000" w:rsidP="00BE00C7">
            <w:pPr>
              <w:pStyle w:val="OutcomeDescription"/>
              <w:spacing w:before="120" w:after="120"/>
              <w:rPr>
                <w:rFonts w:cs="Arial"/>
                <w:lang w:eastAsia="en-NZ"/>
              </w:rPr>
            </w:pPr>
          </w:p>
        </w:tc>
        <w:tc>
          <w:tcPr>
            <w:tcW w:w="0" w:type="auto"/>
          </w:tcPr>
          <w:p w14:paraId="29F357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7B20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A cook and kitchen hand explained copies of individual dietary preferences are available to them and placed in the kitchen folder.</w:t>
            </w:r>
          </w:p>
          <w:p w14:paraId="49969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5 June 2026.</w:t>
            </w:r>
          </w:p>
          <w:p w14:paraId="314DA72C"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indicated satisfaction with the food service.</w:t>
            </w:r>
          </w:p>
          <w:p w14:paraId="0B13164F" w14:textId="77777777" w:rsidR="00000000" w:rsidRPr="00BE00C7" w:rsidRDefault="00000000" w:rsidP="00BE00C7">
            <w:pPr>
              <w:pStyle w:val="OutcomeDescription"/>
              <w:spacing w:before="120" w:after="120"/>
              <w:rPr>
                <w:rFonts w:cs="Arial"/>
                <w:lang w:eastAsia="en-NZ"/>
              </w:rPr>
            </w:pPr>
          </w:p>
        </w:tc>
      </w:tr>
      <w:tr w:rsidR="005C26E0" w14:paraId="1F6856F6" w14:textId="77777777">
        <w:tc>
          <w:tcPr>
            <w:tcW w:w="0" w:type="auto"/>
          </w:tcPr>
          <w:p w14:paraId="4A9CF9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30B6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66C44A99" w14:textId="77777777" w:rsidR="00000000" w:rsidRPr="00BE00C7" w:rsidRDefault="00000000" w:rsidP="00BE00C7">
            <w:pPr>
              <w:pStyle w:val="OutcomeDescription"/>
              <w:spacing w:before="120" w:after="120"/>
              <w:rPr>
                <w:rFonts w:cs="Arial"/>
                <w:lang w:eastAsia="en-NZ"/>
              </w:rPr>
            </w:pPr>
          </w:p>
        </w:tc>
        <w:tc>
          <w:tcPr>
            <w:tcW w:w="0" w:type="auto"/>
          </w:tcPr>
          <w:p w14:paraId="136EAF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46B2D3"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 The CM and CN reported that all transfers and discharges are developed in collaboration with the resident and family/whānau and the accepting service provider.</w:t>
            </w:r>
          </w:p>
          <w:p w14:paraId="6B470A70" w14:textId="77777777" w:rsidR="00000000" w:rsidRPr="00BE00C7" w:rsidRDefault="00000000" w:rsidP="00BE00C7">
            <w:pPr>
              <w:pStyle w:val="OutcomeDescription"/>
              <w:spacing w:before="120" w:after="120"/>
              <w:rPr>
                <w:rFonts w:cs="Arial"/>
                <w:lang w:eastAsia="en-NZ"/>
              </w:rPr>
            </w:pPr>
          </w:p>
        </w:tc>
      </w:tr>
      <w:tr w:rsidR="005C26E0" w14:paraId="40811F6D" w14:textId="77777777">
        <w:tc>
          <w:tcPr>
            <w:tcW w:w="0" w:type="auto"/>
          </w:tcPr>
          <w:p w14:paraId="00DCE0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4AFA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A08602" w14:textId="77777777" w:rsidR="00000000" w:rsidRPr="00BE00C7" w:rsidRDefault="00000000" w:rsidP="00BE00C7">
            <w:pPr>
              <w:pStyle w:val="OutcomeDescription"/>
              <w:spacing w:before="120" w:after="120"/>
              <w:rPr>
                <w:rFonts w:cs="Arial"/>
                <w:lang w:eastAsia="en-NZ"/>
              </w:rPr>
            </w:pPr>
          </w:p>
        </w:tc>
        <w:tc>
          <w:tcPr>
            <w:tcW w:w="0" w:type="auto"/>
          </w:tcPr>
          <w:p w14:paraId="1641E2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6E872"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was a current building warrant of fitness expiring 15 December 2025. Calibration of equipment, and electrical checks were completed, and an inventory was maintained. Hot water temperatures are checked monthly, and if there are any problems, there is a contracted plumber. There is also a contracted electrician if required.</w:t>
            </w:r>
          </w:p>
          <w:p w14:paraId="506060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1C6742FA" w14:textId="77777777" w:rsidR="00000000" w:rsidRPr="00BE00C7" w:rsidRDefault="00000000" w:rsidP="00BE00C7">
            <w:pPr>
              <w:pStyle w:val="OutcomeDescription"/>
              <w:spacing w:before="120" w:after="120"/>
              <w:rPr>
                <w:rFonts w:cs="Arial"/>
                <w:lang w:eastAsia="en-NZ"/>
              </w:rPr>
            </w:pPr>
          </w:p>
        </w:tc>
      </w:tr>
      <w:tr w:rsidR="005C26E0" w14:paraId="18B86ADE" w14:textId="77777777">
        <w:tc>
          <w:tcPr>
            <w:tcW w:w="0" w:type="auto"/>
          </w:tcPr>
          <w:p w14:paraId="349F71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3D94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51F3E8" w14:textId="77777777" w:rsidR="00000000" w:rsidRPr="00BE00C7" w:rsidRDefault="00000000" w:rsidP="00BE00C7">
            <w:pPr>
              <w:pStyle w:val="OutcomeDescription"/>
              <w:spacing w:before="120" w:after="120"/>
              <w:rPr>
                <w:rFonts w:cs="Arial"/>
                <w:lang w:eastAsia="en-NZ"/>
              </w:rPr>
            </w:pPr>
          </w:p>
        </w:tc>
        <w:tc>
          <w:tcPr>
            <w:tcW w:w="0" w:type="auto"/>
          </w:tcPr>
          <w:p w14:paraId="6006D5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4362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control (IPC) programme implemented, that was developed with input from external IPC services. The IPC programme was approved annually, in consultation with the CM, nursing team, and is linked to the quality improvement programme. The IPC programme was current. The IPC policies were developed by suitably qualified personnel, and comply with relevant legislation and accepted best practices. The IPC policies reflect the requirements of the infection prevention and control standards, and include appropriate referencing.</w:t>
            </w:r>
          </w:p>
          <w:p w14:paraId="112489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Education with residents was on an individual basis and as a group in residents’ meetings. This included reminders about hand hygiene and advice about remaining in their room if they are unwell. This was confirmed in interviews with residents and family/whānau.</w:t>
            </w:r>
          </w:p>
          <w:p w14:paraId="41C0B3A4" w14:textId="77777777" w:rsidR="00000000" w:rsidRPr="00BE00C7" w:rsidRDefault="00000000" w:rsidP="00BE00C7">
            <w:pPr>
              <w:pStyle w:val="OutcomeDescription"/>
              <w:spacing w:before="120" w:after="120"/>
              <w:rPr>
                <w:rFonts w:cs="Arial"/>
                <w:lang w:eastAsia="en-NZ"/>
              </w:rPr>
            </w:pPr>
          </w:p>
        </w:tc>
      </w:tr>
      <w:tr w:rsidR="005C26E0" w14:paraId="21784E48" w14:textId="77777777">
        <w:tc>
          <w:tcPr>
            <w:tcW w:w="0" w:type="auto"/>
          </w:tcPr>
          <w:p w14:paraId="75E87E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35CC6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46F2F7" w14:textId="77777777" w:rsidR="00000000" w:rsidRPr="00BE00C7" w:rsidRDefault="00000000" w:rsidP="00BE00C7">
            <w:pPr>
              <w:pStyle w:val="OutcomeDescription"/>
              <w:spacing w:before="120" w:after="120"/>
              <w:rPr>
                <w:rFonts w:cs="Arial"/>
                <w:lang w:eastAsia="en-NZ"/>
              </w:rPr>
            </w:pPr>
          </w:p>
        </w:tc>
        <w:tc>
          <w:tcPr>
            <w:tcW w:w="0" w:type="auto"/>
          </w:tcPr>
          <w:p w14:paraId="41E3DB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62DB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The previous audit shortfall (criteria #5.4.3) related to including ethnicity in surveillance data has been addressed.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governing body.</w:t>
            </w:r>
          </w:p>
          <w:p w14:paraId="348E3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4F92E6F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w:t>
            </w:r>
          </w:p>
          <w:p w14:paraId="51B414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Covid-19 infection outbreak in August 2025 reported since the previous audit. This was managed in accordance with the pandemic plan, with appropriate notifications completed.</w:t>
            </w:r>
          </w:p>
          <w:p w14:paraId="047BEE79" w14:textId="77777777" w:rsidR="00000000" w:rsidRPr="00BE00C7" w:rsidRDefault="00000000" w:rsidP="00BE00C7">
            <w:pPr>
              <w:pStyle w:val="OutcomeDescription"/>
              <w:spacing w:before="120" w:after="120"/>
              <w:rPr>
                <w:rFonts w:cs="Arial"/>
                <w:lang w:eastAsia="en-NZ"/>
              </w:rPr>
            </w:pPr>
          </w:p>
        </w:tc>
      </w:tr>
      <w:tr w:rsidR="005C26E0" w14:paraId="42B8F98D" w14:textId="77777777">
        <w:tc>
          <w:tcPr>
            <w:tcW w:w="0" w:type="auto"/>
          </w:tcPr>
          <w:p w14:paraId="1F5FEE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E3D71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6465479" w14:textId="77777777" w:rsidR="00000000" w:rsidRPr="00BE00C7" w:rsidRDefault="00000000" w:rsidP="00BE00C7">
            <w:pPr>
              <w:pStyle w:val="OutcomeDescription"/>
              <w:spacing w:before="120" w:after="120"/>
              <w:rPr>
                <w:rFonts w:cs="Arial"/>
                <w:lang w:eastAsia="en-NZ"/>
              </w:rPr>
            </w:pPr>
          </w:p>
        </w:tc>
        <w:tc>
          <w:tcPr>
            <w:tcW w:w="0" w:type="auto"/>
          </w:tcPr>
          <w:p w14:paraId="632385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BF3D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seven residents (all hospital level care) were using bedrails or lap belts, including one resident using both.</w:t>
            </w:r>
          </w:p>
          <w:p w14:paraId="179C1BF5"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showed that all clinical staff attended restraint education and completed a restraint competency during orientation/induction. Training is planned annually.</w:t>
            </w:r>
          </w:p>
          <w:p w14:paraId="5AE94997" w14:textId="77777777" w:rsidR="00000000" w:rsidRPr="00BE00C7" w:rsidRDefault="00000000" w:rsidP="00BE00C7">
            <w:pPr>
              <w:pStyle w:val="OutcomeDescription"/>
              <w:spacing w:before="120" w:after="120"/>
              <w:rPr>
                <w:rFonts w:cs="Arial"/>
                <w:lang w:eastAsia="en-NZ"/>
              </w:rPr>
            </w:pPr>
          </w:p>
        </w:tc>
      </w:tr>
    </w:tbl>
    <w:p w14:paraId="4D4A6BF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B1BCE99" w14:textId="77777777" w:rsidR="00000000" w:rsidRDefault="00000000">
      <w:pPr>
        <w:pStyle w:val="Heading1"/>
        <w:rPr>
          <w:rFonts w:cs="Arial"/>
        </w:rPr>
      </w:pPr>
      <w:r>
        <w:rPr>
          <w:rFonts w:cs="Arial"/>
        </w:rPr>
        <w:lastRenderedPageBreak/>
        <w:t>Specific results for criterion where corrective actions are required</w:t>
      </w:r>
    </w:p>
    <w:p w14:paraId="34D1997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7F8B0C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A1F67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C26E0" w14:paraId="39FFB150" w14:textId="77777777">
        <w:tc>
          <w:tcPr>
            <w:tcW w:w="0" w:type="auto"/>
          </w:tcPr>
          <w:p w14:paraId="427913F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14227F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2035F9C" w14:textId="77777777" w:rsidR="00000000" w:rsidRDefault="00000000">
      <w:pPr>
        <w:pStyle w:val="Heading1"/>
        <w:rPr>
          <w:rFonts w:cs="Arial"/>
        </w:rPr>
      </w:pPr>
      <w:r>
        <w:rPr>
          <w:rFonts w:cs="Arial"/>
        </w:rPr>
        <w:lastRenderedPageBreak/>
        <w:t>Specific results for criterion where a continuous improvement has been recorded</w:t>
      </w:r>
    </w:p>
    <w:p w14:paraId="56779E5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602521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213143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C26E0" w14:paraId="1848BE95" w14:textId="77777777">
        <w:tc>
          <w:tcPr>
            <w:tcW w:w="0" w:type="auto"/>
          </w:tcPr>
          <w:p w14:paraId="10FB6B1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9C4107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1B8001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8A29" w14:textId="77777777" w:rsidR="005523EF" w:rsidRDefault="005523EF">
      <w:r>
        <w:separator/>
      </w:r>
    </w:p>
  </w:endnote>
  <w:endnote w:type="continuationSeparator" w:id="0">
    <w:p w14:paraId="652F3224" w14:textId="77777777" w:rsidR="005523EF" w:rsidRDefault="0055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CAB7" w14:textId="77777777" w:rsidR="00000000" w:rsidRDefault="00000000">
    <w:pPr>
      <w:pStyle w:val="Footer"/>
    </w:pPr>
  </w:p>
  <w:p w14:paraId="4AE69344" w14:textId="77777777" w:rsidR="00000000" w:rsidRDefault="00000000"/>
  <w:p w14:paraId="0AAC67C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8C3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Lexall</w:t>
    </w:r>
    <w:proofErr w:type="spellEnd"/>
    <w:r>
      <w:rPr>
        <w:rFonts w:cs="Arial"/>
        <w:sz w:val="16"/>
        <w:szCs w:val="20"/>
      </w:rPr>
      <w:t xml:space="preserve"> Limited - </w:t>
    </w:r>
    <w:proofErr w:type="spellStart"/>
    <w:r>
      <w:rPr>
        <w:rFonts w:cs="Arial"/>
        <w:sz w:val="16"/>
        <w:szCs w:val="20"/>
      </w:rPr>
      <w:t>Lexall</w:t>
    </w:r>
    <w:proofErr w:type="spellEnd"/>
    <w:r>
      <w:rPr>
        <w:rFonts w:cs="Arial"/>
        <w:sz w:val="16"/>
        <w:szCs w:val="20"/>
      </w:rPr>
      <w:t xml:space="preserve"> Care</w:t>
    </w:r>
    <w:bookmarkEnd w:id="59"/>
    <w:r>
      <w:rPr>
        <w:rFonts w:cs="Arial"/>
        <w:sz w:val="16"/>
        <w:szCs w:val="20"/>
      </w:rPr>
      <w:tab/>
      <w:t xml:space="preserve">Date of Audit: </w:t>
    </w:r>
    <w:bookmarkStart w:id="60" w:name="AuditStartDate1"/>
    <w:r>
      <w:rPr>
        <w:rFonts w:cs="Arial"/>
        <w:sz w:val="16"/>
        <w:szCs w:val="20"/>
      </w:rPr>
      <w:t>24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11050F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333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E607" w14:textId="77777777" w:rsidR="005523EF" w:rsidRDefault="005523EF">
      <w:r>
        <w:separator/>
      </w:r>
    </w:p>
  </w:footnote>
  <w:footnote w:type="continuationSeparator" w:id="0">
    <w:p w14:paraId="436AE894" w14:textId="77777777" w:rsidR="005523EF" w:rsidRDefault="0055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87BB" w14:textId="77777777" w:rsidR="00000000" w:rsidRDefault="00000000">
    <w:pPr>
      <w:pStyle w:val="Header"/>
    </w:pPr>
  </w:p>
  <w:p w14:paraId="30DDE9A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DBFA" w14:textId="77777777" w:rsidR="00000000" w:rsidRDefault="00000000">
    <w:pPr>
      <w:pStyle w:val="Header"/>
    </w:pPr>
  </w:p>
  <w:p w14:paraId="41A6CE6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EC9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1A0E604">
      <w:start w:val="1"/>
      <w:numFmt w:val="decimal"/>
      <w:lvlText w:val="%1."/>
      <w:lvlJc w:val="left"/>
      <w:pPr>
        <w:ind w:left="360" w:hanging="360"/>
      </w:pPr>
    </w:lvl>
    <w:lvl w:ilvl="1" w:tplc="C90E9120" w:tentative="1">
      <w:start w:val="1"/>
      <w:numFmt w:val="lowerLetter"/>
      <w:lvlText w:val="%2."/>
      <w:lvlJc w:val="left"/>
      <w:pPr>
        <w:ind w:left="1080" w:hanging="360"/>
      </w:pPr>
    </w:lvl>
    <w:lvl w:ilvl="2" w:tplc="FF060F4C" w:tentative="1">
      <w:start w:val="1"/>
      <w:numFmt w:val="lowerRoman"/>
      <w:lvlText w:val="%3."/>
      <w:lvlJc w:val="right"/>
      <w:pPr>
        <w:ind w:left="1800" w:hanging="180"/>
      </w:pPr>
    </w:lvl>
    <w:lvl w:ilvl="3" w:tplc="3F30774E" w:tentative="1">
      <w:start w:val="1"/>
      <w:numFmt w:val="decimal"/>
      <w:lvlText w:val="%4."/>
      <w:lvlJc w:val="left"/>
      <w:pPr>
        <w:ind w:left="2520" w:hanging="360"/>
      </w:pPr>
    </w:lvl>
    <w:lvl w:ilvl="4" w:tplc="7D7EF12A" w:tentative="1">
      <w:start w:val="1"/>
      <w:numFmt w:val="lowerLetter"/>
      <w:lvlText w:val="%5."/>
      <w:lvlJc w:val="left"/>
      <w:pPr>
        <w:ind w:left="3240" w:hanging="360"/>
      </w:pPr>
    </w:lvl>
    <w:lvl w:ilvl="5" w:tplc="8F8C5210" w:tentative="1">
      <w:start w:val="1"/>
      <w:numFmt w:val="lowerRoman"/>
      <w:lvlText w:val="%6."/>
      <w:lvlJc w:val="right"/>
      <w:pPr>
        <w:ind w:left="3960" w:hanging="180"/>
      </w:pPr>
    </w:lvl>
    <w:lvl w:ilvl="6" w:tplc="C7245F2E" w:tentative="1">
      <w:start w:val="1"/>
      <w:numFmt w:val="decimal"/>
      <w:lvlText w:val="%7."/>
      <w:lvlJc w:val="left"/>
      <w:pPr>
        <w:ind w:left="4680" w:hanging="360"/>
      </w:pPr>
    </w:lvl>
    <w:lvl w:ilvl="7" w:tplc="D7AA1EF0" w:tentative="1">
      <w:start w:val="1"/>
      <w:numFmt w:val="lowerLetter"/>
      <w:lvlText w:val="%8."/>
      <w:lvlJc w:val="left"/>
      <w:pPr>
        <w:ind w:left="5400" w:hanging="360"/>
      </w:pPr>
    </w:lvl>
    <w:lvl w:ilvl="8" w:tplc="2E3ACAD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CA45434">
      <w:start w:val="1"/>
      <w:numFmt w:val="bullet"/>
      <w:lvlText w:val=""/>
      <w:lvlJc w:val="left"/>
      <w:pPr>
        <w:ind w:left="720" w:hanging="360"/>
      </w:pPr>
      <w:rPr>
        <w:rFonts w:ascii="Symbol" w:hAnsi="Symbol" w:hint="default"/>
      </w:rPr>
    </w:lvl>
    <w:lvl w:ilvl="1" w:tplc="BFFEF4D0" w:tentative="1">
      <w:start w:val="1"/>
      <w:numFmt w:val="bullet"/>
      <w:lvlText w:val="o"/>
      <w:lvlJc w:val="left"/>
      <w:pPr>
        <w:ind w:left="1440" w:hanging="360"/>
      </w:pPr>
      <w:rPr>
        <w:rFonts w:ascii="Courier New" w:hAnsi="Courier New" w:cs="Courier New" w:hint="default"/>
      </w:rPr>
    </w:lvl>
    <w:lvl w:ilvl="2" w:tplc="919A4412" w:tentative="1">
      <w:start w:val="1"/>
      <w:numFmt w:val="bullet"/>
      <w:lvlText w:val=""/>
      <w:lvlJc w:val="left"/>
      <w:pPr>
        <w:ind w:left="2160" w:hanging="360"/>
      </w:pPr>
      <w:rPr>
        <w:rFonts w:ascii="Wingdings" w:hAnsi="Wingdings" w:hint="default"/>
      </w:rPr>
    </w:lvl>
    <w:lvl w:ilvl="3" w:tplc="FAC4D348" w:tentative="1">
      <w:start w:val="1"/>
      <w:numFmt w:val="bullet"/>
      <w:lvlText w:val=""/>
      <w:lvlJc w:val="left"/>
      <w:pPr>
        <w:ind w:left="2880" w:hanging="360"/>
      </w:pPr>
      <w:rPr>
        <w:rFonts w:ascii="Symbol" w:hAnsi="Symbol" w:hint="default"/>
      </w:rPr>
    </w:lvl>
    <w:lvl w:ilvl="4" w:tplc="1BA84658" w:tentative="1">
      <w:start w:val="1"/>
      <w:numFmt w:val="bullet"/>
      <w:lvlText w:val="o"/>
      <w:lvlJc w:val="left"/>
      <w:pPr>
        <w:ind w:left="3600" w:hanging="360"/>
      </w:pPr>
      <w:rPr>
        <w:rFonts w:ascii="Courier New" w:hAnsi="Courier New" w:cs="Courier New" w:hint="default"/>
      </w:rPr>
    </w:lvl>
    <w:lvl w:ilvl="5" w:tplc="EB62A976" w:tentative="1">
      <w:start w:val="1"/>
      <w:numFmt w:val="bullet"/>
      <w:lvlText w:val=""/>
      <w:lvlJc w:val="left"/>
      <w:pPr>
        <w:ind w:left="4320" w:hanging="360"/>
      </w:pPr>
      <w:rPr>
        <w:rFonts w:ascii="Wingdings" w:hAnsi="Wingdings" w:hint="default"/>
      </w:rPr>
    </w:lvl>
    <w:lvl w:ilvl="6" w:tplc="BB368BAE" w:tentative="1">
      <w:start w:val="1"/>
      <w:numFmt w:val="bullet"/>
      <w:lvlText w:val=""/>
      <w:lvlJc w:val="left"/>
      <w:pPr>
        <w:ind w:left="5040" w:hanging="360"/>
      </w:pPr>
      <w:rPr>
        <w:rFonts w:ascii="Symbol" w:hAnsi="Symbol" w:hint="default"/>
      </w:rPr>
    </w:lvl>
    <w:lvl w:ilvl="7" w:tplc="3E06EB8E" w:tentative="1">
      <w:start w:val="1"/>
      <w:numFmt w:val="bullet"/>
      <w:lvlText w:val="o"/>
      <w:lvlJc w:val="left"/>
      <w:pPr>
        <w:ind w:left="5760" w:hanging="360"/>
      </w:pPr>
      <w:rPr>
        <w:rFonts w:ascii="Courier New" w:hAnsi="Courier New" w:cs="Courier New" w:hint="default"/>
      </w:rPr>
    </w:lvl>
    <w:lvl w:ilvl="8" w:tplc="3460C26A" w:tentative="1">
      <w:start w:val="1"/>
      <w:numFmt w:val="bullet"/>
      <w:lvlText w:val=""/>
      <w:lvlJc w:val="left"/>
      <w:pPr>
        <w:ind w:left="6480" w:hanging="360"/>
      </w:pPr>
      <w:rPr>
        <w:rFonts w:ascii="Wingdings" w:hAnsi="Wingdings" w:hint="default"/>
      </w:rPr>
    </w:lvl>
  </w:abstractNum>
  <w:num w:numId="1" w16cid:durableId="810906952">
    <w:abstractNumId w:val="1"/>
  </w:num>
  <w:num w:numId="2" w16cid:durableId="182789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E0"/>
    <w:rsid w:val="0047022D"/>
    <w:rsid w:val="005523EF"/>
    <w:rsid w:val="005C26E0"/>
    <w:rsid w:val="00A74DF6"/>
    <w:rsid w:val="00BD7F99"/>
    <w:rsid w:val="00DC18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6C0B"/>
  <w15:docId w15:val="{86067CF5-55CA-407A-B9F3-0DBF56F3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7341</Words>
  <Characters>41404</Characters>
  <Application>Microsoft Office Word</Application>
  <DocSecurity>0</DocSecurity>
  <Lines>920</Lines>
  <Paragraphs>786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2025-12-14T21:01:00Z</dcterms:created>
  <dcterms:modified xsi:type="dcterms:W3CDTF">2025-12-14T21:04:00Z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