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A410" w14:textId="77777777" w:rsidR="00000000" w:rsidRDefault="00000000">
      <w:pPr>
        <w:pStyle w:val="Heading1"/>
        <w:rPr>
          <w:rFonts w:cs="Arial"/>
        </w:rPr>
      </w:pPr>
      <w:bookmarkStart w:id="0" w:name="PRMS_RIName"/>
      <w:r>
        <w:rPr>
          <w:rFonts w:cs="Arial"/>
        </w:rPr>
        <w:t>Oceania Care Company Limited - Heretaunga Home &amp; Village</w:t>
      </w:r>
      <w:bookmarkEnd w:id="0"/>
    </w:p>
    <w:p w14:paraId="2693BA7A" w14:textId="77777777" w:rsidR="00000000" w:rsidRDefault="00000000">
      <w:pPr>
        <w:pStyle w:val="Heading2"/>
        <w:spacing w:after="0"/>
        <w:rPr>
          <w:rFonts w:cs="Arial"/>
        </w:rPr>
      </w:pPr>
      <w:r>
        <w:rPr>
          <w:rFonts w:cs="Arial"/>
        </w:rPr>
        <w:t>Introduction</w:t>
      </w:r>
    </w:p>
    <w:p w14:paraId="0C65AAC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3560AB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E691B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6719F0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FEFBA0B" w14:textId="77777777" w:rsidR="00000000" w:rsidRDefault="00000000">
      <w:pPr>
        <w:spacing w:before="240" w:after="240"/>
        <w:rPr>
          <w:rFonts w:cs="Arial"/>
          <w:lang w:eastAsia="en-NZ"/>
        </w:rPr>
      </w:pPr>
      <w:r>
        <w:rPr>
          <w:rFonts w:cs="Arial"/>
          <w:lang w:eastAsia="en-NZ"/>
        </w:rPr>
        <w:t>The specifics of this audit included:</w:t>
      </w:r>
    </w:p>
    <w:p w14:paraId="0AC12FA9" w14:textId="77777777" w:rsidR="00000000" w:rsidRPr="009D18F5" w:rsidRDefault="00000000" w:rsidP="0078754A">
      <w:pPr>
        <w:pBdr>
          <w:top w:val="single" w:sz="4" w:space="1" w:color="auto"/>
          <w:left w:val="single" w:sz="4" w:space="4" w:color="auto"/>
          <w:bottom w:val="single" w:sz="4" w:space="10" w:color="auto"/>
          <w:right w:val="single" w:sz="4" w:space="4" w:color="auto"/>
        </w:pBdr>
        <w:rPr>
          <w:rFonts w:cs="Arial"/>
        </w:rPr>
      </w:pPr>
    </w:p>
    <w:p w14:paraId="304E1CF2" w14:textId="77777777" w:rsidR="00000000" w:rsidRPr="009418D4" w:rsidRDefault="00000000" w:rsidP="0078754A">
      <w:pPr>
        <w:pBdr>
          <w:top w:val="single" w:sz="4" w:space="1" w:color="auto"/>
          <w:left w:val="single" w:sz="4" w:space="4" w:color="auto"/>
          <w:bottom w:val="single" w:sz="4" w:space="10"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3FB92C62" w14:textId="77777777" w:rsidR="00000000" w:rsidRPr="009418D4" w:rsidRDefault="00000000" w:rsidP="0078754A">
      <w:pPr>
        <w:pBdr>
          <w:top w:val="single" w:sz="4" w:space="1" w:color="auto"/>
          <w:left w:val="single" w:sz="4" w:space="4" w:color="auto"/>
          <w:bottom w:val="single" w:sz="4" w:space="10"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Heretaunga Home &amp; Village</w:t>
      </w:r>
      <w:bookmarkEnd w:id="5"/>
    </w:p>
    <w:p w14:paraId="3DE8757B" w14:textId="77777777" w:rsidR="00000000" w:rsidRPr="009418D4" w:rsidRDefault="00000000" w:rsidP="0078754A">
      <w:pPr>
        <w:pBdr>
          <w:top w:val="single" w:sz="4" w:space="1" w:color="auto"/>
          <w:left w:val="single" w:sz="4" w:space="4" w:color="auto"/>
          <w:bottom w:val="single" w:sz="4" w:space="10"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9EFCD46" w14:textId="77777777" w:rsidR="00000000" w:rsidRPr="009418D4" w:rsidRDefault="00000000" w:rsidP="0078754A">
      <w:pPr>
        <w:pBdr>
          <w:top w:val="single" w:sz="4" w:space="1" w:color="auto"/>
          <w:left w:val="single" w:sz="4" w:space="4" w:color="auto"/>
          <w:bottom w:val="single" w:sz="4" w:space="10"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October 2025</w:t>
      </w:r>
      <w:bookmarkEnd w:id="7"/>
      <w:r w:rsidRPr="009418D4">
        <w:rPr>
          <w:rFonts w:cs="Arial"/>
        </w:rPr>
        <w:tab/>
        <w:t xml:space="preserve">End date: </w:t>
      </w:r>
      <w:bookmarkStart w:id="8" w:name="AuditEndDate"/>
      <w:r>
        <w:rPr>
          <w:rFonts w:cs="Arial"/>
        </w:rPr>
        <w:t>15 October 2025</w:t>
      </w:r>
      <w:bookmarkEnd w:id="8"/>
    </w:p>
    <w:p w14:paraId="1FA2A4E3" w14:textId="77777777" w:rsidR="00000000" w:rsidRPr="009418D4" w:rsidRDefault="00000000" w:rsidP="0078754A">
      <w:pPr>
        <w:pBdr>
          <w:top w:val="single" w:sz="4" w:space="1" w:color="auto"/>
          <w:left w:val="single" w:sz="4" w:space="4" w:color="auto"/>
          <w:bottom w:val="single" w:sz="4" w:space="10"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Reconfiguration of one independent living unit to a care suite under an occupation right agreement.</w:t>
      </w:r>
    </w:p>
    <w:bookmarkEnd w:id="9"/>
    <w:p w14:paraId="33A6855B" w14:textId="50AD8535" w:rsidR="00000000" w:rsidRDefault="00000000" w:rsidP="0078754A">
      <w:pPr>
        <w:pBdr>
          <w:top w:val="single" w:sz="4" w:space="1" w:color="auto"/>
          <w:left w:val="single" w:sz="4" w:space="4" w:color="auto"/>
          <w:bottom w:val="single" w:sz="4" w:space="10"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14:paraId="1656CF8D" w14:textId="77777777" w:rsidR="00000000" w:rsidRDefault="00000000">
      <w:pPr>
        <w:pStyle w:val="Heading1"/>
        <w:rPr>
          <w:rFonts w:cs="Arial"/>
        </w:rPr>
      </w:pPr>
      <w:r>
        <w:rPr>
          <w:rFonts w:cs="Arial"/>
        </w:rPr>
        <w:lastRenderedPageBreak/>
        <w:t>Executive summary of the audit</w:t>
      </w:r>
    </w:p>
    <w:p w14:paraId="1B64FF62" w14:textId="77777777" w:rsidR="00000000" w:rsidRDefault="00000000">
      <w:pPr>
        <w:pStyle w:val="Heading2"/>
        <w:rPr>
          <w:rFonts w:cs="Arial"/>
        </w:rPr>
      </w:pPr>
      <w:r>
        <w:rPr>
          <w:rFonts w:cs="Arial"/>
        </w:rPr>
        <w:t>Introduction</w:t>
      </w:r>
    </w:p>
    <w:p w14:paraId="0CA61E0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BDBD58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9C739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C0B3AE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5DE871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4F1E79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4E11A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107007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4A8B64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1A08B5" w14:paraId="26303D1C" w14:textId="77777777">
        <w:trPr>
          <w:cantSplit/>
          <w:tblHeader/>
        </w:trPr>
        <w:tc>
          <w:tcPr>
            <w:tcW w:w="1260" w:type="dxa"/>
            <w:tcBorders>
              <w:bottom w:val="single" w:sz="4" w:space="0" w:color="000000"/>
            </w:tcBorders>
            <w:vAlign w:val="center"/>
          </w:tcPr>
          <w:p w14:paraId="0766C49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C90072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C6F5583" w14:textId="77777777" w:rsidR="00000000" w:rsidRDefault="00000000">
            <w:pPr>
              <w:spacing w:before="60" w:after="60"/>
              <w:rPr>
                <w:rFonts w:eastAsia="Calibri"/>
                <w:b/>
                <w:szCs w:val="24"/>
              </w:rPr>
            </w:pPr>
            <w:r>
              <w:rPr>
                <w:rFonts w:eastAsia="Calibri"/>
                <w:b/>
                <w:szCs w:val="24"/>
              </w:rPr>
              <w:t>Definition</w:t>
            </w:r>
          </w:p>
        </w:tc>
      </w:tr>
      <w:tr w:rsidR="001A08B5" w14:paraId="05205E44" w14:textId="77777777">
        <w:trPr>
          <w:cantSplit/>
          <w:trHeight w:val="964"/>
        </w:trPr>
        <w:tc>
          <w:tcPr>
            <w:tcW w:w="1260" w:type="dxa"/>
            <w:tcBorders>
              <w:bottom w:val="single" w:sz="4" w:space="0" w:color="000000"/>
            </w:tcBorders>
            <w:shd w:val="clear" w:color="0066FF" w:fill="0000FF"/>
            <w:vAlign w:val="center"/>
          </w:tcPr>
          <w:p w14:paraId="23A52FB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236EF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16404F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A08B5" w14:paraId="6D007E1C" w14:textId="77777777">
        <w:trPr>
          <w:cantSplit/>
          <w:trHeight w:val="964"/>
        </w:trPr>
        <w:tc>
          <w:tcPr>
            <w:tcW w:w="1260" w:type="dxa"/>
            <w:shd w:val="clear" w:color="33CC33" w:fill="00FF00"/>
            <w:vAlign w:val="center"/>
          </w:tcPr>
          <w:p w14:paraId="45CD0FF3" w14:textId="77777777" w:rsidR="00000000" w:rsidRDefault="00000000">
            <w:pPr>
              <w:spacing w:before="60" w:after="60"/>
              <w:rPr>
                <w:rFonts w:eastAsia="Calibri"/>
                <w:szCs w:val="24"/>
              </w:rPr>
            </w:pPr>
          </w:p>
        </w:tc>
        <w:tc>
          <w:tcPr>
            <w:tcW w:w="7095" w:type="dxa"/>
            <w:shd w:val="clear" w:color="auto" w:fill="auto"/>
            <w:vAlign w:val="center"/>
          </w:tcPr>
          <w:p w14:paraId="66E9AE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D55A9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A08B5" w14:paraId="629D3868" w14:textId="77777777">
        <w:trPr>
          <w:cantSplit/>
          <w:trHeight w:val="964"/>
        </w:trPr>
        <w:tc>
          <w:tcPr>
            <w:tcW w:w="1260" w:type="dxa"/>
            <w:tcBorders>
              <w:bottom w:val="single" w:sz="4" w:space="0" w:color="000000"/>
            </w:tcBorders>
            <w:shd w:val="clear" w:color="auto" w:fill="FFFF00"/>
            <w:vAlign w:val="center"/>
          </w:tcPr>
          <w:p w14:paraId="46F2E7AA" w14:textId="77777777" w:rsidR="00000000" w:rsidRDefault="00000000">
            <w:pPr>
              <w:spacing w:before="60" w:after="60"/>
              <w:rPr>
                <w:rFonts w:eastAsia="Calibri"/>
                <w:szCs w:val="24"/>
              </w:rPr>
            </w:pPr>
          </w:p>
        </w:tc>
        <w:tc>
          <w:tcPr>
            <w:tcW w:w="7095" w:type="dxa"/>
            <w:shd w:val="clear" w:color="auto" w:fill="auto"/>
            <w:vAlign w:val="center"/>
          </w:tcPr>
          <w:p w14:paraId="6FAE496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C4232A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A08B5" w14:paraId="611E3A2A" w14:textId="77777777">
        <w:trPr>
          <w:cantSplit/>
          <w:trHeight w:val="964"/>
        </w:trPr>
        <w:tc>
          <w:tcPr>
            <w:tcW w:w="1260" w:type="dxa"/>
            <w:tcBorders>
              <w:bottom w:val="single" w:sz="4" w:space="0" w:color="000000"/>
            </w:tcBorders>
            <w:shd w:val="clear" w:color="auto" w:fill="FFC800"/>
            <w:vAlign w:val="center"/>
          </w:tcPr>
          <w:p w14:paraId="4489D98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6AF18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CC0879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A08B5" w14:paraId="57FA0F12" w14:textId="77777777">
        <w:trPr>
          <w:cantSplit/>
          <w:trHeight w:val="964"/>
        </w:trPr>
        <w:tc>
          <w:tcPr>
            <w:tcW w:w="1260" w:type="dxa"/>
            <w:shd w:val="clear" w:color="auto" w:fill="FF0000"/>
            <w:vAlign w:val="center"/>
          </w:tcPr>
          <w:p w14:paraId="5FAA51B2" w14:textId="77777777" w:rsidR="00000000" w:rsidRDefault="00000000">
            <w:pPr>
              <w:spacing w:before="60" w:after="60"/>
              <w:rPr>
                <w:rFonts w:eastAsia="Calibri"/>
                <w:szCs w:val="24"/>
              </w:rPr>
            </w:pPr>
          </w:p>
        </w:tc>
        <w:tc>
          <w:tcPr>
            <w:tcW w:w="7095" w:type="dxa"/>
            <w:shd w:val="clear" w:color="auto" w:fill="auto"/>
            <w:vAlign w:val="center"/>
          </w:tcPr>
          <w:p w14:paraId="240CFDD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731BB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F21011A" w14:textId="77777777" w:rsidR="00000000" w:rsidRDefault="00000000">
      <w:pPr>
        <w:pStyle w:val="Heading2"/>
        <w:spacing w:after="0"/>
        <w:rPr>
          <w:rFonts w:cs="Arial"/>
        </w:rPr>
      </w:pPr>
      <w:r>
        <w:rPr>
          <w:rFonts w:cs="Arial"/>
        </w:rPr>
        <w:t>General overview of the audit</w:t>
      </w:r>
    </w:p>
    <w:p w14:paraId="20341AF0" w14:textId="77777777" w:rsidR="00000000" w:rsidRDefault="00000000">
      <w:pPr>
        <w:spacing w:before="240" w:line="276" w:lineRule="auto"/>
        <w:rPr>
          <w:rFonts w:eastAsia="Calibri"/>
        </w:rPr>
      </w:pPr>
      <w:bookmarkStart w:id="13" w:name="GeneralOverview"/>
      <w:r w:rsidRPr="00A4268A">
        <w:rPr>
          <w:rFonts w:eastAsia="Calibri"/>
        </w:rPr>
        <w:t>Heretaunga Home &amp; Village is part of Oceania Care Company Limited. The service is managed by an experienced general manager who is supported by an experienced clinical manager, both of whom are registered nurses. The clinical manager has overall management of clinical services. There have been no significant changes to the service since the previous audit. The home can provide services for up to 59 residents requiring rest home, dementia or hospital levels of care. There were 58 residents in the facility on the days of the audit.</w:t>
      </w:r>
    </w:p>
    <w:p w14:paraId="09FA3086" w14:textId="77777777" w:rsidR="001A08B5"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held with Health New Zealand – Te Whatu Ora. It included a pre-audit review of policies and procedures, a review of residents’ and staff files, observations, and interviews with residents and whānau, a governance representative, staff, a nurse practitioner, and a volunteer.</w:t>
      </w:r>
    </w:p>
    <w:p w14:paraId="5E243528" w14:textId="77777777" w:rsidR="001A08B5" w:rsidRPr="00A4268A" w:rsidRDefault="00000000">
      <w:pPr>
        <w:spacing w:before="240" w:line="276" w:lineRule="auto"/>
        <w:rPr>
          <w:rFonts w:eastAsia="Calibri"/>
        </w:rPr>
      </w:pPr>
      <w:r w:rsidRPr="00A4268A">
        <w:rPr>
          <w:rFonts w:eastAsia="Calibri"/>
        </w:rPr>
        <w:t>Residents and whānau interviewed were complimentary about the care provided.</w:t>
      </w:r>
    </w:p>
    <w:p w14:paraId="2E182D61" w14:textId="77777777" w:rsidR="001A08B5" w:rsidRPr="00A4268A" w:rsidRDefault="00000000">
      <w:pPr>
        <w:spacing w:before="240" w:line="276" w:lineRule="auto"/>
        <w:rPr>
          <w:rFonts w:eastAsia="Calibri"/>
        </w:rPr>
      </w:pPr>
      <w:r w:rsidRPr="00A4268A">
        <w:rPr>
          <w:rFonts w:eastAsia="Calibri"/>
        </w:rPr>
        <w:t>A request to reconfigure an independent care unit to a care suite to provide services under contract to Te Whatu Ora has been considered as part of this audit at the request of the Ministry of Health/Manatū Hauora.</w:t>
      </w:r>
    </w:p>
    <w:p w14:paraId="7091A0A7" w14:textId="77777777" w:rsidR="001A08B5" w:rsidRPr="00A4268A" w:rsidRDefault="00000000">
      <w:pPr>
        <w:spacing w:before="240" w:line="276" w:lineRule="auto"/>
        <w:rPr>
          <w:rFonts w:eastAsia="Calibri"/>
        </w:rPr>
      </w:pPr>
      <w:r w:rsidRPr="00A4268A">
        <w:rPr>
          <w:rFonts w:eastAsia="Calibri"/>
        </w:rPr>
        <w:t>As a result of this audit, improvements are required in meeting The National Emergency Management Agency water requirements for the area for emergency use.</w:t>
      </w:r>
    </w:p>
    <w:bookmarkEnd w:id="13"/>
    <w:p w14:paraId="1DCD0C46" w14:textId="77777777" w:rsidR="001A08B5" w:rsidRPr="00A4268A" w:rsidRDefault="001A08B5">
      <w:pPr>
        <w:spacing w:before="240" w:line="276" w:lineRule="auto"/>
        <w:rPr>
          <w:rFonts w:eastAsia="Calibri"/>
        </w:rPr>
      </w:pPr>
    </w:p>
    <w:p w14:paraId="5E5C989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08B5" w14:paraId="7C858D31" w14:textId="77777777" w:rsidTr="00A4268A">
        <w:trPr>
          <w:cantSplit/>
        </w:trPr>
        <w:tc>
          <w:tcPr>
            <w:tcW w:w="10206" w:type="dxa"/>
            <w:vAlign w:val="center"/>
          </w:tcPr>
          <w:p w14:paraId="2156DDC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C86FDF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CA1BC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197EDA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A867A00" w14:textId="77777777" w:rsidR="00000000" w:rsidRDefault="00000000">
      <w:pPr>
        <w:spacing w:before="240" w:line="276" w:lineRule="auto"/>
        <w:rPr>
          <w:rFonts w:eastAsia="Calibri"/>
        </w:rPr>
      </w:pPr>
      <w:bookmarkStart w:id="16" w:name="ConsumerRights"/>
      <w:r w:rsidRPr="00A4268A">
        <w:rPr>
          <w:rFonts w:eastAsia="Calibri"/>
        </w:rPr>
        <w:t>Heretaunga Home &amp; Village worked collaboratively to support and encourage a Māori worldview of health in service delivery. Systems were in place to enable the service to provide equitable and effective services based on Te Tiriti o Waitangi and the principles of mana motuhake (self-determination). Māori residents in the service reported they received services in a culturally safe manner.</w:t>
      </w:r>
    </w:p>
    <w:p w14:paraId="04032CBE" w14:textId="77777777" w:rsidR="001A08B5" w:rsidRPr="00A4268A" w:rsidRDefault="00000000">
      <w:pPr>
        <w:spacing w:before="240" w:line="276" w:lineRule="auto"/>
        <w:rPr>
          <w:rFonts w:eastAsia="Calibri"/>
        </w:rPr>
      </w:pPr>
      <w:r w:rsidRPr="00A4268A">
        <w:rPr>
          <w:rFonts w:eastAsia="Calibri"/>
        </w:rPr>
        <w:t>There are systems and processes in place at Heretaunga Home &amp; Village to enable residents from Pacific communities to be provided with services that recognise their worldviews in a culturally safe manner.</w:t>
      </w:r>
    </w:p>
    <w:p w14:paraId="08D8273B" w14:textId="77777777" w:rsidR="001A08B5"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Heretaunga Home &amp; Village provided services and support to people in a way that was inclusive and respected their identity and experiences. Care plans accommodated the choices of residents and/or their whānau.</w:t>
      </w:r>
    </w:p>
    <w:p w14:paraId="6765AA5E" w14:textId="77777777" w:rsidR="001A08B5" w:rsidRPr="00A4268A" w:rsidRDefault="00000000">
      <w:pPr>
        <w:spacing w:before="240" w:line="276" w:lineRule="auto"/>
        <w:rPr>
          <w:rFonts w:eastAsia="Calibri"/>
        </w:rPr>
      </w:pPr>
      <w:r w:rsidRPr="00A4268A">
        <w:rPr>
          <w:rFonts w:eastAsia="Calibri"/>
        </w:rPr>
        <w:t>Residents and their whānau received information in an easy-to-understand format and were included when making decisions about care and treatment. Open communication was practiced, and there was evidence that residents and their whānau were kept well informed. Interpreter services were provided as needed. Whānau and legal representatives participated in decision-making that complied with the law. Advance directives were followed wherever possible.</w:t>
      </w:r>
    </w:p>
    <w:p w14:paraId="4245D13C" w14:textId="77777777" w:rsidR="001A08B5" w:rsidRPr="00A4268A" w:rsidRDefault="00000000">
      <w:pPr>
        <w:spacing w:before="240" w:line="276" w:lineRule="auto"/>
        <w:rPr>
          <w:rFonts w:eastAsia="Calibri"/>
        </w:rPr>
      </w:pPr>
      <w:r w:rsidRPr="00A4268A">
        <w:rPr>
          <w:rFonts w:eastAsia="Calibri"/>
        </w:rPr>
        <w:t>Complaints were being managed in accordance with the Code and in collaboration with all parties. Culturally specific processes were in place for Māori.</w:t>
      </w:r>
    </w:p>
    <w:bookmarkEnd w:id="16"/>
    <w:p w14:paraId="0B78B2A8" w14:textId="77777777" w:rsidR="001A08B5" w:rsidRPr="00A4268A" w:rsidRDefault="001A08B5">
      <w:pPr>
        <w:spacing w:before="240" w:line="276" w:lineRule="auto"/>
        <w:rPr>
          <w:rFonts w:eastAsia="Calibri"/>
        </w:rPr>
      </w:pPr>
    </w:p>
    <w:p w14:paraId="306A91E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08B5" w14:paraId="567CFA5C" w14:textId="77777777" w:rsidTr="00A4268A">
        <w:trPr>
          <w:cantSplit/>
        </w:trPr>
        <w:tc>
          <w:tcPr>
            <w:tcW w:w="10206" w:type="dxa"/>
            <w:vAlign w:val="center"/>
          </w:tcPr>
          <w:p w14:paraId="036D02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7F63A2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20843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39D8719" w14:textId="77777777" w:rsidR="00000000" w:rsidRDefault="00000000">
      <w:pPr>
        <w:spacing w:before="240" w:line="276" w:lineRule="auto"/>
        <w:rPr>
          <w:rFonts w:eastAsia="Calibri"/>
        </w:rPr>
      </w:pPr>
      <w:bookmarkStart w:id="19" w:name="OrganisationalManagement"/>
      <w:r w:rsidRPr="00A4268A">
        <w:rPr>
          <w:rFonts w:eastAsia="Calibri"/>
        </w:rPr>
        <w:t>Oceania Care Company Limited, as the governing body, is committed to delivering high-quality services in all its facilities, including those at Heretaunga Home &amp; Village. Consultation with Māori was occurring at governance level, honouring Te Tiriti o Waitangi, and reducing barriers to improve outcomes for Māori and tāngata whaikaha (people with disabilities).</w:t>
      </w:r>
    </w:p>
    <w:p w14:paraId="1D547E3C" w14:textId="77777777" w:rsidR="001A08B5" w:rsidRPr="00A4268A" w:rsidRDefault="00000000">
      <w:pPr>
        <w:spacing w:before="240" w:line="276" w:lineRule="auto"/>
        <w:rPr>
          <w:rFonts w:eastAsia="Calibri"/>
        </w:rPr>
      </w:pPr>
      <w:r w:rsidRPr="00A4268A">
        <w:rPr>
          <w:rFonts w:eastAsia="Calibri"/>
        </w:rPr>
        <w:t>Strategic and business planning ensured the purpose, values, direction, scope, and goals for the organisation and of the facility are defined. Suitably qualified and experienced people managed the service. Ongoing monitoring of business, health and safety and clinical services was occurring, with regular reviews according to predetermined schedules and/or events that arise that may impact the service.</w:t>
      </w:r>
    </w:p>
    <w:p w14:paraId="4D7B8775" w14:textId="77777777" w:rsidR="001A08B5" w:rsidRPr="00A4268A" w:rsidRDefault="00000000">
      <w:pPr>
        <w:spacing w:before="240" w:line="276" w:lineRule="auto"/>
        <w:rPr>
          <w:rFonts w:eastAsia="Calibri"/>
        </w:rPr>
      </w:pPr>
      <w:r w:rsidRPr="00A4268A">
        <w:rPr>
          <w:rFonts w:eastAsia="Calibri"/>
        </w:rPr>
        <w:t>Well-established quality and risk management systems were focused on improving service delivery and care using a risk-based approach. Residents and whānau provided regular feedback, and staff were involved in quality activities. Actual and potential risks were identified and mitigated.</w:t>
      </w:r>
    </w:p>
    <w:p w14:paraId="17086E2C" w14:textId="77777777" w:rsidR="001A08B5" w:rsidRPr="00A4268A" w:rsidRDefault="00000000">
      <w:pPr>
        <w:spacing w:before="240" w:line="276" w:lineRule="auto"/>
        <w:rPr>
          <w:rFonts w:eastAsia="Calibri"/>
        </w:rPr>
      </w:pPr>
      <w:r w:rsidRPr="00A4268A">
        <w:rPr>
          <w:rFonts w:eastAsia="Calibri"/>
        </w:rPr>
        <w:t>The National Adverse Events Policy was followed for adverse events. The service complied with statutory and regulatory reporting obligations. An integrated approach included collection and analysis of quality improvement data, the identification of trends leading to improvements, with data benchmarked to other Oceania Care Company Limited facilities nationwide, and other aged-related care services nationally.</w:t>
      </w:r>
    </w:p>
    <w:p w14:paraId="39773938" w14:textId="77777777" w:rsidR="001A08B5" w:rsidRPr="00A4268A" w:rsidRDefault="00000000">
      <w:pPr>
        <w:spacing w:before="240" w:line="276" w:lineRule="auto"/>
        <w:rPr>
          <w:rFonts w:eastAsia="Calibri"/>
        </w:rPr>
      </w:pPr>
      <w:r w:rsidRPr="00A4268A">
        <w:rPr>
          <w:rFonts w:eastAsia="Calibri"/>
        </w:rPr>
        <w:t>Staffing levels and skill mix met the cultural and clinical needs of residents, including for residents residing in the secure dementia care service. Staff were appointed, orientated, and managed using current good practice.</w:t>
      </w:r>
    </w:p>
    <w:p w14:paraId="2DDAEBC4" w14:textId="77777777" w:rsidR="001A08B5" w:rsidRPr="00A4268A" w:rsidRDefault="00000000">
      <w:pPr>
        <w:spacing w:before="240" w:line="276" w:lineRule="auto"/>
        <w:rPr>
          <w:rFonts w:eastAsia="Calibri"/>
        </w:rPr>
      </w:pPr>
      <w:r w:rsidRPr="00A4268A">
        <w:rPr>
          <w:rFonts w:eastAsia="Calibri"/>
        </w:rPr>
        <w:t>An orientation and education/training programme was in place and competencies were assessed. Care staff have access to New Zealand Qualifications Authority (NZQA)-approved health and wellbeing courses including dementia care qualifications.</w:t>
      </w:r>
    </w:p>
    <w:p w14:paraId="4293908D" w14:textId="77777777" w:rsidR="001A08B5" w:rsidRPr="00A4268A" w:rsidRDefault="00000000">
      <w:pPr>
        <w:spacing w:before="240" w:line="276" w:lineRule="auto"/>
        <w:rPr>
          <w:rFonts w:eastAsia="Calibri"/>
        </w:rPr>
      </w:pPr>
      <w:r w:rsidRPr="00A4268A">
        <w:rPr>
          <w:rFonts w:eastAsia="Calibri"/>
        </w:rPr>
        <w:lastRenderedPageBreak/>
        <w:t>Residents’ and staff information was accurately recorded, securely stored, and not accessible to unauthorised people.</w:t>
      </w:r>
    </w:p>
    <w:bookmarkEnd w:id="19"/>
    <w:p w14:paraId="321D3C9A" w14:textId="77777777" w:rsidR="001A08B5" w:rsidRPr="00A4268A" w:rsidRDefault="001A08B5">
      <w:pPr>
        <w:spacing w:before="240" w:line="276" w:lineRule="auto"/>
        <w:rPr>
          <w:rFonts w:eastAsia="Calibri"/>
        </w:rPr>
      </w:pPr>
    </w:p>
    <w:p w14:paraId="26AAAF7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08B5" w14:paraId="4564A1BF" w14:textId="77777777" w:rsidTr="00A4268A">
        <w:trPr>
          <w:cantSplit/>
        </w:trPr>
        <w:tc>
          <w:tcPr>
            <w:tcW w:w="10206" w:type="dxa"/>
            <w:vAlign w:val="center"/>
          </w:tcPr>
          <w:p w14:paraId="7D1977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0BBBC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2FA89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09DE8E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entry-to-service process at Heretaunga Home and Village was efficiently managed through an electronic system. Residents were assessed before entry to the service to confirm their level of care.</w:t>
      </w:r>
    </w:p>
    <w:p w14:paraId="04FC37C4" w14:textId="77777777" w:rsidR="001A08B5" w:rsidRPr="00A4268A" w:rsidRDefault="00000000" w:rsidP="00621629">
      <w:pPr>
        <w:spacing w:before="240" w:line="276" w:lineRule="auto"/>
        <w:rPr>
          <w:rFonts w:eastAsia="Calibri"/>
        </w:rPr>
      </w:pPr>
      <w:r w:rsidRPr="00A4268A">
        <w:rPr>
          <w:rFonts w:eastAsia="Calibri"/>
        </w:rPr>
        <w:t>When people entered the service, a person-centred and whānau-centred approach was adopted. Relevant information was provided to the potential resident and their whānau.</w:t>
      </w:r>
    </w:p>
    <w:p w14:paraId="5AF411E0" w14:textId="77777777" w:rsidR="001A08B5" w:rsidRPr="00A4268A" w:rsidRDefault="00000000" w:rsidP="00621629">
      <w:pPr>
        <w:spacing w:before="240" w:line="276" w:lineRule="auto"/>
        <w:rPr>
          <w:rFonts w:eastAsia="Calibri"/>
        </w:rPr>
      </w:pPr>
      <w:r w:rsidRPr="00A4268A">
        <w:rPr>
          <w:rFonts w:eastAsia="Calibri"/>
        </w:rPr>
        <w:t>Heretaunga Home and Village staff worked in partnership with the residents and their whānau to assess, plan and evaluate care. Registered nurses were responsible for the assessment, development, and evaluation of care plans. Care plans were individualised, based on comprehensive information, and accommodate any recent problems that might arise. Files reviewed demonstrated that care plans met the needs of residents and whānau and were evaluated on a regular and timely basis.</w:t>
      </w:r>
    </w:p>
    <w:p w14:paraId="605E96A4" w14:textId="77777777" w:rsidR="001A08B5"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 Activity plans were completed in consultation with residents, their whānau, and staff. Residents and whānau expressed satisfaction with the activities programme in place.</w:t>
      </w:r>
    </w:p>
    <w:p w14:paraId="27C5EA5F" w14:textId="77777777" w:rsidR="001A08B5" w:rsidRPr="00A4268A" w:rsidRDefault="00000000" w:rsidP="00621629">
      <w:pPr>
        <w:spacing w:before="240" w:line="276" w:lineRule="auto"/>
        <w:rPr>
          <w:rFonts w:eastAsia="Calibri"/>
        </w:rPr>
      </w:pPr>
      <w:r w:rsidRPr="00A4268A">
        <w:rPr>
          <w:rFonts w:eastAsia="Calibri"/>
        </w:rPr>
        <w:t>There was a medicine management system in place. Medicines were safely managed and administered by staff who had been assessed as competent to do so. The organisation uses an electronic system for the prescribing, dispensing, and administration of medication. The nurse practitioner or general practitioner were responsible for all medication reviews. There were policies and procedures that describe medication management and that align with accepted guidelines.</w:t>
      </w:r>
    </w:p>
    <w:p w14:paraId="6EBCFB5A" w14:textId="77777777" w:rsidR="001A08B5" w:rsidRPr="00A4268A" w:rsidRDefault="00000000" w:rsidP="00621629">
      <w:pPr>
        <w:spacing w:before="240" w:line="276" w:lineRule="auto"/>
        <w:rPr>
          <w:rFonts w:eastAsia="Calibri"/>
        </w:rPr>
      </w:pPr>
      <w:r w:rsidRPr="00A4268A">
        <w:rPr>
          <w:rFonts w:eastAsia="Calibri"/>
        </w:rPr>
        <w:lastRenderedPageBreak/>
        <w:t>The food service was safely managed and met the nutritional needs of residents, with special cultural needs catered for, including foods relevant to te ao Māori. Residents verified satisfaction with meals. Food was available to residents in the secure unit, anytime of the night or day.</w:t>
      </w:r>
    </w:p>
    <w:p w14:paraId="6303986A" w14:textId="77777777" w:rsidR="001A08B5"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1BFB09EE" w14:textId="77777777" w:rsidR="001A08B5" w:rsidRPr="00A4268A" w:rsidRDefault="001A08B5" w:rsidP="00621629">
      <w:pPr>
        <w:spacing w:before="240" w:line="276" w:lineRule="auto"/>
        <w:rPr>
          <w:rFonts w:eastAsia="Calibri"/>
        </w:rPr>
      </w:pPr>
    </w:p>
    <w:p w14:paraId="08B8A6C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08B5" w14:paraId="30AACC75" w14:textId="77777777" w:rsidTr="00A4268A">
        <w:trPr>
          <w:cantSplit/>
        </w:trPr>
        <w:tc>
          <w:tcPr>
            <w:tcW w:w="10206" w:type="dxa"/>
            <w:vAlign w:val="center"/>
          </w:tcPr>
          <w:p w14:paraId="2EE23C4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82EC3B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517E4A0"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3726193" w14:textId="77777777" w:rsidR="00000000" w:rsidRDefault="00000000">
      <w:pPr>
        <w:spacing w:before="240" w:line="276" w:lineRule="auto"/>
        <w:rPr>
          <w:rFonts w:eastAsia="Calibri"/>
        </w:rPr>
      </w:pPr>
      <w:bookmarkStart w:id="25" w:name="SafeAndAppropriateEnvironment"/>
      <w:r w:rsidRPr="00A4268A">
        <w:rPr>
          <w:rFonts w:eastAsia="Calibri"/>
        </w:rPr>
        <w:t>The facility met the needs of residents and was clean and maintained. There was a current building warrant of fitness, and this was displayed. Electrical and biomedical equipment had been checked and assessed as required. Internal and external areas were accessible and safe, external areas had shade and seating provided and met the needs of tāngata whaikaha and residents in the secure dementia service.</w:t>
      </w:r>
    </w:p>
    <w:p w14:paraId="7615F94C" w14:textId="77777777" w:rsidR="001A08B5" w:rsidRPr="00A4268A" w:rsidRDefault="00000000">
      <w:pPr>
        <w:spacing w:before="240" w:line="276" w:lineRule="auto"/>
        <w:rPr>
          <w:rFonts w:eastAsia="Calibri"/>
        </w:rPr>
      </w:pPr>
      <w:r w:rsidRPr="00A4268A">
        <w:rPr>
          <w:rFonts w:eastAsia="Calibri"/>
        </w:rPr>
        <w:t>Staff were trained in emergency procedures, the use of emergency equipment and supplies, and attended regular fire drills. Staff, residents and whānau understood emergency and security arrangements. Residents reported a timely staff response to call bells. Security was maintained.</w:t>
      </w:r>
    </w:p>
    <w:bookmarkEnd w:id="25"/>
    <w:p w14:paraId="4409E1F4" w14:textId="77777777" w:rsidR="001A08B5" w:rsidRPr="00A4268A" w:rsidRDefault="001A08B5">
      <w:pPr>
        <w:spacing w:before="240" w:line="276" w:lineRule="auto"/>
        <w:rPr>
          <w:rFonts w:eastAsia="Calibri"/>
        </w:rPr>
      </w:pPr>
    </w:p>
    <w:p w14:paraId="4A2E258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08B5" w14:paraId="4A6F2786" w14:textId="77777777" w:rsidTr="00A4268A">
        <w:trPr>
          <w:cantSplit/>
        </w:trPr>
        <w:tc>
          <w:tcPr>
            <w:tcW w:w="10206" w:type="dxa"/>
            <w:vAlign w:val="center"/>
          </w:tcPr>
          <w:p w14:paraId="6762AE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D59A4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08CF3B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54C0A4F"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ensured the safety of residents and staff through planned infection prevention and antimicrobial stewardship programmes that were appropriate to the size and complexity of the service. An experienced and trained infection prevention and control coordinator led the programme.</w:t>
      </w:r>
    </w:p>
    <w:p w14:paraId="71344F3D" w14:textId="77777777" w:rsidR="001A08B5" w:rsidRPr="00A4268A" w:rsidRDefault="00000000">
      <w:pPr>
        <w:spacing w:before="240" w:line="276" w:lineRule="auto"/>
        <w:rPr>
          <w:rFonts w:eastAsia="Calibri"/>
        </w:rPr>
      </w:pPr>
      <w:r w:rsidRPr="00A4268A">
        <w:rPr>
          <w:rFonts w:eastAsia="Calibri"/>
        </w:rPr>
        <w:t>The infection prevention and control coordinator participated in procurement processes, any facility changes, and processes related to the decontamination of any reusable devices.</w:t>
      </w:r>
    </w:p>
    <w:p w14:paraId="7ED0CF7E" w14:textId="77777777" w:rsidR="001A08B5"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BB50A30" w14:textId="77777777" w:rsidR="001A08B5" w:rsidRPr="00A4268A" w:rsidRDefault="00000000">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5B549F30" w14:textId="77777777" w:rsidR="001A08B5"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managed. There were safe and effective cleaning and laundry services.</w:t>
      </w:r>
    </w:p>
    <w:bookmarkEnd w:id="28"/>
    <w:p w14:paraId="586BE6C7" w14:textId="77777777" w:rsidR="001A08B5" w:rsidRPr="00A4268A" w:rsidRDefault="001A08B5">
      <w:pPr>
        <w:spacing w:before="240" w:line="276" w:lineRule="auto"/>
        <w:rPr>
          <w:rFonts w:eastAsia="Calibri"/>
        </w:rPr>
      </w:pPr>
    </w:p>
    <w:p w14:paraId="3E81412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08B5" w14:paraId="1A8A6704" w14:textId="77777777" w:rsidTr="00A4268A">
        <w:trPr>
          <w:cantSplit/>
        </w:trPr>
        <w:tc>
          <w:tcPr>
            <w:tcW w:w="10206" w:type="dxa"/>
            <w:vAlign w:val="center"/>
          </w:tcPr>
          <w:p w14:paraId="7FAE2FD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6F2D4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C29616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A9EB994" w14:textId="77777777" w:rsidR="00000000" w:rsidRDefault="00000000">
      <w:pPr>
        <w:spacing w:before="240" w:line="276" w:lineRule="auto"/>
        <w:rPr>
          <w:rFonts w:eastAsia="Calibri"/>
        </w:rPr>
      </w:pPr>
      <w:bookmarkStart w:id="31" w:name="InfectionPreventionAndControl"/>
      <w:r w:rsidRPr="00A4268A">
        <w:rPr>
          <w:rFonts w:eastAsia="Calibri"/>
        </w:rPr>
        <w:t>Restraint has not been used at Heretaunga Home &amp; Village since April 2025. This was supported by the governing body and policies and procedures. There were no residents observed to be using a restraint during the audit.</w:t>
      </w:r>
    </w:p>
    <w:p w14:paraId="4642344A" w14:textId="77777777" w:rsidR="001A08B5" w:rsidRPr="00A4268A" w:rsidRDefault="00000000">
      <w:pPr>
        <w:spacing w:before="240" w:line="276" w:lineRule="auto"/>
        <w:rPr>
          <w:rFonts w:eastAsia="Calibri"/>
        </w:rPr>
      </w:pPr>
      <w:r w:rsidRPr="00A4268A">
        <w:rPr>
          <w:rFonts w:eastAsia="Calibri"/>
        </w:rPr>
        <w:t>Should restraint be required in the future, there is a comprehensive assessment, approval, consent, and monitoring process for this, requiring regular review. Restraint would be used only as a last resort and when all other interventions/strategies have failed.</w:t>
      </w:r>
    </w:p>
    <w:p w14:paraId="74DCC655" w14:textId="77777777" w:rsidR="001A08B5" w:rsidRPr="00A4268A" w:rsidRDefault="00000000">
      <w:pPr>
        <w:spacing w:before="240" w:line="276" w:lineRule="auto"/>
        <w:rPr>
          <w:rFonts w:eastAsia="Calibri"/>
        </w:rPr>
      </w:pPr>
      <w:r w:rsidRPr="00A4268A">
        <w:rPr>
          <w:rFonts w:eastAsia="Calibri"/>
        </w:rPr>
        <w:t>The restraint coordinator was a registered nurse who had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 requirements.</w:t>
      </w:r>
    </w:p>
    <w:bookmarkEnd w:id="31"/>
    <w:p w14:paraId="54B1A7B5" w14:textId="77777777" w:rsidR="001A08B5" w:rsidRPr="00A4268A" w:rsidRDefault="001A08B5">
      <w:pPr>
        <w:spacing w:before="240" w:line="276" w:lineRule="auto"/>
        <w:rPr>
          <w:rFonts w:eastAsia="Calibri"/>
        </w:rPr>
      </w:pPr>
    </w:p>
    <w:p w14:paraId="3E7BBC45" w14:textId="77777777" w:rsidR="00000000" w:rsidRDefault="00000000" w:rsidP="000E6E02">
      <w:pPr>
        <w:pStyle w:val="Heading2"/>
        <w:spacing w:before="0"/>
        <w:rPr>
          <w:rFonts w:cs="Arial"/>
        </w:rPr>
      </w:pPr>
      <w:r>
        <w:rPr>
          <w:rFonts w:cs="Arial"/>
        </w:rPr>
        <w:lastRenderedPageBreak/>
        <w:t>Summary of attainment</w:t>
      </w:r>
    </w:p>
    <w:p w14:paraId="2BF2840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A08B5" w14:paraId="2CD6BC5E" w14:textId="77777777">
        <w:tc>
          <w:tcPr>
            <w:tcW w:w="1384" w:type="dxa"/>
            <w:vAlign w:val="center"/>
          </w:tcPr>
          <w:p w14:paraId="11BFB5A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2A932A6" w14:textId="77777777" w:rsidR="00000000" w:rsidRDefault="00000000">
            <w:pPr>
              <w:keepNext/>
              <w:spacing w:before="60" w:after="60"/>
              <w:jc w:val="center"/>
              <w:rPr>
                <w:rFonts w:cs="Arial"/>
                <w:b/>
                <w:sz w:val="20"/>
                <w:szCs w:val="20"/>
              </w:rPr>
            </w:pPr>
            <w:r>
              <w:rPr>
                <w:rFonts w:cs="Arial"/>
                <w:b/>
                <w:sz w:val="20"/>
                <w:szCs w:val="20"/>
              </w:rPr>
              <w:t>Continuous Improvement</w:t>
            </w:r>
          </w:p>
          <w:p w14:paraId="3008AF6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83D8C29" w14:textId="77777777" w:rsidR="00000000" w:rsidRDefault="00000000">
            <w:pPr>
              <w:keepNext/>
              <w:spacing w:before="60" w:after="60"/>
              <w:jc w:val="center"/>
              <w:rPr>
                <w:rFonts w:cs="Arial"/>
                <w:b/>
                <w:sz w:val="20"/>
                <w:szCs w:val="20"/>
              </w:rPr>
            </w:pPr>
            <w:r>
              <w:rPr>
                <w:rFonts w:cs="Arial"/>
                <w:b/>
                <w:sz w:val="20"/>
                <w:szCs w:val="20"/>
              </w:rPr>
              <w:t>Fully Attained</w:t>
            </w:r>
          </w:p>
          <w:p w14:paraId="4C36E2E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0AB81D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EA22C9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E94878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31FF93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CA8B58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F47FFB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82AC26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B7029C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900958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67475C4" w14:textId="77777777" w:rsidR="00000000" w:rsidRDefault="00000000">
            <w:pPr>
              <w:keepNext/>
              <w:spacing w:before="60" w:after="60"/>
              <w:jc w:val="center"/>
              <w:rPr>
                <w:rFonts w:cs="Arial"/>
                <w:b/>
                <w:sz w:val="20"/>
                <w:szCs w:val="20"/>
              </w:rPr>
            </w:pPr>
            <w:r>
              <w:rPr>
                <w:rFonts w:cs="Arial"/>
                <w:b/>
                <w:sz w:val="20"/>
                <w:szCs w:val="20"/>
              </w:rPr>
              <w:t>(PA Critical)</w:t>
            </w:r>
          </w:p>
        </w:tc>
      </w:tr>
      <w:tr w:rsidR="001A08B5" w14:paraId="2B2AB9B1" w14:textId="77777777">
        <w:tc>
          <w:tcPr>
            <w:tcW w:w="1384" w:type="dxa"/>
            <w:vAlign w:val="center"/>
          </w:tcPr>
          <w:p w14:paraId="450525A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182911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9062C1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CD6B33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A53F2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574D20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DA9162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AC2B87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A08B5" w14:paraId="4776853C" w14:textId="77777777">
        <w:tc>
          <w:tcPr>
            <w:tcW w:w="1384" w:type="dxa"/>
            <w:vAlign w:val="center"/>
          </w:tcPr>
          <w:p w14:paraId="212291B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63C1DB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B4C332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553DBF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D2ADA1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FFE71A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F5A51A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6FB72F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E2334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A08B5" w14:paraId="576C9C75" w14:textId="77777777">
        <w:tc>
          <w:tcPr>
            <w:tcW w:w="1384" w:type="dxa"/>
            <w:vAlign w:val="center"/>
          </w:tcPr>
          <w:p w14:paraId="08D5F48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12885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904DB9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A68872B" w14:textId="77777777" w:rsidR="00000000" w:rsidRDefault="00000000">
            <w:pPr>
              <w:keepNext/>
              <w:spacing w:before="60" w:after="60"/>
              <w:jc w:val="center"/>
              <w:rPr>
                <w:rFonts w:cs="Arial"/>
                <w:b/>
                <w:sz w:val="20"/>
                <w:szCs w:val="20"/>
              </w:rPr>
            </w:pPr>
            <w:r>
              <w:rPr>
                <w:rFonts w:cs="Arial"/>
                <w:b/>
                <w:sz w:val="20"/>
                <w:szCs w:val="20"/>
              </w:rPr>
              <w:t>Unattained Low Risk</w:t>
            </w:r>
          </w:p>
          <w:p w14:paraId="7716649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11F0619" w14:textId="77777777" w:rsidR="00000000" w:rsidRDefault="00000000">
            <w:pPr>
              <w:keepNext/>
              <w:spacing w:before="60" w:after="60"/>
              <w:jc w:val="center"/>
              <w:rPr>
                <w:rFonts w:cs="Arial"/>
                <w:b/>
                <w:sz w:val="20"/>
                <w:szCs w:val="20"/>
              </w:rPr>
            </w:pPr>
            <w:r>
              <w:rPr>
                <w:rFonts w:cs="Arial"/>
                <w:b/>
                <w:sz w:val="20"/>
                <w:szCs w:val="20"/>
              </w:rPr>
              <w:t>Unattained Moderate Risk</w:t>
            </w:r>
          </w:p>
          <w:p w14:paraId="0E39BAF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C53219" w14:textId="77777777" w:rsidR="00000000" w:rsidRDefault="00000000">
            <w:pPr>
              <w:keepNext/>
              <w:spacing w:before="60" w:after="60"/>
              <w:jc w:val="center"/>
              <w:rPr>
                <w:rFonts w:cs="Arial"/>
                <w:b/>
                <w:sz w:val="20"/>
                <w:szCs w:val="20"/>
              </w:rPr>
            </w:pPr>
            <w:r>
              <w:rPr>
                <w:rFonts w:cs="Arial"/>
                <w:b/>
                <w:sz w:val="20"/>
                <w:szCs w:val="20"/>
              </w:rPr>
              <w:t>Unattained High Risk</w:t>
            </w:r>
          </w:p>
          <w:p w14:paraId="431FC9A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5885DC5" w14:textId="77777777" w:rsidR="00000000" w:rsidRDefault="00000000">
            <w:pPr>
              <w:keepNext/>
              <w:spacing w:before="60" w:after="60"/>
              <w:jc w:val="center"/>
              <w:rPr>
                <w:rFonts w:cs="Arial"/>
                <w:b/>
                <w:sz w:val="20"/>
                <w:szCs w:val="20"/>
              </w:rPr>
            </w:pPr>
            <w:r>
              <w:rPr>
                <w:rFonts w:cs="Arial"/>
                <w:b/>
                <w:sz w:val="20"/>
                <w:szCs w:val="20"/>
              </w:rPr>
              <w:t>Unattained Critical Risk</w:t>
            </w:r>
          </w:p>
          <w:p w14:paraId="4B820E54" w14:textId="77777777" w:rsidR="00000000" w:rsidRDefault="00000000">
            <w:pPr>
              <w:keepNext/>
              <w:spacing w:before="60" w:after="60"/>
              <w:jc w:val="center"/>
              <w:rPr>
                <w:rFonts w:cs="Arial"/>
                <w:b/>
                <w:sz w:val="20"/>
                <w:szCs w:val="20"/>
              </w:rPr>
            </w:pPr>
            <w:r>
              <w:rPr>
                <w:rFonts w:cs="Arial"/>
                <w:b/>
                <w:sz w:val="20"/>
                <w:szCs w:val="20"/>
              </w:rPr>
              <w:t>(UA Critical)</w:t>
            </w:r>
          </w:p>
        </w:tc>
      </w:tr>
      <w:tr w:rsidR="001A08B5" w14:paraId="42DD8C30" w14:textId="77777777">
        <w:tc>
          <w:tcPr>
            <w:tcW w:w="1384" w:type="dxa"/>
            <w:vAlign w:val="center"/>
          </w:tcPr>
          <w:p w14:paraId="7CBB1C9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1443F1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345F3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34C9D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A3044A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C684B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A08B5" w14:paraId="4ADC72D7" w14:textId="77777777">
        <w:tc>
          <w:tcPr>
            <w:tcW w:w="1384" w:type="dxa"/>
            <w:vAlign w:val="center"/>
          </w:tcPr>
          <w:p w14:paraId="4857DA0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D53975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E257F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55C41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D50C85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F22F34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62E7FD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0EB3DD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BB10A3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1E101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356"/>
        <w:gridCol w:w="6562"/>
      </w:tblGrid>
      <w:tr w:rsidR="001A08B5" w14:paraId="1C759027" w14:textId="77777777">
        <w:tc>
          <w:tcPr>
            <w:tcW w:w="0" w:type="auto"/>
          </w:tcPr>
          <w:p w14:paraId="60119C7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EAC034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05AA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A08B5" w14:paraId="1424695B" w14:textId="77777777">
        <w:tc>
          <w:tcPr>
            <w:tcW w:w="0" w:type="auto"/>
          </w:tcPr>
          <w:p w14:paraId="6527E5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694E9E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DF2E52" w14:textId="77777777" w:rsidR="00000000" w:rsidRPr="00BE00C7" w:rsidRDefault="00000000" w:rsidP="00BE00C7">
            <w:pPr>
              <w:pStyle w:val="OutcomeDescription"/>
              <w:spacing w:before="120" w:after="120"/>
              <w:rPr>
                <w:rFonts w:cs="Arial"/>
                <w:lang w:eastAsia="en-NZ"/>
              </w:rPr>
            </w:pPr>
          </w:p>
        </w:tc>
        <w:tc>
          <w:tcPr>
            <w:tcW w:w="0" w:type="auto"/>
          </w:tcPr>
          <w:p w14:paraId="6200D7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6A8A01"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Care Company Limited (Oceania) had a policy on Māori and Pacific people’s health and a Māori Health Plan in place, which describes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supporting residents who identify as Māori.</w:t>
            </w:r>
          </w:p>
          <w:p w14:paraId="733D2F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had been developed with input from cultural advisers, and this can be used at Heretaunga Home &amp; Village (Heretaunga) for residents who identify as Māori. Residents participated by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are consistent with cultural safety, confirming that mana motuhake (self-determination) was respected.</w:t>
            </w:r>
          </w:p>
          <w:p w14:paraId="0D5B5F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w:t>
            </w:r>
            <w:r w:rsidRPr="00BE00C7">
              <w:rPr>
                <w:rFonts w:cs="Arial"/>
                <w:lang w:eastAsia="en-NZ"/>
              </w:rPr>
              <w:lastRenderedPageBreak/>
              <w:t>roles were discussed. At the time of audit, there were staff employed who identified as Māori. Staff ethnicity data was documented on recruitment and trended.</w:t>
            </w:r>
          </w:p>
          <w:p w14:paraId="056340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had links for Māori health support through the local Ōrongomai Marae. The marae has kaumātua who can assist the service in meeting its cultural needs, and they were available to support Māori residents in the service. The service has a health clinic attached to it, and day care services (on Friday) should Māori residents choose to attend; the facility would facilitate this. Further support can be accessed through Māori Health Services at Health New Zealand – Te Whatu Ora (Te Whatu Ora).</w:t>
            </w:r>
          </w:p>
          <w:p w14:paraId="4BA1AADB" w14:textId="77777777" w:rsidR="00000000" w:rsidRPr="00BE00C7" w:rsidRDefault="00000000" w:rsidP="00BE00C7">
            <w:pPr>
              <w:pStyle w:val="OutcomeDescription"/>
              <w:spacing w:before="120" w:after="120"/>
              <w:rPr>
                <w:rFonts w:cs="Arial"/>
                <w:lang w:eastAsia="en-NZ"/>
              </w:rPr>
            </w:pPr>
          </w:p>
        </w:tc>
      </w:tr>
      <w:tr w:rsidR="001A08B5" w14:paraId="1102052E" w14:textId="77777777">
        <w:tc>
          <w:tcPr>
            <w:tcW w:w="0" w:type="auto"/>
          </w:tcPr>
          <w:p w14:paraId="53EA7A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57269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15423A4" w14:textId="77777777" w:rsidR="00000000" w:rsidRPr="00BE00C7" w:rsidRDefault="00000000" w:rsidP="00BE00C7">
            <w:pPr>
              <w:pStyle w:val="OutcomeDescription"/>
              <w:spacing w:before="120" w:after="120"/>
              <w:rPr>
                <w:rFonts w:cs="Arial"/>
                <w:lang w:eastAsia="en-NZ"/>
              </w:rPr>
            </w:pPr>
          </w:p>
        </w:tc>
        <w:tc>
          <w:tcPr>
            <w:tcW w:w="0" w:type="auto"/>
          </w:tcPr>
          <w:p w14:paraId="43E83B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2E0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had a policy on Māori and Pacific peoples’ health. This describes how the organisation would respond to the cultural needs of Pacific peoples. The document notes the need to embrace cultural and spiritual beliefs; it is based on the Manatū Hauora (Ministry of Health) Ola Manuia Pacific Health and Wellbeing Action Plan 2020 and outlines the Fonofale model of care.</w:t>
            </w:r>
          </w:p>
          <w:p w14:paraId="63E4EE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from a Pacific community in the facility on the days of audit; however, processes are in place to support Pacific peoples in a culturally appropriate way should they enter the service. Heretaunga can access support for residents in their service through the Folau Alofa Charitable Trust, the Whai Oranga Community Health Hub, Mapu Maia, staff, or local church pastors in the area.</w:t>
            </w:r>
          </w:p>
          <w:p w14:paraId="60A790D0"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across differing levels of the organisation were in place. Ethnicity data was gathered, when staff were employed, and this data was analysed at a management and organisational level. Staff identifying with a Pacific community were employed in leadership and training positions at Heretaunga and throughout the wider Oceania organisation.</w:t>
            </w:r>
          </w:p>
          <w:p w14:paraId="176B78B2" w14:textId="77777777" w:rsidR="00000000" w:rsidRPr="00BE00C7" w:rsidRDefault="00000000" w:rsidP="00BE00C7">
            <w:pPr>
              <w:pStyle w:val="OutcomeDescription"/>
              <w:spacing w:before="120" w:after="120"/>
              <w:rPr>
                <w:rFonts w:cs="Arial"/>
                <w:lang w:eastAsia="en-NZ"/>
              </w:rPr>
            </w:pPr>
          </w:p>
        </w:tc>
      </w:tr>
      <w:tr w:rsidR="001A08B5" w14:paraId="60275EC9" w14:textId="77777777">
        <w:tc>
          <w:tcPr>
            <w:tcW w:w="0" w:type="auto"/>
          </w:tcPr>
          <w:p w14:paraId="158D78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F4AEE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w:t>
            </w:r>
            <w:r w:rsidRPr="00BE00C7">
              <w:rPr>
                <w:rFonts w:cs="Arial"/>
                <w:lang w:eastAsia="en-NZ"/>
              </w:rPr>
              <w:lastRenderedPageBreak/>
              <w:t>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89DB796" w14:textId="77777777" w:rsidR="00000000" w:rsidRPr="00BE00C7" w:rsidRDefault="00000000" w:rsidP="00BE00C7">
            <w:pPr>
              <w:pStyle w:val="OutcomeDescription"/>
              <w:spacing w:before="120" w:after="120"/>
              <w:rPr>
                <w:rFonts w:cs="Arial"/>
                <w:lang w:eastAsia="en-NZ"/>
              </w:rPr>
            </w:pPr>
          </w:p>
        </w:tc>
        <w:tc>
          <w:tcPr>
            <w:tcW w:w="0" w:type="auto"/>
          </w:tcPr>
          <w:p w14:paraId="4598C2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6857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was displayed on posters in English, te reo Māori, and New Zealand Sign Language (NZSL) around the facility. Brochures on the Code and the Nationwide Health and Disability Advocacy Service </w:t>
            </w:r>
            <w:r w:rsidRPr="00BE00C7">
              <w:rPr>
                <w:rFonts w:cs="Arial"/>
                <w:lang w:eastAsia="en-NZ"/>
              </w:rPr>
              <w:lastRenderedPageBreak/>
              <w:t>(advocacy service) were available at the front entrance. Staff knew how to access the Code in other languages should this be required. A representative from the advocacy service attended the residents’ meeting in 2024. Resident’s rights were included in the discussions at the residents’ meetings; this was evidenced in meeting minutes and through interviews.</w:t>
            </w:r>
          </w:p>
          <w:p w14:paraId="0DFCF26C"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staff on the Code was ongoing as part of the organisation’s orientation and regular training schedule; in addition, the advocacy service provided a training session for staff on 4 September 2025. Staff interviewed understood the requirements of the Code and were seen supporting residents in the service in accordance with their wishes. Heretaunga recognised mana motuhake (self-determination) for all residents.</w:t>
            </w:r>
          </w:p>
          <w:p w14:paraId="3BECCD6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(12) and whānau (12) interviewed reported being made aware of the Code and the advocacy service and were provided with opportunities to discuss and clarify their rights. Interviews with residents and whānau confirmed that staff were respectful and considerate of residents’ rights. Heretaunga had a range of cultural diversity in its staff mix, and staff could assist if interpreter assistance were required. The service also had access to external interpreter services and cultural advisors/advocates, as needed. Relationships had been established with Māori and Pacific peoples’ organisations for the support of residents in the service.</w:t>
            </w:r>
          </w:p>
          <w:p w14:paraId="069012A1" w14:textId="77777777" w:rsidR="00000000" w:rsidRPr="00BE00C7" w:rsidRDefault="00000000" w:rsidP="00BE00C7">
            <w:pPr>
              <w:pStyle w:val="OutcomeDescription"/>
              <w:spacing w:before="120" w:after="120"/>
              <w:rPr>
                <w:rFonts w:cs="Arial"/>
                <w:lang w:eastAsia="en-NZ"/>
              </w:rPr>
            </w:pPr>
          </w:p>
        </w:tc>
      </w:tr>
      <w:tr w:rsidR="001A08B5" w14:paraId="4FFEE60F" w14:textId="77777777">
        <w:tc>
          <w:tcPr>
            <w:tcW w:w="0" w:type="auto"/>
          </w:tcPr>
          <w:p w14:paraId="616C3C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06C3B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3377BA8" w14:textId="77777777" w:rsidR="00000000" w:rsidRPr="00BE00C7" w:rsidRDefault="00000000" w:rsidP="00BE00C7">
            <w:pPr>
              <w:pStyle w:val="OutcomeDescription"/>
              <w:spacing w:before="120" w:after="120"/>
              <w:rPr>
                <w:rFonts w:cs="Arial"/>
                <w:lang w:eastAsia="en-NZ"/>
              </w:rPr>
            </w:pPr>
          </w:p>
        </w:tc>
        <w:tc>
          <w:tcPr>
            <w:tcW w:w="0" w:type="auto"/>
          </w:tcPr>
          <w:p w14:paraId="228FA7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1636A4"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supported residents in a manner that was inclusive and respected their identity and experiences. Residents and their whānau, including tāngata whaikaha, confirmed that they received services in a manner that had regard for their dignity, gender, privacy, sexual orientation, culture, spirituality, choices, and independence.</w:t>
            </w:r>
          </w:p>
          <w:p w14:paraId="7B3B27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Rooms occupied by couples who have a significant connection with each other are supported by the staff at Heretaunga to enable these connections to be maintained. The files reviewed evidenced that couples, often with different care need levels, were enabled with the opportunity to reside together and be supported to maintain their independence as a couple to the level they preferred. Interviews, </w:t>
            </w:r>
            <w:r w:rsidRPr="00BE00C7">
              <w:rPr>
                <w:rFonts w:cs="Arial"/>
                <w:lang w:eastAsia="en-NZ"/>
              </w:rPr>
              <w:lastRenderedPageBreak/>
              <w:t>documentation and observations verify the value that this approach has had on meeting the needs of these residents.</w:t>
            </w:r>
          </w:p>
          <w:p w14:paraId="275689D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understood what Te Tiriti o Waitangi meant to their practice, with te reo Māori and tikanga Māori being promoted throughout the service.</w:t>
            </w:r>
          </w:p>
          <w:p w14:paraId="3DF2249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working at Heretaunga had been educated in Te Tiriti o Waitangi, tikanga, and cultural safety through the orientation programme and as part of the 2025 education programme. The staff could speak and learn te reo Māori, with the assistance of staff members, visiting groups and residents who identified as Māori. Documentation in the care plans of residents who identified as Māori acknowledged the residents’ cultural identity and individuality.</w:t>
            </w:r>
          </w:p>
          <w:p w14:paraId="0D73876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aware of how to act on residents’ advance directives and maximise independence. Residents were assisted to have an advance care plan in place. Residents verified they were supported to do what was important to them, and this was observed during the audit. A physiotherapy programme was in place for tāngata whaikaha to assist them in improving or retaining mobility.</w:t>
            </w:r>
          </w:p>
          <w:p w14:paraId="241D871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All residents had a private room. Heretaunga responded to tāngata whaikaha needs and enabled their participation in te ao Māori. Training on the aging process, diversity and inclusion, communication and informed consent was included in training for the support of tāngata whaikaha.</w:t>
            </w:r>
          </w:p>
          <w:p w14:paraId="1BD4DBBF" w14:textId="77777777" w:rsidR="00000000" w:rsidRPr="00BE00C7" w:rsidRDefault="00000000" w:rsidP="00BE00C7">
            <w:pPr>
              <w:pStyle w:val="OutcomeDescription"/>
              <w:spacing w:before="120" w:after="120"/>
              <w:rPr>
                <w:rFonts w:cs="Arial"/>
                <w:lang w:eastAsia="en-NZ"/>
              </w:rPr>
            </w:pPr>
          </w:p>
        </w:tc>
      </w:tr>
      <w:tr w:rsidR="001A08B5" w14:paraId="001F8CE6" w14:textId="77777777">
        <w:tc>
          <w:tcPr>
            <w:tcW w:w="0" w:type="auto"/>
          </w:tcPr>
          <w:p w14:paraId="00CCA5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5FE36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74D846" w14:textId="77777777" w:rsidR="00000000" w:rsidRPr="00BE00C7" w:rsidRDefault="00000000" w:rsidP="00BE00C7">
            <w:pPr>
              <w:pStyle w:val="OutcomeDescription"/>
              <w:spacing w:before="120" w:after="120"/>
              <w:rPr>
                <w:rFonts w:cs="Arial"/>
                <w:lang w:eastAsia="en-NZ"/>
              </w:rPr>
            </w:pPr>
          </w:p>
        </w:tc>
        <w:tc>
          <w:tcPr>
            <w:tcW w:w="0" w:type="auto"/>
          </w:tcPr>
          <w:p w14:paraId="5199C7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7DC994"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Heretaunga included reference checking and police vetting. Policies and procedures outlined safeguards in place to protect people from discrimination, coercion, harassment, physical, sexual, or other exploitation, abuse, or neglect. Workers followed a code of conduct.</w:t>
            </w:r>
          </w:p>
          <w:p w14:paraId="5BAAF8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Staff maintained professional boundaries. Policies and procedures were in place that focused on abolishing institutional and systemic racism, and there was </w:t>
            </w:r>
            <w:r w:rsidRPr="00BE00C7">
              <w:rPr>
                <w:rFonts w:cs="Arial"/>
                <w:lang w:eastAsia="en-NZ"/>
              </w:rPr>
              <w:lastRenderedPageBreak/>
              <w:t>a willingness to address racism and do something about it should it present. Residents reported that their property was respected, and finances protected. Professional boundaries were maintained.</w:t>
            </w:r>
          </w:p>
          <w:p w14:paraId="4915AA40"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health was promoted at Heretaunga which included use of Te Whare Tapa Whā and Fonofale models of care specific to Māori and Pacific peoples. An individualised approach was in place that ensured the best outcomes for all. Residents and whānau interviewed expressed a high degree of satisfaction with the services being provided at Heretaunga.</w:t>
            </w:r>
          </w:p>
          <w:p w14:paraId="5F31448C" w14:textId="77777777" w:rsidR="00000000" w:rsidRPr="00BE00C7" w:rsidRDefault="00000000" w:rsidP="00BE00C7">
            <w:pPr>
              <w:pStyle w:val="OutcomeDescription"/>
              <w:spacing w:before="120" w:after="120"/>
              <w:rPr>
                <w:rFonts w:cs="Arial"/>
                <w:lang w:eastAsia="en-NZ"/>
              </w:rPr>
            </w:pPr>
          </w:p>
        </w:tc>
      </w:tr>
      <w:tr w:rsidR="001A08B5" w14:paraId="5F44345B" w14:textId="77777777">
        <w:tc>
          <w:tcPr>
            <w:tcW w:w="0" w:type="auto"/>
          </w:tcPr>
          <w:p w14:paraId="556D05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2773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1D158D6" w14:textId="77777777" w:rsidR="00000000" w:rsidRPr="00BE00C7" w:rsidRDefault="00000000" w:rsidP="00BE00C7">
            <w:pPr>
              <w:pStyle w:val="OutcomeDescription"/>
              <w:spacing w:before="120" w:after="120"/>
              <w:rPr>
                <w:rFonts w:cs="Arial"/>
                <w:lang w:eastAsia="en-NZ"/>
              </w:rPr>
            </w:pPr>
          </w:p>
        </w:tc>
        <w:tc>
          <w:tcPr>
            <w:tcW w:w="0" w:type="auto"/>
          </w:tcPr>
          <w:p w14:paraId="1749F1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C9047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communication was open and effective, and they felt listened to. Information was provided in an easy-to-understand format, in English and te reo Māori. Te reo Māori was incorporated into day-to-day greetings, documentation, and signage throughout the facility. Interpreter services were available if needed, and staff knew how to access these services if required. Resident and whānau meetings at Heretaunga were held regularly in addition to regular contacts with whānau by email, newsletters, telephone calls, a monthly newsletter, and the ‘open door’ policy of the general manager (GM) and the clinical manager (CM). A notification on the notice boards advised when events were taking place and when the resident and whānau meeting would next be held.</w:t>
            </w:r>
          </w:p>
          <w:p w14:paraId="5CBE014E"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was sighted of residents communicating with all staff, including the GM and the CM. Residents, whānau and staff reported the GM and CM were very supportive and responded promptly to any suggestions or concerns.</w:t>
            </w:r>
          </w:p>
          <w:p w14:paraId="0044FBA2"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Incident reports evidenced that whānau were informed of any events/incidents. Evidence of open communication was apparent during the management of any complaints. Documentation supported evidence of ongoing contact with the residents’ enduring power of attorney (EPOA) or whānau. Evidence was sighted of referrals and involvement of other agencies involved in the residents’ care when needed.</w:t>
            </w:r>
          </w:p>
          <w:p w14:paraId="717637B6" w14:textId="77777777" w:rsidR="00000000" w:rsidRPr="00BE00C7" w:rsidRDefault="00000000" w:rsidP="00BE00C7">
            <w:pPr>
              <w:pStyle w:val="OutcomeDescription"/>
              <w:spacing w:before="120" w:after="120"/>
              <w:rPr>
                <w:rFonts w:cs="Arial"/>
                <w:lang w:eastAsia="en-NZ"/>
              </w:rPr>
            </w:pPr>
          </w:p>
        </w:tc>
      </w:tr>
      <w:tr w:rsidR="001A08B5" w14:paraId="4CE7C77E" w14:textId="77777777">
        <w:tc>
          <w:tcPr>
            <w:tcW w:w="0" w:type="auto"/>
          </w:tcPr>
          <w:p w14:paraId="56997D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965B8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E5DCA22" w14:textId="77777777" w:rsidR="00000000" w:rsidRPr="00BE00C7" w:rsidRDefault="00000000" w:rsidP="00BE00C7">
            <w:pPr>
              <w:pStyle w:val="OutcomeDescription"/>
              <w:spacing w:before="120" w:after="120"/>
              <w:rPr>
                <w:rFonts w:cs="Arial"/>
                <w:lang w:eastAsia="en-NZ"/>
              </w:rPr>
            </w:pPr>
          </w:p>
        </w:tc>
        <w:tc>
          <w:tcPr>
            <w:tcW w:w="0" w:type="auto"/>
          </w:tcPr>
          <w:p w14:paraId="5F203C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C6F5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w:t>
            </w:r>
          </w:p>
          <w:p w14:paraId="55D65C91"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1BAA1918"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 Evidence was sighted of supported decision-making, being fully informed, the opportunity to choose, and cultural support when a resident had a choice of treatment options available to them.</w:t>
            </w:r>
          </w:p>
          <w:p w14:paraId="67916F3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files reviewed of residents residing in the secure dementia care service included an activated EPOA.</w:t>
            </w:r>
          </w:p>
          <w:p w14:paraId="516414A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from a Pacific community, or other people/organisations involved in the service, assisted staff to support safe cultural practice for residents.</w:t>
            </w:r>
          </w:p>
          <w:p w14:paraId="077920B0" w14:textId="77777777" w:rsidR="00000000" w:rsidRPr="00BE00C7" w:rsidRDefault="00000000" w:rsidP="00BE00C7">
            <w:pPr>
              <w:pStyle w:val="OutcomeDescription"/>
              <w:spacing w:before="120" w:after="120"/>
              <w:rPr>
                <w:rFonts w:cs="Arial"/>
                <w:lang w:eastAsia="en-NZ"/>
              </w:rPr>
            </w:pPr>
          </w:p>
        </w:tc>
      </w:tr>
      <w:tr w:rsidR="001A08B5" w14:paraId="6703A3A4" w14:textId="77777777">
        <w:tc>
          <w:tcPr>
            <w:tcW w:w="0" w:type="auto"/>
          </w:tcPr>
          <w:p w14:paraId="72DD18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70287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7208317" w14:textId="77777777" w:rsidR="00000000" w:rsidRPr="00BE00C7" w:rsidRDefault="00000000" w:rsidP="00BE00C7">
            <w:pPr>
              <w:pStyle w:val="OutcomeDescription"/>
              <w:spacing w:before="120" w:after="120"/>
              <w:rPr>
                <w:rFonts w:cs="Arial"/>
                <w:lang w:eastAsia="en-NZ"/>
              </w:rPr>
            </w:pPr>
          </w:p>
        </w:tc>
        <w:tc>
          <w:tcPr>
            <w:tcW w:w="0" w:type="auto"/>
          </w:tcPr>
          <w:p w14:paraId="2551C5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FF5AF4"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This met the requirements of the Code. Information on complaints and the complaints process was available in English and te reo Māori. Interpreter services were also available should these be required. Residents and whānau interviewed understood their right to make a complaint and knew how to do so.</w:t>
            </w:r>
          </w:p>
          <w:p w14:paraId="7B512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complaints, formal and informal, had been managed as per the Oceania complaints process, with electronic monitoring of complaints. There had been one complaint received in the last 12 months. Documentation sighted in respect of the complaint showed that it had been responded to within appropriate timeframes and the complainant had been informed of findings and any corrective action arising from </w:t>
            </w:r>
            <w:r w:rsidRPr="00BE00C7">
              <w:rPr>
                <w:rFonts w:cs="Arial"/>
                <w:lang w:eastAsia="en-NZ"/>
              </w:rPr>
              <w:lastRenderedPageBreak/>
              <w:t>the complaint following investigation. Complainants were made aware of their ability to access the Office of the Health and Disability Commissioner (HDC) should they wish to further any complaint.</w:t>
            </w:r>
          </w:p>
          <w:p w14:paraId="735979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a new complaint received via the HDC in June 2025. The service has responded to a request for information in the timeframe set by the HDC; the service is awaiting any further response, and the complaint remains open. There have been no other complaints received from external sources since the previous audit.</w:t>
            </w:r>
          </w:p>
          <w:p w14:paraId="4AA4DE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using culturally appropriate support, hui, and tikanga practices specific to the resident or the complainant).</w:t>
            </w:r>
          </w:p>
          <w:p w14:paraId="32078EF2" w14:textId="77777777" w:rsidR="00000000" w:rsidRPr="00BE00C7" w:rsidRDefault="00000000" w:rsidP="00BE00C7">
            <w:pPr>
              <w:pStyle w:val="OutcomeDescription"/>
              <w:spacing w:before="120" w:after="120"/>
              <w:rPr>
                <w:rFonts w:cs="Arial"/>
                <w:lang w:eastAsia="en-NZ"/>
              </w:rPr>
            </w:pPr>
          </w:p>
        </w:tc>
      </w:tr>
      <w:tr w:rsidR="001A08B5" w14:paraId="3604EFCD" w14:textId="77777777">
        <w:tc>
          <w:tcPr>
            <w:tcW w:w="0" w:type="auto"/>
          </w:tcPr>
          <w:p w14:paraId="11A9C0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84E3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CAA2AC7" w14:textId="77777777" w:rsidR="00000000" w:rsidRPr="00BE00C7" w:rsidRDefault="00000000" w:rsidP="00BE00C7">
            <w:pPr>
              <w:pStyle w:val="OutcomeDescription"/>
              <w:spacing w:before="120" w:after="120"/>
              <w:rPr>
                <w:rFonts w:cs="Arial"/>
                <w:lang w:eastAsia="en-NZ"/>
              </w:rPr>
            </w:pPr>
          </w:p>
        </w:tc>
        <w:tc>
          <w:tcPr>
            <w:tcW w:w="0" w:type="auto"/>
          </w:tcPr>
          <w:p w14:paraId="1737D5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16E9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Pacific peoples in governance groups, honouring Te Tiriti and being focused on improving outcomes for Māori, Pacific peoples,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0E1404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procedure and organisational plans. Equity for Māori, Pacific peoples and tāngata whaikaha was being addressed through the policy documentation and enabled through choice and control over supports and the removal of barriers that prevent access to information. Information was provided about available services via the Oceania website, local Needs Assessment and Coordination Services (NASC) agency staff, word of mouth, and by the management team when attending community meetings. Information about the Code, complaints, and infection prevention and control was available in other </w:t>
            </w:r>
            <w:r w:rsidRPr="00BE00C7">
              <w:rPr>
                <w:rFonts w:cs="Arial"/>
                <w:lang w:eastAsia="en-NZ"/>
              </w:rPr>
              <w:lastRenderedPageBreak/>
              <w:t>languages. Specific models of care relevant to Māori and Pacific peoples were available for use for Māori and Pacific residents in the service. The needs of tāngata whaikaha are specifically addressed in a ‘Person with a Disability’ policy.</w:t>
            </w:r>
          </w:p>
          <w:p w14:paraId="310C40C6"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had a strategic plan in place that outlines the organisation’s structure, purpose, values, scope, direction, performance and goals. The plan supported the improvement of equitable outcomes for Māori, Pacific peoples and tāngata whaikaha. The Oceania reporting structure relies on information from its strategic plan to inform facility-based business plans. A local facility business plan supported the goals for the Heretaunga service, and cultural safety is embedded in business and quality plans and in staff training. Ethnicity data was being collected to support equity.</w:t>
            </w:r>
          </w:p>
          <w:p w14:paraId="3E1DAA45"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and processes, and through feedback mechanisms. This included receiving regular information from each of its care facilities, including Heretaunga.</w:t>
            </w:r>
          </w:p>
          <w:p w14:paraId="1319F7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a recent structure review; some changes in roles, titles and reporting lines have occurred. The clinical governance group, now called the clinical governance steering committee (CGSC), was appropriate to the size and complexity of the organisation. Monthly governance group meetings were led by the director of clinical and care services (DCCS). The national clinical and care service manager (NCCSM) and the senior regional operations manager attend. Clinical and quality dashboard reports are provided to the board by two national clinical quality managers (NCQMs). Internal data collection (e.g., adverse events, infections, complaints) were aggregated and corrective action (at facility and organisation level, as applicable) actioned. Changes were made to the business and/or the strategic plans as required. Work has commenced developing a wound care champion role in all Oceania care facilities, but this has not yet happened at Heretaunga.</w:t>
            </w:r>
          </w:p>
          <w:p w14:paraId="66407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at Heretaunga is a registered nurse (RN) with a postgraduate diploma in nursing. The GM has significant aged-care experience, having worked in the sector since 1985. The GM is supported clinically by a CM, who is also an experienced RN. The CM has worked in the Heretaunga service for five years and has been the CM for two. The </w:t>
            </w:r>
            <w:r w:rsidRPr="00BE00C7">
              <w:rPr>
                <w:rFonts w:cs="Arial"/>
                <w:lang w:eastAsia="en-NZ"/>
              </w:rPr>
              <w:lastRenderedPageBreak/>
              <w:t>GM and CM both confirmed knowledge of the sector, and regulatory and reporting requirements, and both maintain currency within the aged and dementia care fields.</w:t>
            </w:r>
          </w:p>
          <w:p w14:paraId="523C0608"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supported residents and their whānau to participate in the service through ongoing communication, through the care assessment and planning processes, monthly resident meetings, and twice-yearly resident satisfaction surveys. The GM and CM have an ‘open-door’ philosophy and were available to meet with residents and whānau on a day-to-day basis to discuss resident care needs. Responses from the resident meetings and surveys were noted to be very positive.</w:t>
            </w:r>
          </w:p>
          <w:p w14:paraId="63C047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for rest home, hospital, and secure dementia care services. Some of the residents reside in care suites, which are bought under an occupational right agreement (ARRC in ORA); a further care suite was added to the service following a reconfiguration request to HealthCert at the Ministry of Health/Manatū Hauora (letter dated 5 March 2025), increasing overall bed numbers from 58 to 59. Fifty-eight (58) residents were receiving services on the day of audit. Twenty (20) were receiving rest home services, 19 were receiving hospital-level services, and 19 were receiving secure dementia care services. Nineteen (19) of the care suites were occupied, with two couples in two of the suites, the others were singly occupied.</w:t>
            </w:r>
          </w:p>
          <w:p w14:paraId="6274CDB8" w14:textId="77777777" w:rsidR="00000000" w:rsidRPr="00BE00C7" w:rsidRDefault="00000000" w:rsidP="00BE00C7">
            <w:pPr>
              <w:pStyle w:val="OutcomeDescription"/>
              <w:spacing w:before="120" w:after="120"/>
              <w:rPr>
                <w:rFonts w:cs="Arial"/>
                <w:lang w:eastAsia="en-NZ"/>
              </w:rPr>
            </w:pPr>
          </w:p>
        </w:tc>
      </w:tr>
      <w:tr w:rsidR="001A08B5" w14:paraId="399314A8" w14:textId="77777777">
        <w:tc>
          <w:tcPr>
            <w:tcW w:w="0" w:type="auto"/>
          </w:tcPr>
          <w:p w14:paraId="76704A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CF1E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31BB63" w14:textId="77777777" w:rsidR="00000000" w:rsidRPr="00BE00C7" w:rsidRDefault="00000000" w:rsidP="00BE00C7">
            <w:pPr>
              <w:pStyle w:val="OutcomeDescription"/>
              <w:spacing w:before="120" w:after="120"/>
              <w:rPr>
                <w:rFonts w:cs="Arial"/>
                <w:lang w:eastAsia="en-NZ"/>
              </w:rPr>
            </w:pPr>
          </w:p>
        </w:tc>
        <w:tc>
          <w:tcPr>
            <w:tcW w:w="0" w:type="auto"/>
          </w:tcPr>
          <w:p w14:paraId="26EECE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706489"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uses Oceania’s range of documents that contribute to quality and risk management and reflect the principles of quality improvement processes. These included a clinical risk management policy, document control, clinical governance terms of reference, quality improvement policy, health and safety strategy, critical incident/accident/sentinel event policy, and the quality cycle. Relevant corrective actions had been developed and implemented to address any shortfalls, and these were being benchmarked at national level. Progress against quality outcomes had been evaluated. Quality data had been communicated and discussed, and this was confirmed by records sighted and by staff at interview.</w:t>
            </w:r>
          </w:p>
          <w:p w14:paraId="1CCDBA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w:t>
            </w:r>
            <w:r w:rsidRPr="00BE00C7">
              <w:rPr>
                <w:rFonts w:cs="Arial"/>
                <w:lang w:eastAsia="en-NZ"/>
              </w:rPr>
              <w:lastRenderedPageBreak/>
              <w:t>contractual requirements. Documentation is the responsibility of the relevant department at the corporate office. Critical analysis of organisational practices to improve health equity was occurring across the organisation, including at Heretaunga, with appropriate follow-up and reporting. A Māori health plan guided care for Māori.</w:t>
            </w:r>
          </w:p>
          <w:p w14:paraId="1B890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had a quality management framework in use that supported using a risk-based approach to improve service delivery and care. Three quality initiatives were in place at Heretaunga. One related to reduction in in incidence of urinary infections (refer subsection 5.3), another to the reduction of pressure injury (refer subsection 3.2), and the last related to improved communication (this is ongoing).</w:t>
            </w:r>
          </w:p>
          <w:p w14:paraId="7357AE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described the processes for the identification, documentation, monitoring, review, and reporting of risks, including health and safety risks, and development of mitigation strategies. Where mitigation strategies had been identified, there were processes in place to ensure these were corrected. Adverse events are reported via an electronic capture system. Staff document adverse and near-miss events in line with the National Adverse Events Reporting Policy. A sample of adverse event reports reviewed showed these were being fully completed, incidents were investigated, whānau were informed of the event, and action plans had been developed to help prevent recurrence. Any corrective actions had been followed up in a timely manner.</w:t>
            </w:r>
          </w:p>
          <w:p w14:paraId="05D1E6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understood and have complied with essential notification reporting requirements. Over the past 12 months, there have been no circumstances necessitating a Section 31 notification to HealthCERT at the Ministry of Health (Manatū Hauora). Three notifications have been made to the Health Safety &amp; Quality Commission (HSQC) related to fractures following falls. There were no reported police investigations or coronial inquests at the time of audit.</w:t>
            </w:r>
          </w:p>
          <w:p w14:paraId="60731254" w14:textId="77777777" w:rsidR="00000000" w:rsidRPr="00BE00C7" w:rsidRDefault="00000000" w:rsidP="00BE00C7">
            <w:pPr>
              <w:pStyle w:val="OutcomeDescription"/>
              <w:spacing w:before="120" w:after="120"/>
              <w:rPr>
                <w:rFonts w:cs="Arial"/>
                <w:lang w:eastAsia="en-NZ"/>
              </w:rPr>
            </w:pPr>
          </w:p>
        </w:tc>
      </w:tr>
      <w:tr w:rsidR="001A08B5" w14:paraId="5748C830" w14:textId="77777777">
        <w:tc>
          <w:tcPr>
            <w:tcW w:w="0" w:type="auto"/>
          </w:tcPr>
          <w:p w14:paraId="5A8C39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50807C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462E8C" w14:textId="77777777" w:rsidR="00000000" w:rsidRPr="00BE00C7" w:rsidRDefault="00000000" w:rsidP="00BE00C7">
            <w:pPr>
              <w:pStyle w:val="OutcomeDescription"/>
              <w:spacing w:before="120" w:after="120"/>
              <w:rPr>
                <w:rFonts w:cs="Arial"/>
                <w:lang w:eastAsia="en-NZ"/>
              </w:rPr>
            </w:pPr>
          </w:p>
        </w:tc>
        <w:tc>
          <w:tcPr>
            <w:tcW w:w="0" w:type="auto"/>
          </w:tcPr>
          <w:p w14:paraId="5B749A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584B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documented and implemented process for determining staffing levels and skill mixes to provide culturally and clinically safe care, 24 hours a day, seven days a week (24/7). Evidence was sighted that the facility had adjusted staffing levels to meet the changing needs </w:t>
            </w:r>
            <w:r w:rsidRPr="00BE00C7">
              <w:rPr>
                <w:rFonts w:cs="Arial"/>
                <w:lang w:eastAsia="en-NZ"/>
              </w:rPr>
              <w:lastRenderedPageBreak/>
              <w:t>of residents. The addition of a further care suite to the service will not impact service delivery as there are sufficient staff in place to manage the extended service. Staff interviewed reported there were adequate staff to complete the work allocated to them. Residents and whānau interviewed supported timely responses from staff. On the rosters sighted, at least one staff member on duty had a current first aid certificate and there was 24/7 RN coverage in the facility.</w:t>
            </w:r>
          </w:p>
          <w:p w14:paraId="0D57A117"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staff positions and expected behaviours and values. Descriptions of roles covered responsibilities for the role plus additional functions, such as holding an infection prevention and control (IPC), health and safety, or restraint portfolio.</w:t>
            </w:r>
          </w:p>
          <w:p w14:paraId="75CBB7A9"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 and continuing education programme had been planned and implemented, incorporating all mandatory training requirements. Relevant competencies were assessed to support the delivery of equitable services through both the orientation and ongoing education programmes. Records reviewed confirmed the completion of orientation as well as participation in the continuing education and competency assessment programme.</w:t>
            </w:r>
          </w:p>
          <w:p w14:paraId="2351B31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Qualifications Authority (NZQA) education programme, in alignment with the provider’s agreement with Te Whatu Ora. Within the organisation's dementia care service, 11 staff work on a regular basis. Of these, eight have completed the Level 4 Health and Wellbeing qualification, which includes the required dementia care components. One staff member has completed the Limited Credit Programme (comprising four dementia care-related modules), and another was enrolled in the Limited Credit Programme within the required timeframe. Additionally, there are 10 other staff members within the organisation who hold the necessary qualifications to work in the dementia care service, should the need arise.</w:t>
            </w:r>
          </w:p>
          <w:p w14:paraId="1050A4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collection and sharing of high-quality Māori health information across the service is through policy and procedure, appropriate care planning using relevant models of care, resident and whānau engagement, and through staff competency assessment and education.</w:t>
            </w:r>
          </w:p>
          <w:p w14:paraId="00CBEA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feeling well supported and safe in the workplace. There </w:t>
            </w:r>
            <w:r w:rsidRPr="00BE00C7">
              <w:rPr>
                <w:rFonts w:cs="Arial"/>
                <w:lang w:eastAsia="en-NZ"/>
              </w:rPr>
              <w:lastRenderedPageBreak/>
              <w:t>were policies and procedures in place around wellness, bullying, and harassment. An employee assistance programme (EAP) and physiotherapy support service were available to staff.</w:t>
            </w:r>
          </w:p>
          <w:p w14:paraId="29E1D22D" w14:textId="77777777" w:rsidR="00000000" w:rsidRPr="00BE00C7" w:rsidRDefault="00000000" w:rsidP="00BE00C7">
            <w:pPr>
              <w:pStyle w:val="OutcomeDescription"/>
              <w:spacing w:before="120" w:after="120"/>
              <w:rPr>
                <w:rFonts w:cs="Arial"/>
                <w:lang w:eastAsia="en-NZ"/>
              </w:rPr>
            </w:pPr>
          </w:p>
        </w:tc>
      </w:tr>
      <w:tr w:rsidR="001A08B5" w14:paraId="73B27CF9" w14:textId="77777777">
        <w:tc>
          <w:tcPr>
            <w:tcW w:w="0" w:type="auto"/>
          </w:tcPr>
          <w:p w14:paraId="1E34B5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2348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FA85E54" w14:textId="77777777" w:rsidR="00000000" w:rsidRPr="00BE00C7" w:rsidRDefault="00000000" w:rsidP="00BE00C7">
            <w:pPr>
              <w:pStyle w:val="OutcomeDescription"/>
              <w:spacing w:before="120" w:after="120"/>
              <w:rPr>
                <w:rFonts w:cs="Arial"/>
                <w:lang w:eastAsia="en-NZ"/>
              </w:rPr>
            </w:pPr>
          </w:p>
        </w:tc>
        <w:tc>
          <w:tcPr>
            <w:tcW w:w="0" w:type="auto"/>
          </w:tcPr>
          <w:p w14:paraId="0937A6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0B3626"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Police vetting and reference checking was in place.</w:t>
            </w:r>
          </w:p>
          <w:p w14:paraId="44293329"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qualifications for health care professionals had been validated during recruitment and then checked and documented annually. Position descriptions for all roles were in place, including for the infection control coordinator (ICC) and the restraint coordinator (RC). The position descriptions described the skills and knowledge required of each position, and identified the outcomes, accountability, responsibilities, authority, and functions to be achieved.</w:t>
            </w:r>
          </w:p>
          <w:p w14:paraId="7B9C8030"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(nine) showed that orientation had been completed and documented. Staff interviewed confirmed that orientation does take place, and staff described it as useful in preparing them for their role. Files sampled evidenced that performance appraisals were being undertaken as required. Staff described the process as useful for them, allowing them to set their own career and education goals.</w:t>
            </w:r>
          </w:p>
          <w:p w14:paraId="3DEE988A" w14:textId="77777777" w:rsidR="00000000" w:rsidRPr="00BE00C7" w:rsidRDefault="00000000" w:rsidP="00BE00C7">
            <w:pPr>
              <w:pStyle w:val="OutcomeDescription"/>
              <w:spacing w:before="120" w:after="120"/>
              <w:rPr>
                <w:rFonts w:cs="Arial"/>
                <w:lang w:eastAsia="en-NZ"/>
              </w:rPr>
            </w:pPr>
            <w:r w:rsidRPr="00BE00C7">
              <w:rPr>
                <w:rFonts w:cs="Arial"/>
                <w:lang w:eastAsia="en-NZ"/>
              </w:rPr>
              <w:t>No further recruitment is required to manage the addition of a care suite to the service; sufficient staff are already in place to manage the addition.</w:t>
            </w:r>
          </w:p>
          <w:p w14:paraId="055EBD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interviewed confirmed that debrief and support was available to them following any serious incidents or challenging situations.</w:t>
            </w:r>
          </w:p>
          <w:p w14:paraId="1E9B894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was accurate, relevant, secure, stored, and archived confidentially. Electronic data is username- and password-protected. Information is available only to those authorised to use it. Ethnicity data was being recorded for staff and used in accordance with Health Information Standards Organisation (HISO) requirements.</w:t>
            </w:r>
          </w:p>
          <w:p w14:paraId="4FEDDFE0" w14:textId="77777777" w:rsidR="00000000" w:rsidRPr="00BE00C7" w:rsidRDefault="00000000" w:rsidP="00BE00C7">
            <w:pPr>
              <w:pStyle w:val="OutcomeDescription"/>
              <w:spacing w:before="120" w:after="120"/>
              <w:rPr>
                <w:rFonts w:cs="Arial"/>
                <w:lang w:eastAsia="en-NZ"/>
              </w:rPr>
            </w:pPr>
          </w:p>
        </w:tc>
      </w:tr>
      <w:tr w:rsidR="001A08B5" w14:paraId="2F6CFBAF" w14:textId="77777777">
        <w:tc>
          <w:tcPr>
            <w:tcW w:w="0" w:type="auto"/>
          </w:tcPr>
          <w:p w14:paraId="21714C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2842D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3D5F27D" w14:textId="77777777" w:rsidR="00000000" w:rsidRPr="00BE00C7" w:rsidRDefault="00000000" w:rsidP="00BE00C7">
            <w:pPr>
              <w:pStyle w:val="OutcomeDescription"/>
              <w:spacing w:before="120" w:after="120"/>
              <w:rPr>
                <w:rFonts w:cs="Arial"/>
                <w:lang w:eastAsia="en-NZ"/>
              </w:rPr>
            </w:pPr>
          </w:p>
        </w:tc>
        <w:tc>
          <w:tcPr>
            <w:tcW w:w="0" w:type="auto"/>
          </w:tcPr>
          <w:p w14:paraId="71C490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DC2EC6"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maintained quality records in accordance with relevant legislation, health information standards, and professional guidelines. The majority of resident and staff information was stored electronically, with systems protected by secure username and password access. Residents’ files were primarily electronic, with some supporting documents (e.g., EPOAs), scanned and uploaded into their digital record. Access to information was role-dependent and appropriately restricted. Paper-based records, where maintained, were securely stored, properly archived, and destroyed in line with policy, with access limited to authorised personnel only. Data collected included ethnicity information for both residents and staff.</w:t>
            </w:r>
          </w:p>
          <w:p w14:paraId="45FB115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4BD5CF70"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was not responsible for National Health Index registration.</w:t>
            </w:r>
          </w:p>
          <w:p w14:paraId="6483CD6F" w14:textId="77777777" w:rsidR="00000000" w:rsidRPr="00BE00C7" w:rsidRDefault="00000000" w:rsidP="00BE00C7">
            <w:pPr>
              <w:pStyle w:val="OutcomeDescription"/>
              <w:spacing w:before="120" w:after="120"/>
              <w:rPr>
                <w:rFonts w:cs="Arial"/>
                <w:lang w:eastAsia="en-NZ"/>
              </w:rPr>
            </w:pPr>
          </w:p>
        </w:tc>
      </w:tr>
      <w:tr w:rsidR="001A08B5" w14:paraId="40506604" w14:textId="77777777">
        <w:tc>
          <w:tcPr>
            <w:tcW w:w="0" w:type="auto"/>
          </w:tcPr>
          <w:p w14:paraId="030032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9A509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B641711" w14:textId="77777777" w:rsidR="00000000" w:rsidRPr="00BE00C7" w:rsidRDefault="00000000" w:rsidP="00BE00C7">
            <w:pPr>
              <w:pStyle w:val="OutcomeDescription"/>
              <w:spacing w:before="120" w:after="120"/>
              <w:rPr>
                <w:rFonts w:cs="Arial"/>
                <w:lang w:eastAsia="en-NZ"/>
              </w:rPr>
            </w:pPr>
          </w:p>
        </w:tc>
        <w:tc>
          <w:tcPr>
            <w:tcW w:w="0" w:type="auto"/>
          </w:tcPr>
          <w:p w14:paraId="19D5A4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04FA0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admitted into Heretaunga when they had been assessed and confirmed by the local Needs Assessment and Service Coordination (NASC) agency as requiring the levels of care the service provides, and when they had chosen Heretaunga to provide the services they require.</w:t>
            </w:r>
          </w:p>
          <w:p w14:paraId="3DF963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stated they were satisfied with the admission process and the information that had been made available to them on admission, including for residents who identified as Māori. The files reviewed met contractual requirements. Heretaunga collected and analysed ethnicity data on entry and decline rates; this included specific data for entry and decline rates for Māori. Where a prospective resident had been declined entry, there were processes for communicating the decision to the person and their whānau.</w:t>
            </w:r>
          </w:p>
          <w:p w14:paraId="23603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Heretaunga had developed meaningful partnerships with local Māori communities and organisations to benefit Māori individuals and their whānau. The facility can access support from Māori health </w:t>
            </w:r>
            <w:r w:rsidRPr="00BE00C7">
              <w:rPr>
                <w:rFonts w:cs="Arial"/>
                <w:lang w:eastAsia="en-NZ"/>
              </w:rPr>
              <w:lastRenderedPageBreak/>
              <w:t>practitioners, traditional healers, and other organisations. When admitted, residents had a choice over who would oversee their medical requirements. Whilst most chose the main medical provider to the service, residents were enabled to request another provider to manage their medical needs, if desired.</w:t>
            </w:r>
          </w:p>
          <w:p w14:paraId="3C7AC288"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of residents being cared for in the secure dementia care unit evidenced an activated EPOA in place, and a specialist’s authorisation that the resident required care in a secure unit.</w:t>
            </w:r>
          </w:p>
          <w:p w14:paraId="4C85B3D2" w14:textId="77777777" w:rsidR="00000000" w:rsidRPr="00BE00C7" w:rsidRDefault="00000000" w:rsidP="00BE00C7">
            <w:pPr>
              <w:pStyle w:val="OutcomeDescription"/>
              <w:spacing w:before="120" w:after="120"/>
              <w:rPr>
                <w:rFonts w:cs="Arial"/>
                <w:lang w:eastAsia="en-NZ"/>
              </w:rPr>
            </w:pPr>
          </w:p>
        </w:tc>
      </w:tr>
      <w:tr w:rsidR="001A08B5" w14:paraId="1D645344" w14:textId="77777777">
        <w:tc>
          <w:tcPr>
            <w:tcW w:w="0" w:type="auto"/>
          </w:tcPr>
          <w:p w14:paraId="676682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2A609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6D9A420" w14:textId="77777777" w:rsidR="00000000" w:rsidRPr="00BE00C7" w:rsidRDefault="00000000" w:rsidP="00BE00C7">
            <w:pPr>
              <w:pStyle w:val="OutcomeDescription"/>
              <w:spacing w:before="120" w:after="120"/>
              <w:rPr>
                <w:rFonts w:cs="Arial"/>
                <w:lang w:eastAsia="en-NZ"/>
              </w:rPr>
            </w:pPr>
          </w:p>
        </w:tc>
        <w:tc>
          <w:tcPr>
            <w:tcW w:w="0" w:type="auto"/>
          </w:tcPr>
          <w:p w14:paraId="367A0D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55A8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Heretaunga worked in partnership with the resident and whānau to support wellbeing. Nine residents’ files were reviewed: three rest home files, three hospital files, and three files from residents in the secure dementia care area of the facility. Files reviewed were of residents receiving care under ARRC contracts and included residents with behaviours that were a challenge, residents with pain, residents who self-administered medications, residents who had required a transfer for an acute event, residents who had had a recent fall, residents with compromised mobility, residents who identified as Māori, and residents with several co-morbidities.</w:t>
            </w:r>
          </w:p>
          <w:p w14:paraId="082CA70A"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evidenced that, on admission, a RN undertook a range of clinical assessments. Assessments included resident and whānau input (as applicable). Timeframes for the initial assessment, medical/nurse practitioner assessment, initial care plan, long-term care plan, and review timeframes met contractual and policy requirements. Assessment included identifying how staff could support Māori and whānau to identify their own pae ora outcomes.</w:t>
            </w:r>
          </w:p>
          <w:p w14:paraId="3410DAE3" w14:textId="77777777" w:rsidR="00000000" w:rsidRPr="00BE00C7" w:rsidRDefault="00000000" w:rsidP="00BE00C7">
            <w:pPr>
              <w:pStyle w:val="OutcomeDescription"/>
              <w:spacing w:before="120" w:after="120"/>
              <w:rPr>
                <w:rFonts w:cs="Arial"/>
                <w:lang w:eastAsia="en-NZ"/>
              </w:rPr>
            </w:pPr>
            <w:r w:rsidRPr="00BE00C7">
              <w:rPr>
                <w:rFonts w:cs="Arial"/>
                <w:lang w:eastAsia="en-NZ"/>
              </w:rPr>
              <w:t>A care plan, based on one of the provider’s models of care, was developed by suitably qualified staff following the assessments. The care plan included consideration of the person’s lived experience, cultural needs, values, and beliefs, and considered wider service integration, where required. Early warning signs and risks, with a focus on prevention or escalation for appropriate interventions, were recorded. A care plan specific to Māori was sighted.</w:t>
            </w:r>
          </w:p>
          <w:p w14:paraId="05AA0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w:t>
            </w:r>
            <w:r w:rsidRPr="00BE00C7">
              <w:rPr>
                <w:rFonts w:cs="Arial"/>
                <w:lang w:eastAsia="en-NZ"/>
              </w:rPr>
              <w:lastRenderedPageBreak/>
              <w:t>responses to planned care, including the use of a range of outcome measures. Where progress was different to that expected, changes were made to the care plan in collaboration with the resident and/or whānau. Residents who self-administered medication were enabled to do so in a safe manner. Residents who experienced falls without any witnesses were initially evaluated by a RN and then periodically monitored through ongoing review; whānau were informed of the event. Neurological assessment was ongoing, in accordance with policy and best practice guidelines.</w:t>
            </w:r>
          </w:p>
          <w:p w14:paraId="681DD38F"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was verified by sampling residents’ records, and from interviews with clinical staff, people receiving services, and whānau. Residents and whānau confirmed active involvement in the process.</w:t>
            </w:r>
          </w:p>
          <w:p w14:paraId="5B49F9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pressure injuries at Heretaunga at the time of audit. In response to eight facility-acquired pressure injuries in 2023 and five in 2024, an initiative was implemented in June 2024 to reduce their occurrence. As part of this initiative, new pressure-relieving mattresses were purchased, staff training was enhanced, zinc-based barrier creams were introduced and regularly used, and improved turning regimes were established. Additionally, seating was upgraded, and nutritional supplements were provided to residents identified as being at risk. These measures resulted in the elimination of facility-acquired pressure injuries at Heretaunga up to the time of the 2025 audit.</w:t>
            </w:r>
          </w:p>
          <w:p w14:paraId="3FF2BAB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participated in the development of services at Heretaunga. Policies and procedures supported service delivery that promoted choice and control and removed barriers to accessing information. Examples of how choice and control were exercised in service delivery were discussed with staff, tāngata whaikaha, and whānau. Tāngata whaikaha and whānau had independent access to information.</w:t>
            </w:r>
          </w:p>
          <w:p w14:paraId="65BD0021" w14:textId="1FF673AF"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six whānau of residents expressed a high degree of satisfaction with the care being provided at Heretaunga. All whānau interviewed made mention of how supportive and helpful they found the GM and CM. The residents and their whānau reported that they were actively involved in planning the resident’s care and any ongoing discussions. Whānau of residents who identified as Māori were complimentary of the cultural support provided, and the responsiveness </w:t>
            </w:r>
            <w:r w:rsidRPr="00BE00C7">
              <w:rPr>
                <w:rFonts w:cs="Arial"/>
                <w:lang w:eastAsia="en-NZ"/>
              </w:rPr>
              <w:lastRenderedPageBreak/>
              <w:t>of staff to residents’ needs.</w:t>
            </w:r>
          </w:p>
          <w:p w14:paraId="1EBAE53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identified that they were familiar with all aspects of the care residents required, including the cultural aspects of the care required for Māori residents. An interview with the NP described the staff at Heretaunga as “an amazing and phenomenal team, the triaging undertaken is the best of all the 12 homes the NP oversees, and the CM’s clinical skills are exceptional”.</w:t>
            </w:r>
          </w:p>
          <w:p w14:paraId="02F8C9DA" w14:textId="77777777" w:rsidR="00000000" w:rsidRPr="00BE00C7" w:rsidRDefault="00000000" w:rsidP="00BE00C7">
            <w:pPr>
              <w:pStyle w:val="OutcomeDescription"/>
              <w:spacing w:before="120" w:after="120"/>
              <w:rPr>
                <w:rFonts w:cs="Arial"/>
                <w:lang w:eastAsia="en-NZ"/>
              </w:rPr>
            </w:pPr>
          </w:p>
        </w:tc>
      </w:tr>
      <w:tr w:rsidR="001A08B5" w14:paraId="7A8B0E38" w14:textId="77777777">
        <w:tc>
          <w:tcPr>
            <w:tcW w:w="0" w:type="auto"/>
          </w:tcPr>
          <w:p w14:paraId="2CDB0B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A544B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EEF69DA" w14:textId="77777777" w:rsidR="00000000" w:rsidRPr="00BE00C7" w:rsidRDefault="00000000" w:rsidP="00BE00C7">
            <w:pPr>
              <w:pStyle w:val="OutcomeDescription"/>
              <w:spacing w:before="120" w:after="120"/>
              <w:rPr>
                <w:rFonts w:cs="Arial"/>
                <w:lang w:eastAsia="en-NZ"/>
              </w:rPr>
            </w:pPr>
          </w:p>
        </w:tc>
        <w:tc>
          <w:tcPr>
            <w:tcW w:w="0" w:type="auto"/>
          </w:tcPr>
          <w:p w14:paraId="01BCA0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6F7C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coordinators (two) at Heretaunga provided an activities programme that supported residents in maintaining and developing their interests, tailored to their ages and stages of life, seven days a week. The programme offered is based around the “five ways to wellbeing model” allowing residents to give, be active, keep learning, connect, and take notice. The activities programme provided in the secure dementia care unit has oversight and input from a diversional therapist from another facility.</w:t>
            </w:r>
          </w:p>
          <w:p w14:paraId="1C1A6881"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and their ordinary patterns of life and included normal community activities. Opportunities for residents to participate in food preparation occur every Thursday. Opportunities for Māori and whānau to participate in te ao Māori were facilitated; Matariki, Māori Language Week and Waitangi Day celebrations were acknowledged. A specific activities programme was available for residents who identify as Māori or who are from Pacific communities. The programme included preparation of culturally specific food. A kaumātua from the local marae visits and blesses the rooms at Heretaunga, when requested.</w:t>
            </w:r>
          </w:p>
          <w:p w14:paraId="3C27D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staff arranged frequent participation by local community organisations and weekly outings in the facility’s van. Entertainers, school groups, and church groups visit the service.</w:t>
            </w:r>
          </w:p>
          <w:p w14:paraId="5EEEE5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Satisfaction surveys and resident meeting minutes evidenced residents and their whānau were satisfied with the activities programme provided at Heretaunga. Documentation sighted showed that residents and their whānau participated in evaluating and improving the programme. </w:t>
            </w:r>
            <w:r w:rsidRPr="00BE00C7">
              <w:rPr>
                <w:rFonts w:cs="Arial"/>
                <w:lang w:eastAsia="en-NZ"/>
              </w:rPr>
              <w:lastRenderedPageBreak/>
              <w:t>Those interviewed confirmed they had input into the programme and that the programme met their needs. Residents’ files reviewed in the secure dementia care unit verified that a 24-hour care plan was in place.</w:t>
            </w:r>
          </w:p>
          <w:p w14:paraId="0DEA8F60" w14:textId="77777777" w:rsidR="00000000" w:rsidRPr="00BE00C7" w:rsidRDefault="00000000" w:rsidP="00BE00C7">
            <w:pPr>
              <w:pStyle w:val="OutcomeDescription"/>
              <w:spacing w:before="120" w:after="120"/>
              <w:rPr>
                <w:rFonts w:cs="Arial"/>
                <w:lang w:eastAsia="en-NZ"/>
              </w:rPr>
            </w:pPr>
          </w:p>
        </w:tc>
      </w:tr>
      <w:tr w:rsidR="001A08B5" w14:paraId="3ED3F369" w14:textId="77777777">
        <w:tc>
          <w:tcPr>
            <w:tcW w:w="0" w:type="auto"/>
          </w:tcPr>
          <w:p w14:paraId="43AD6A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EED39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DC3F769" w14:textId="77777777" w:rsidR="00000000" w:rsidRPr="00BE00C7" w:rsidRDefault="00000000" w:rsidP="00BE00C7">
            <w:pPr>
              <w:pStyle w:val="OutcomeDescription"/>
              <w:spacing w:before="120" w:after="120"/>
              <w:rPr>
                <w:rFonts w:cs="Arial"/>
                <w:lang w:eastAsia="en-NZ"/>
              </w:rPr>
            </w:pPr>
          </w:p>
        </w:tc>
        <w:tc>
          <w:tcPr>
            <w:tcW w:w="0" w:type="auto"/>
          </w:tcPr>
          <w:p w14:paraId="01F740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66C2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Heretaunga was current and in line with the Medicines Care Guide for Residential Aged Care. A safe system for medicine management using an electronic system was observed on the day of the audit. The addition of a further care suite to the service will not impact on the management and delivery of medications at the facility; safe processes are in place and embedded, and there are sufficient medication competent staff available to manage the service.</w:t>
            </w:r>
          </w:p>
          <w:p w14:paraId="523487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demonstrated good knowledge and had a clear understanding of their roles and responsibilities related to each stage of medicine management. All staff who administer medicines had been assessed as competent to perform the function they manage; competencies had been checked annually. There was a process in place to identify, record and document residents’ medication allergies and sensitivities, and the action required for adverse events. The RN oversees the use of all pro re nata (PRN) medicines, and documentation regarding effectiveness was noted in progress notes.</w:t>
            </w:r>
          </w:p>
          <w:p w14:paraId="44349A1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Medicine reconciliation occurred. All medications sighted were within current use-by dates. A system is in place for returning expired or unwanted medication to the contracted pharmacy.</w:t>
            </w:r>
          </w:p>
          <w:p w14:paraId="31087A1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and managed in accordance with best practice guidelines. The required stock checks were completed. The controlled drug register provided evidence of weekly and six-monthly stock checks and accurate entries. The medicines stored were within the recommended temperature range. There were no vaccines stored on site.</w:t>
            </w:r>
          </w:p>
          <w:p w14:paraId="2D3F8E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are in line with legislation, protocols, and guidelines. The required three-monthly reviews by the GP/NP were recorded on the medicine chart. Residents, and their whānau (as </w:t>
            </w:r>
            <w:r w:rsidRPr="00BE00C7">
              <w:rPr>
                <w:rFonts w:cs="Arial"/>
                <w:lang w:eastAsia="en-NZ"/>
              </w:rPr>
              <w:lastRenderedPageBreak/>
              <w:t>applicable), interviewed stated that medication reviews and changes are discussed with them. Standing orders were not used at Heretaunga. Self-administration of medication was facilitated and managed safely. Residents, including Māori residents and their whānau, were supported to understand their medications.</w:t>
            </w:r>
          </w:p>
          <w:p w14:paraId="7A4ACA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Over-the-counter medication and traditional supplements were considered by the prescriber as part of the person’s medication.</w:t>
            </w:r>
          </w:p>
          <w:p w14:paraId="2251D497" w14:textId="77777777" w:rsidR="00000000" w:rsidRPr="00BE00C7" w:rsidRDefault="00000000" w:rsidP="00BE00C7">
            <w:pPr>
              <w:pStyle w:val="OutcomeDescription"/>
              <w:spacing w:before="120" w:after="120"/>
              <w:rPr>
                <w:rFonts w:cs="Arial"/>
                <w:lang w:eastAsia="en-NZ"/>
              </w:rPr>
            </w:pPr>
          </w:p>
          <w:p w14:paraId="3855636C" w14:textId="77777777" w:rsidR="00000000" w:rsidRPr="00BE00C7" w:rsidRDefault="00000000" w:rsidP="00BE00C7">
            <w:pPr>
              <w:pStyle w:val="OutcomeDescription"/>
              <w:spacing w:before="120" w:after="120"/>
              <w:rPr>
                <w:rFonts w:cs="Arial"/>
                <w:lang w:eastAsia="en-NZ"/>
              </w:rPr>
            </w:pPr>
          </w:p>
        </w:tc>
      </w:tr>
      <w:tr w:rsidR="001A08B5" w14:paraId="5F7B0595" w14:textId="77777777">
        <w:tc>
          <w:tcPr>
            <w:tcW w:w="0" w:type="auto"/>
          </w:tcPr>
          <w:p w14:paraId="642DE0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F07BB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A821B3" w14:textId="77777777" w:rsidR="00000000" w:rsidRPr="00BE00C7" w:rsidRDefault="00000000" w:rsidP="00BE00C7">
            <w:pPr>
              <w:pStyle w:val="OutcomeDescription"/>
              <w:spacing w:before="120" w:after="120"/>
              <w:rPr>
                <w:rFonts w:cs="Arial"/>
                <w:lang w:eastAsia="en-NZ"/>
              </w:rPr>
            </w:pPr>
          </w:p>
        </w:tc>
        <w:tc>
          <w:tcPr>
            <w:tcW w:w="0" w:type="auto"/>
          </w:tcPr>
          <w:p w14:paraId="2B21D5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15CF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culturally themed food service provided at Heretaunga was planned and implemented by the organisation’s own dietitian in line with recognised nutritional guidelines for older people. The addition of a further care suite to the service will not impact on the management and delivery of food services at the facility.</w:t>
            </w:r>
          </w:p>
          <w:p w14:paraId="7BC85FB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 Ministry of Primary Industries (MPI) multisite-approved food safety plan and registration. A verification audit of the food control plan was undertaken in May 2023. Three areas requiring corrective action were identified during the audit, and these have been addressed. The plan was due for re-audit in May 2026.</w:t>
            </w:r>
          </w:p>
          <w:p w14:paraId="510DB7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midday and evening meals offer a number of meal options for residents to choose from. Resident satisfaction surveys, resident meeting minutes, and interviews verified satisfaction with the meals being provided at Heretaunga. A prior concern about the meals not being hot enough had been addressed, after a ‘hot box’ was found to be malfunctioning.</w:t>
            </w:r>
          </w:p>
          <w:p w14:paraId="164EC506"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 any special diets, and modified texture requirements were accommodated in the daily meal plan. Māori and their whānau have menu options that are culturally specific to te ao Māori. Residents are enabled to be involved in the preparation of food as part of the activities programme (see subsection 3.3).</w:t>
            </w:r>
          </w:p>
          <w:p w14:paraId="66E938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1C1E894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care unit had access to food at any time, day or night.</w:t>
            </w:r>
          </w:p>
          <w:p w14:paraId="5A85F0FD" w14:textId="77777777" w:rsidR="00000000" w:rsidRPr="00BE00C7" w:rsidRDefault="00000000" w:rsidP="00BE00C7">
            <w:pPr>
              <w:pStyle w:val="OutcomeDescription"/>
              <w:spacing w:before="120" w:after="120"/>
              <w:rPr>
                <w:rFonts w:cs="Arial"/>
                <w:lang w:eastAsia="en-NZ"/>
              </w:rPr>
            </w:pPr>
          </w:p>
        </w:tc>
      </w:tr>
      <w:tr w:rsidR="001A08B5" w14:paraId="5C25B435" w14:textId="77777777">
        <w:tc>
          <w:tcPr>
            <w:tcW w:w="0" w:type="auto"/>
          </w:tcPr>
          <w:p w14:paraId="0D91FF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0920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348E9C" w14:textId="77777777" w:rsidR="00000000" w:rsidRPr="00BE00C7" w:rsidRDefault="00000000" w:rsidP="00BE00C7">
            <w:pPr>
              <w:pStyle w:val="OutcomeDescription"/>
              <w:spacing w:before="120" w:after="120"/>
              <w:rPr>
                <w:rFonts w:cs="Arial"/>
                <w:lang w:eastAsia="en-NZ"/>
              </w:rPr>
            </w:pPr>
          </w:p>
        </w:tc>
        <w:tc>
          <w:tcPr>
            <w:tcW w:w="0" w:type="auto"/>
          </w:tcPr>
          <w:p w14:paraId="0D4FC8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C2D17D"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Heretaunga was planned and managed safely to cover current needs and mitigate risk. The plan detailed the process required in the case of a traumatic event. The decision to transfer included consideration of the presenting assessment data, the resident’s advanced directive, input from the EPOA, and input from the NP/GP. The management plan, based on all factors, was developed with coordination between services and in collaboration with the resident and whānau.</w:t>
            </w:r>
          </w:p>
          <w:p w14:paraId="74EB7AC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advised of their options to access other health and disability services, social support, or kaupapa Māori services if the need is identified.</w:t>
            </w:r>
          </w:p>
          <w:p w14:paraId="08D12FDC" w14:textId="77777777" w:rsidR="00000000" w:rsidRPr="00BE00C7" w:rsidRDefault="00000000" w:rsidP="00BE00C7">
            <w:pPr>
              <w:pStyle w:val="OutcomeDescription"/>
              <w:spacing w:before="120" w:after="120"/>
              <w:rPr>
                <w:rFonts w:cs="Arial"/>
                <w:lang w:eastAsia="en-NZ"/>
              </w:rPr>
            </w:pPr>
          </w:p>
        </w:tc>
      </w:tr>
      <w:tr w:rsidR="001A08B5" w14:paraId="2E59A9EA" w14:textId="77777777">
        <w:tc>
          <w:tcPr>
            <w:tcW w:w="0" w:type="auto"/>
          </w:tcPr>
          <w:p w14:paraId="2D7F32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3BA17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5310805" w14:textId="77777777" w:rsidR="00000000" w:rsidRPr="00BE00C7" w:rsidRDefault="00000000" w:rsidP="00BE00C7">
            <w:pPr>
              <w:pStyle w:val="OutcomeDescription"/>
              <w:spacing w:before="120" w:after="120"/>
              <w:rPr>
                <w:rFonts w:cs="Arial"/>
                <w:lang w:eastAsia="en-NZ"/>
              </w:rPr>
            </w:pPr>
          </w:p>
        </w:tc>
        <w:tc>
          <w:tcPr>
            <w:tcW w:w="0" w:type="auto"/>
          </w:tcPr>
          <w:p w14:paraId="150D5F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0962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maintained, and that they met legislative requirements. The service has a mix of offerings, with 20 of the rooms being offered as care suites under occupation right agreements (ORAs); two of these were being used by couples, the rest were singly occupied. The dementia care area of the service was secure; residents admitted to that service had the appropriate authorisations in place.</w:t>
            </w:r>
          </w:p>
          <w:p w14:paraId="262D6B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notified HealthCert at the Ministry of Health/Manatū Hauora of its intention to reconfigure the certified services at Heretaunga Home and Village by converting one independent care unit to a care suite under an ORA arrangement. The service was advised that they could utilize the new facility immediately with the proviso that the reconfiguration was audited at the next audit. The reconfiguration was </w:t>
            </w:r>
            <w:r w:rsidRPr="00BE00C7">
              <w:rPr>
                <w:rFonts w:cs="Arial"/>
                <w:lang w:eastAsia="en-NZ"/>
              </w:rPr>
              <w:lastRenderedPageBreak/>
              <w:t>sighted at this audit. The new care suite was originally an independent unit with one person in residence; the reconfiguration request was sparked by a deterioration in the condition of the resident who was requiring a higher level of care. The intention was that the reconfiguration would allow the resident the ‘age in place’. The care suite is fit for purpose, it is within the footprint of the building, the space is large and has private bathroom facilities. Services already in place are sufficient to manage the increased demand.</w:t>
            </w:r>
          </w:p>
          <w:p w14:paraId="37766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are wide and have handrails promoting independence and safe mobility. Personalised equipment was available for residents with disabilities to meet their needs, and residents were observed to be safely using these. Spaces are culturally inclusive and suited the needs of the resident groups, including residents residing in the secure dementia care service. Lounge and dining facilities meet the needs of residents, and these are also used for activities. Wi-Fi was available for residents and whānau to use. External areas are easily accessible for residents; there is a secure garden area available for the use of residents in the secure dementia care service.</w:t>
            </w:r>
          </w:p>
          <w:p w14:paraId="54897E11"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for residents requiring hospital-level care allowed space for the use of moving and handling equipment; care suites were fitted with ceiling hoists. Rooms were personalised according to the residents’ preferences. All rooms have a window allowing for natural light, with safety catches for security. The facility is heated with electric heating, and this can be adjusted depending on seasonality and outside temperature. Space is available for the storage and charging of electronic mobility aids.</w:t>
            </w:r>
          </w:p>
          <w:p w14:paraId="39B63B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had appropriately situated call bells. There were external areas within the facility for leisure activities, with appropriate seating and shade.</w:t>
            </w:r>
          </w:p>
          <w:p w14:paraId="1F21EB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planned maintenance schedule includes electrical testing and tagging, resident equipment checks, and calibrations of clinical equipment. Monthly hot water tests were completed for resident areas; these were sighted and were all within normal limits. Tempering valves </w:t>
            </w:r>
            <w:r w:rsidRPr="00BE00C7">
              <w:rPr>
                <w:rFonts w:cs="Arial"/>
                <w:lang w:eastAsia="en-NZ"/>
              </w:rPr>
              <w:lastRenderedPageBreak/>
              <w:t>were in place to address any hot water variances.</w:t>
            </w:r>
          </w:p>
          <w:p w14:paraId="736156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warrant of fitness, which expires on 20 September 2026. There were no plans for further building projects requiring consultation, but Oceania directors and the management team at Heretaunga were aware of the requirement to consult and co-design with Māori if this was envisaged.</w:t>
            </w:r>
          </w:p>
          <w:p w14:paraId="7851527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62D55CE5" w14:textId="77777777" w:rsidR="00000000" w:rsidRPr="00BE00C7" w:rsidRDefault="00000000" w:rsidP="00BE00C7">
            <w:pPr>
              <w:pStyle w:val="OutcomeDescription"/>
              <w:spacing w:before="120" w:after="120"/>
              <w:rPr>
                <w:rFonts w:cs="Arial"/>
                <w:lang w:eastAsia="en-NZ"/>
              </w:rPr>
            </w:pPr>
          </w:p>
        </w:tc>
      </w:tr>
      <w:tr w:rsidR="001A08B5" w14:paraId="471F8088" w14:textId="77777777">
        <w:tc>
          <w:tcPr>
            <w:tcW w:w="0" w:type="auto"/>
          </w:tcPr>
          <w:p w14:paraId="40D83E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2F54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6A261DA" w14:textId="77777777" w:rsidR="00000000" w:rsidRPr="00BE00C7" w:rsidRDefault="00000000" w:rsidP="00BE00C7">
            <w:pPr>
              <w:pStyle w:val="OutcomeDescription"/>
              <w:spacing w:before="120" w:after="120"/>
              <w:rPr>
                <w:rFonts w:cs="Arial"/>
                <w:lang w:eastAsia="en-NZ"/>
              </w:rPr>
            </w:pPr>
          </w:p>
        </w:tc>
        <w:tc>
          <w:tcPr>
            <w:tcW w:w="0" w:type="auto"/>
          </w:tcPr>
          <w:p w14:paraId="2E90D53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55083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16 October 2003. The fire evacuation plan at the facility already includes the reconfigured care suite, as the care suite is within the footprint of the building. The requirements of the fire and emergency scheme are reflected in the facility’s fire and emergency management plan, which requires a six-monthly fire drill; the last fire drill was held on 21 August 2025. Staff completed fire and emergency competency in 2025, and staff interviewed were able to describe what to do in an emergency.</w:t>
            </w:r>
          </w:p>
          <w:p w14:paraId="7CDE6EF2"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had received relevant information and training and had appropriate equipment to respond to emergency and security situations. Except for stored water (refer criterion 4.2.7), adequate supplies for use in the event of a civil defence emergency met The National Emergency Management Agency recommendations for the region, and alternative essential energy and utility sources were available in the event of the main supplies failing.</w:t>
            </w:r>
          </w:p>
          <w:p w14:paraId="7C5341AE"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was provided to residents and their whānau on entry to the service. Twenty-seven (27) staff have current first aid certification, and there was a first aid certified staff member on duty 24/7 on the rosters sighted.</w:t>
            </w:r>
          </w:p>
          <w:p w14:paraId="210BB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t>
            </w:r>
            <w:r w:rsidRPr="00BE00C7">
              <w:rPr>
                <w:rFonts w:cs="Arial"/>
                <w:lang w:eastAsia="en-NZ"/>
              </w:rPr>
              <w:lastRenderedPageBreak/>
              <w:t>whānau reported that staff respond promptly to call bells.</w:t>
            </w:r>
          </w:p>
          <w:p w14:paraId="593F1B76"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including security arrangements relevant to the provision of secure dementia care services. The facility had overnight ‘lock-up’ procedures which allowed for emergency egress, and specific instructions were in place for tāngata whaikaha and residents in the secure dementia care service for emergency situations. Residents and whānau were familiarised with emergency and security arrangements, as and when required. Staff were noted to be wearing uniforms and name badges throughout the audit.</w:t>
            </w:r>
          </w:p>
          <w:p w14:paraId="650D52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to the building or services since the previous audit.</w:t>
            </w:r>
          </w:p>
          <w:p w14:paraId="4B243559" w14:textId="77777777" w:rsidR="00000000" w:rsidRPr="00BE00C7" w:rsidRDefault="00000000" w:rsidP="00BE00C7">
            <w:pPr>
              <w:pStyle w:val="OutcomeDescription"/>
              <w:spacing w:before="120" w:after="120"/>
              <w:rPr>
                <w:rFonts w:cs="Arial"/>
                <w:lang w:eastAsia="en-NZ"/>
              </w:rPr>
            </w:pPr>
          </w:p>
        </w:tc>
      </w:tr>
      <w:tr w:rsidR="001A08B5" w14:paraId="5B68B3F5" w14:textId="77777777">
        <w:tc>
          <w:tcPr>
            <w:tcW w:w="0" w:type="auto"/>
          </w:tcPr>
          <w:p w14:paraId="1E92BC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E48B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5950B07" w14:textId="77777777" w:rsidR="00000000" w:rsidRPr="00BE00C7" w:rsidRDefault="00000000" w:rsidP="00BE00C7">
            <w:pPr>
              <w:pStyle w:val="OutcomeDescription"/>
              <w:spacing w:before="120" w:after="120"/>
              <w:rPr>
                <w:rFonts w:cs="Arial"/>
                <w:lang w:eastAsia="en-NZ"/>
              </w:rPr>
            </w:pPr>
          </w:p>
        </w:tc>
        <w:tc>
          <w:tcPr>
            <w:tcW w:w="0" w:type="auto"/>
          </w:tcPr>
          <w:p w14:paraId="01D4DE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627E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 Data and information related to the introduction of a new care suite to the facility will be added to current reporting systems. The IP and AMS programmes were led by one of the Oceania NCQMs who is part of the clinical governance team. The clinical governance team oversees all clinical issues within Oceania.</w:t>
            </w:r>
          </w:p>
          <w:p w14:paraId="03991F1A"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had IP and AMS outlined in its policy documents. The board collected data on infections and antimicrobial use and included ethnicity data; this had been analysed at facility and national level to support equity in the service and across the wider Oceania group. Infection prevention and AMS activities were supported at governance level through clinically competent specialist personnel who make sure that IP and AMS are being appropriately managed at the facility level and to support facilities as required.</w:t>
            </w:r>
          </w:p>
          <w:p w14:paraId="244AEA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and advice could be sought as required following a defined process and include escalation of significant events. Infection prevention and AMS information was discussed at the facility level, at clinical governance steering committee meetings, and reported to the </w:t>
            </w:r>
            <w:r w:rsidRPr="00BE00C7">
              <w:rPr>
                <w:rFonts w:cs="Arial"/>
                <w:lang w:eastAsia="en-NZ"/>
              </w:rPr>
              <w:lastRenderedPageBreak/>
              <w:t>board at board meetings.</w:t>
            </w:r>
          </w:p>
          <w:p w14:paraId="69116551" w14:textId="77777777" w:rsidR="00000000" w:rsidRPr="00BE00C7" w:rsidRDefault="00000000" w:rsidP="00BE00C7">
            <w:pPr>
              <w:pStyle w:val="OutcomeDescription"/>
              <w:spacing w:before="120" w:after="120"/>
              <w:rPr>
                <w:rFonts w:cs="Arial"/>
                <w:lang w:eastAsia="en-NZ"/>
              </w:rPr>
            </w:pPr>
          </w:p>
        </w:tc>
      </w:tr>
      <w:tr w:rsidR="001A08B5" w14:paraId="32FC5D55" w14:textId="77777777">
        <w:tc>
          <w:tcPr>
            <w:tcW w:w="0" w:type="auto"/>
          </w:tcPr>
          <w:p w14:paraId="5ACCAE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95103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4119257" w14:textId="77777777" w:rsidR="00000000" w:rsidRPr="00BE00C7" w:rsidRDefault="00000000" w:rsidP="00BE00C7">
            <w:pPr>
              <w:pStyle w:val="OutcomeDescription"/>
              <w:spacing w:before="120" w:after="120"/>
              <w:rPr>
                <w:rFonts w:cs="Arial"/>
                <w:lang w:eastAsia="en-NZ"/>
              </w:rPr>
            </w:pPr>
          </w:p>
        </w:tc>
        <w:tc>
          <w:tcPr>
            <w:tcW w:w="0" w:type="auto"/>
          </w:tcPr>
          <w:p w14:paraId="2127E0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D316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at Heretaunga was responsible for overseeing and implementing the IP programme, with reporting lines to the CM, GM, and the senior management and governance team. The IPCC had appropriate skills, knowledge and qualifications for the role and confirmed access to the necessary resources and support. Their advice had been sought when making decisions around procurement relevant to care delivery, and during policy updates, and would be sought for input into the design of any new building or facility changes if these were being planned.</w:t>
            </w:r>
          </w:p>
          <w:p w14:paraId="6A2058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(IPC) and AMS policies reflected the requirements of the standard and were based on current accepted good practice. The infection prevention programme is well implemented and can easily accommodate the extension of one care suite into the service. Cultural advice at Heretaunga could be accessed through staff who identified as Māori, the organisation’s cultural advisor, the Oceania cultural group, and local kaupapa Māori services. Staff who identified as Māori and speak te reo Māori were available to provide infection advice in te reo Māori if needed for Māori accessing services. External te reo Māori interpreter support was available should this be required.</w:t>
            </w:r>
          </w:p>
          <w:p w14:paraId="75F4CB2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follow processes correctly. Residents and their whānau were educated about infection prevention in a manner that met their needs. Educational resources were available in te reo Māori.</w:t>
            </w:r>
          </w:p>
          <w:p w14:paraId="4B21F5D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was documented and had been regularly evaluated. There were sufficient resources and personal protective equipment (PPE) available, and staff had been trained in its use.</w:t>
            </w:r>
          </w:p>
          <w:p w14:paraId="70E0801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processes, and audits ensured that reusable and shared equipment was appropriately decontaminated using best practice guidelines. Individual single-use items were discarded after being used.</w:t>
            </w:r>
          </w:p>
          <w:p w14:paraId="6F9E9D10" w14:textId="77777777" w:rsidR="00000000" w:rsidRPr="00BE00C7" w:rsidRDefault="00000000" w:rsidP="00BE00C7">
            <w:pPr>
              <w:pStyle w:val="OutcomeDescription"/>
              <w:spacing w:before="120" w:after="120"/>
              <w:rPr>
                <w:rFonts w:cs="Arial"/>
                <w:lang w:eastAsia="en-NZ"/>
              </w:rPr>
            </w:pPr>
          </w:p>
        </w:tc>
      </w:tr>
      <w:tr w:rsidR="001A08B5" w14:paraId="6CE8A1F1" w14:textId="77777777">
        <w:tc>
          <w:tcPr>
            <w:tcW w:w="0" w:type="auto"/>
          </w:tcPr>
          <w:p w14:paraId="16955C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B12EC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0F00B8" w14:textId="77777777" w:rsidR="00000000" w:rsidRPr="00BE00C7" w:rsidRDefault="00000000" w:rsidP="00BE00C7">
            <w:pPr>
              <w:pStyle w:val="OutcomeDescription"/>
              <w:spacing w:before="120" w:after="120"/>
              <w:rPr>
                <w:rFonts w:cs="Arial"/>
                <w:lang w:eastAsia="en-NZ"/>
              </w:rPr>
            </w:pPr>
          </w:p>
        </w:tc>
        <w:tc>
          <w:tcPr>
            <w:tcW w:w="0" w:type="auto"/>
          </w:tcPr>
          <w:p w14:paraId="7A9B52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ABB507"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being promoted. The AMS programme was appropriate for the size and complexity of the service, supported by policies and procedures. Oceania had a documented AMS programme in place committed to promoting the responsible use of antimicrobials, it had been developed using evidence-based expertise and had been approved by the governance body. The AMS programme aimed to promote optimal management of antimicrobials to maximise the effectiveness of treatment and minimise potential for harm. The AMS programme is well embedded in the facility, and its provisions will be extended to any occupants in the new care suite.</w:t>
            </w:r>
          </w:p>
          <w:p w14:paraId="5D4CA7FB"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promoted at Heretaunga, with the prescriber having the overall responsibility for prescribing antimicrobials. Monthly records of infections and prescribed antibiotic treatment were maintained and records included ethnicity data, which was analysed to support equity. The effectiveness of the AMS programme had been evaluated by monitoring the quality and quantity of antimicrobial use. Evidence was sighted of a reduction in the use of antibiotics for the treatment of urine tract infections (UTIs). In 2023 there were 37 suspected UTIs, and all of these were commenced on antibiotics. In 2024, following the implementation of the AMS programme and a review of UTI management, there were 31 suspected urine infections. Twelve (12) of these were treated with antibiotics and 19 needed no treatment as there was no culture growth reported from laboratory testing. The focus has been on using clear criteria to determine a potential infection, increasing fluids, the use of alkaline urinary sachets, monitoring of symptoms, and accurate diagnosis by laboratory findings. Evidence was also sighted in a reduction in skin infections, from 47 in 2024 to 16 in 2025 up to the day of audit.</w:t>
            </w:r>
          </w:p>
          <w:p w14:paraId="60D52B3D" w14:textId="77777777" w:rsidR="00000000" w:rsidRPr="00BE00C7" w:rsidRDefault="00000000" w:rsidP="00BE00C7">
            <w:pPr>
              <w:pStyle w:val="OutcomeDescription"/>
              <w:spacing w:before="120" w:after="120"/>
              <w:rPr>
                <w:rFonts w:cs="Arial"/>
                <w:lang w:eastAsia="en-NZ"/>
              </w:rPr>
            </w:pPr>
          </w:p>
        </w:tc>
      </w:tr>
      <w:tr w:rsidR="001A08B5" w14:paraId="7F537A2C" w14:textId="77777777">
        <w:tc>
          <w:tcPr>
            <w:tcW w:w="0" w:type="auto"/>
          </w:tcPr>
          <w:p w14:paraId="339992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5881E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720CF9FB" w14:textId="77777777" w:rsidR="00000000" w:rsidRPr="00BE00C7" w:rsidRDefault="00000000" w:rsidP="00BE00C7">
            <w:pPr>
              <w:pStyle w:val="OutcomeDescription"/>
              <w:spacing w:before="120" w:after="120"/>
              <w:rPr>
                <w:rFonts w:cs="Arial"/>
                <w:lang w:eastAsia="en-NZ"/>
              </w:rPr>
            </w:pPr>
          </w:p>
        </w:tc>
        <w:tc>
          <w:tcPr>
            <w:tcW w:w="0" w:type="auto"/>
          </w:tcPr>
          <w:p w14:paraId="76DF02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5E8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was appropriate to that recommended for the type of services offered and was in line with risks and priorities defined in the infection control programme. Monthly surveillance data, using standardised surveillance definitions, had been collated and analysed to identify any trends, possible causative factors, and required actions. Surveillance included ethnicity data, which is analysed to support equity. Results of the </w:t>
            </w:r>
            <w:r w:rsidRPr="00BE00C7">
              <w:rPr>
                <w:rFonts w:cs="Arial"/>
                <w:lang w:eastAsia="en-NZ"/>
              </w:rPr>
              <w:lastRenderedPageBreak/>
              <w:t>surveillance programme had been shared with staff and the governance body, and where necessary, recommendations for improvement had been identified. The health care-associated infections (HAIs) being monitored include infections of the urinary tract, respiratory tract, skin, scabies, fungal, eye, and multi-resistant organisms. The HAI surveillance processes are well embedded in the facility, and its provisions will be extended to any occupants in the reconfigured care suite.</w:t>
            </w:r>
          </w:p>
          <w:p w14:paraId="1A76C763"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an HAI was culturally safe, and these were documented.</w:t>
            </w:r>
          </w:p>
          <w:p w14:paraId="59CBED17" w14:textId="77777777" w:rsidR="00000000" w:rsidRPr="00BE00C7" w:rsidRDefault="00000000" w:rsidP="00BE00C7">
            <w:pPr>
              <w:pStyle w:val="OutcomeDescription"/>
              <w:spacing w:before="120" w:after="120"/>
              <w:rPr>
                <w:rFonts w:cs="Arial"/>
                <w:lang w:eastAsia="en-NZ"/>
              </w:rPr>
            </w:pPr>
          </w:p>
        </w:tc>
      </w:tr>
      <w:tr w:rsidR="001A08B5" w14:paraId="26FDFB79" w14:textId="77777777">
        <w:tc>
          <w:tcPr>
            <w:tcW w:w="0" w:type="auto"/>
          </w:tcPr>
          <w:p w14:paraId="4082DC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756BC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590BE17" w14:textId="77777777" w:rsidR="00000000" w:rsidRPr="00BE00C7" w:rsidRDefault="00000000" w:rsidP="00BE00C7">
            <w:pPr>
              <w:pStyle w:val="OutcomeDescription"/>
              <w:spacing w:before="120" w:after="120"/>
              <w:rPr>
                <w:rFonts w:cs="Arial"/>
                <w:lang w:eastAsia="en-NZ"/>
              </w:rPr>
            </w:pPr>
          </w:p>
        </w:tc>
        <w:tc>
          <w:tcPr>
            <w:tcW w:w="0" w:type="auto"/>
          </w:tcPr>
          <w:p w14:paraId="2CD96D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4EA3F"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supported the prevention of infection and mitigation of transmission of antimicrobial-resistant organisms at Heretaunga. The reconfigured care suite is within the footprint of the facility and already monitored for prevention of infection and mitigation of transmission of antimicrobial-resistant organisms; any services not being offered previously (when the resident was still independent) have already been incorporated into service delivery for the care suite. There are suitable processes in place and sufficient staff already employed to accommodate the inclusion of the care suite into care services. Suitable PPE was provided to those managing contaminated material, waste, and hazardous substances, and those who perform cleaning and laundering roles.</w:t>
            </w:r>
          </w:p>
          <w:p w14:paraId="50AB37E5" w14:textId="77777777" w:rsidR="00000000" w:rsidRPr="00BE00C7" w:rsidRDefault="00000000" w:rsidP="00BE00C7">
            <w:pPr>
              <w:pStyle w:val="OutcomeDescription"/>
              <w:spacing w:before="120" w:after="120"/>
              <w:rPr>
                <w:rFonts w:cs="Arial"/>
                <w:lang w:eastAsia="en-NZ"/>
              </w:rPr>
            </w:pPr>
            <w:r w:rsidRPr="00BE00C7">
              <w:rPr>
                <w:rFonts w:cs="Arial"/>
                <w:lang w:eastAsia="en-NZ"/>
              </w:rPr>
              <w:t>Safe and secure storage areas were available, and staff had appropriate and adequate access, as required. Chemicals were labelled and stored safely within these areas, with a closed system in place. Sluice rooms are available for the disposal of soiled water/waste. Handwashing facilities and sterilising hand gel were available throughout the facility. Staff were observed to follow documented policies and processes for the management of waste and infectious and hazardous substances.</w:t>
            </w:r>
          </w:p>
          <w:p w14:paraId="538C31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observed to be clean and tidy. Safe and effective cleaning processes identified the methods, frequency, and materials to be used in cleaning and laundry processes. Clear separation of the use of clean and dirty items was observed. Designated access was </w:t>
            </w:r>
            <w:r w:rsidRPr="00BE00C7">
              <w:rPr>
                <w:rFonts w:cs="Arial"/>
                <w:lang w:eastAsia="en-NZ"/>
              </w:rPr>
              <w:lastRenderedPageBreak/>
              <w:t>provided to maintain the safe storage of cleaning chemicals and equipment.</w:t>
            </w:r>
          </w:p>
          <w:p w14:paraId="44481F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at Heretaunga was managed offsite. Processes were in place to ensure the collection, storage, and transportation of laundry were in accordance with safe practices.</w:t>
            </w:r>
          </w:p>
          <w:p w14:paraId="1DE5F2DE"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Infection prevention personnel have oversight of the environmental testing and monitoring programme of the built environment. Staff involved had completed relevant training and were observed to perform duties safely.</w:t>
            </w:r>
          </w:p>
          <w:p w14:paraId="19A2E7F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19A9ED36" w14:textId="77777777" w:rsidR="00000000" w:rsidRPr="00BE00C7" w:rsidRDefault="00000000" w:rsidP="00BE00C7">
            <w:pPr>
              <w:pStyle w:val="OutcomeDescription"/>
              <w:spacing w:before="120" w:after="120"/>
              <w:rPr>
                <w:rFonts w:cs="Arial"/>
                <w:lang w:eastAsia="en-NZ"/>
              </w:rPr>
            </w:pPr>
          </w:p>
        </w:tc>
      </w:tr>
      <w:tr w:rsidR="001A08B5" w14:paraId="1551E963" w14:textId="77777777">
        <w:tc>
          <w:tcPr>
            <w:tcW w:w="0" w:type="auto"/>
          </w:tcPr>
          <w:p w14:paraId="78A516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04B69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81F2F69" w14:textId="77777777" w:rsidR="00000000" w:rsidRPr="00BE00C7" w:rsidRDefault="00000000" w:rsidP="00BE00C7">
            <w:pPr>
              <w:pStyle w:val="OutcomeDescription"/>
              <w:spacing w:before="120" w:after="120"/>
              <w:rPr>
                <w:rFonts w:cs="Arial"/>
                <w:lang w:eastAsia="en-NZ"/>
              </w:rPr>
            </w:pPr>
          </w:p>
        </w:tc>
        <w:tc>
          <w:tcPr>
            <w:tcW w:w="0" w:type="auto"/>
          </w:tcPr>
          <w:p w14:paraId="7F6A89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2493CC"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is committed to a restraint-free environment in all its facilities. Heretaunga is currently restraint-free, the last restraint was discontinued in April 2025. No residents were observed to be using a restraint during the audit.</w:t>
            </w:r>
          </w:p>
          <w:p w14:paraId="5746B8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strategies in place to eliminate restraint, including an investment in processes and equipment to support the removal of restraint (e.g., use of intentional rounding (scheduled resident checks), use of high/low beds, and sensor equipment). The Oceania board’s clinical governance steering group was responsible for the restraint elimination strategy and for monitoring restraint use in the organisation. Documentation confirmed that restraint was reported to the board, even if there was no restraint in a facility.</w:t>
            </w:r>
          </w:p>
          <w:p w14:paraId="4F2F32F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met the requirements of the standard. The restraint coordinator (RC) is a defined role currently being undertaken by a RN. They provide support and oversight should restraint be required in the future. There was a position description in place that outlines the role, and the RC has had specific education around restraint and its use.</w:t>
            </w:r>
          </w:p>
          <w:p w14:paraId="60C2A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protocols were covered in the orientation programme of the facility and included in the education/training programme (which </w:t>
            </w:r>
            <w:r w:rsidRPr="00BE00C7">
              <w:rPr>
                <w:rFonts w:cs="Arial"/>
                <w:lang w:eastAsia="en-NZ"/>
              </w:rPr>
              <w:lastRenderedPageBreak/>
              <w:t>includes annual restraint competency). Staff have been trained in the least restrictive practice, safe restraint practice, alternative cultural-specific interventions, de-escalation techniques, and restraint monitoring in 2025. Restraint use was identified as part of the quality programme and reported at all levels of the organisation.</w:t>
            </w:r>
          </w:p>
          <w:p w14:paraId="25E92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restraints should this be required in the future; there were clear lines of accountability. For any decision to use or not use restraint, there was a process to involve the resident, their EPOA and/or whānau, and the multidisciplinary team (including the GP or NP) as part of the decision-making process.</w:t>
            </w:r>
          </w:p>
          <w:p w14:paraId="7D4187A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retrospective review was completed on the resident who had been using a restraint up until April 2025. Records sighted showed that restraint assessment, consent and ongoing evaluation had been in place. Consents and restraint evaluations had taken place on a two-monthly basis, and these were documented. Documented restraint monitoring was sighted. The restraint had been reported at facility level and to the board, evidence was sighted of progress documentation in the resident’s file, in restraint, staff and quality meeting minutes, and through reports to the board. The use and discontinuation of the restraint were noted on the electronic restraint register.</w:t>
            </w:r>
          </w:p>
          <w:p w14:paraId="55FEC08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available on the electronic resident management system; the criteria on the restraint register contained enough information to provide an auditable record of restraint should this be required. The RC undertakes review of all residents who may be at risk, in conjunction with the other RNs and the GP/NP. Documentation outlined strategies to be used to prevent restraint being required, and this was sighted. Review of restraint had been completed at clinical governance level; any changes to policies, guidelines, education, and processes were implemented if indicated.</w:t>
            </w:r>
          </w:p>
          <w:p w14:paraId="292CDC60"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was no restraint being used in the facility, subsections 6.2 and 6.3 have not been audited.</w:t>
            </w:r>
          </w:p>
          <w:p w14:paraId="390F26D7" w14:textId="77777777" w:rsidR="00000000" w:rsidRPr="00BE00C7" w:rsidRDefault="00000000" w:rsidP="00BE00C7">
            <w:pPr>
              <w:pStyle w:val="OutcomeDescription"/>
              <w:spacing w:before="120" w:after="120"/>
              <w:rPr>
                <w:rFonts w:cs="Arial"/>
                <w:lang w:eastAsia="en-NZ"/>
              </w:rPr>
            </w:pPr>
          </w:p>
        </w:tc>
      </w:tr>
    </w:tbl>
    <w:p w14:paraId="0273484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BA92A1C" w14:textId="77777777" w:rsidR="00000000" w:rsidRDefault="00000000">
      <w:pPr>
        <w:pStyle w:val="Heading1"/>
        <w:rPr>
          <w:rFonts w:cs="Arial"/>
        </w:rPr>
      </w:pPr>
      <w:r>
        <w:rPr>
          <w:rFonts w:cs="Arial"/>
        </w:rPr>
        <w:lastRenderedPageBreak/>
        <w:t>Specific results for criterion where corrective actions are required</w:t>
      </w:r>
    </w:p>
    <w:p w14:paraId="43C124E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3B098C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E1668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341"/>
        <w:gridCol w:w="5231"/>
        <w:gridCol w:w="2681"/>
        <w:gridCol w:w="2776"/>
      </w:tblGrid>
      <w:tr w:rsidR="001A08B5" w14:paraId="650DECB2" w14:textId="77777777">
        <w:tc>
          <w:tcPr>
            <w:tcW w:w="0" w:type="auto"/>
          </w:tcPr>
          <w:p w14:paraId="4A2816C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FE84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3A2C6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3C73E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DA3194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A08B5" w14:paraId="4C213A1F" w14:textId="77777777">
        <w:tc>
          <w:tcPr>
            <w:tcW w:w="0" w:type="auto"/>
          </w:tcPr>
          <w:p w14:paraId="623E471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4.2.7</w:t>
            </w:r>
          </w:p>
          <w:p w14:paraId="0A3978A6"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59D63C7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ADB6C7E"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has supplies available to manage care and nutrition for residents in the event of an emergency, including cooking facilities. The facility stores 1220 litres of water on site, but this is well below the current National Emergency Management Agency recommendation for the region of 20 litres per person per day for seven days. The required amount on the day of audit was 8,120 litres. This was discussed with the GM of the facility and the NCQM for Oceania on the day of audit and escalated to the Oceania national office. As this was escalated quickly and because the facility has enough water on site to meet older WREMO guidelines, this has been rated as low risk.</w:t>
            </w:r>
          </w:p>
          <w:p w14:paraId="1EDDD286" w14:textId="77777777" w:rsidR="00000000" w:rsidRPr="00BE00C7" w:rsidRDefault="00000000" w:rsidP="00BE00C7">
            <w:pPr>
              <w:pStyle w:val="OutcomeDescription"/>
              <w:spacing w:before="120" w:after="120"/>
              <w:rPr>
                <w:rFonts w:cs="Arial"/>
                <w:lang w:eastAsia="en-NZ"/>
              </w:rPr>
            </w:pPr>
          </w:p>
        </w:tc>
        <w:tc>
          <w:tcPr>
            <w:tcW w:w="0" w:type="auto"/>
          </w:tcPr>
          <w:p w14:paraId="3EE233B9" w14:textId="77777777" w:rsidR="00000000" w:rsidRPr="00BE00C7" w:rsidRDefault="00000000" w:rsidP="00BE00C7">
            <w:pPr>
              <w:pStyle w:val="OutcomeDescription"/>
              <w:spacing w:before="120" w:after="120"/>
              <w:rPr>
                <w:rFonts w:cs="Arial"/>
                <w:lang w:eastAsia="en-NZ"/>
              </w:rPr>
            </w:pPr>
            <w:r w:rsidRPr="00BE00C7">
              <w:rPr>
                <w:rFonts w:cs="Arial"/>
                <w:lang w:eastAsia="en-NZ"/>
              </w:rPr>
              <w:t>Heretaunga has insufficient water stored onsite to meet the current The National Emergency Management Agency guidelines for the area.</w:t>
            </w:r>
          </w:p>
          <w:p w14:paraId="06E72045" w14:textId="77777777" w:rsidR="00000000" w:rsidRPr="00BE00C7" w:rsidRDefault="00000000" w:rsidP="00BE00C7">
            <w:pPr>
              <w:pStyle w:val="OutcomeDescription"/>
              <w:spacing w:before="120" w:after="120"/>
              <w:rPr>
                <w:rFonts w:cs="Arial"/>
                <w:lang w:eastAsia="en-NZ"/>
              </w:rPr>
            </w:pPr>
          </w:p>
        </w:tc>
        <w:tc>
          <w:tcPr>
            <w:tcW w:w="0" w:type="auto"/>
          </w:tcPr>
          <w:p w14:paraId="6BCDA54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Heretaunga has sufficient water stored onsite to meet The National Emergency Management Agency guidelines for the area.</w:t>
            </w:r>
          </w:p>
          <w:p w14:paraId="4B4B3138" w14:textId="77777777" w:rsidR="00000000" w:rsidRPr="00BE00C7" w:rsidRDefault="00000000" w:rsidP="00BE00C7">
            <w:pPr>
              <w:pStyle w:val="OutcomeDescription"/>
              <w:spacing w:before="120" w:after="120"/>
              <w:rPr>
                <w:rFonts w:cs="Arial"/>
                <w:lang w:eastAsia="en-NZ"/>
              </w:rPr>
            </w:pPr>
          </w:p>
          <w:p w14:paraId="1EAC1EA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31BF935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D84A03D" w14:textId="77777777" w:rsidR="00000000" w:rsidRDefault="00000000">
      <w:pPr>
        <w:pStyle w:val="Heading1"/>
        <w:rPr>
          <w:rFonts w:cs="Arial"/>
        </w:rPr>
      </w:pPr>
      <w:r>
        <w:rPr>
          <w:rFonts w:cs="Arial"/>
        </w:rPr>
        <w:lastRenderedPageBreak/>
        <w:t>Specific results for criterion where a continuous improvement has been recorded</w:t>
      </w:r>
    </w:p>
    <w:p w14:paraId="0404150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BA6C73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3477F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A08B5" w14:paraId="345DD86B" w14:textId="77777777">
        <w:tc>
          <w:tcPr>
            <w:tcW w:w="0" w:type="auto"/>
          </w:tcPr>
          <w:p w14:paraId="4FEC394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445E3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CDFE3B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B443" w14:textId="77777777" w:rsidR="00B10CC5" w:rsidRDefault="00B10CC5">
      <w:r>
        <w:separator/>
      </w:r>
    </w:p>
  </w:endnote>
  <w:endnote w:type="continuationSeparator" w:id="0">
    <w:p w14:paraId="279F612D" w14:textId="77777777" w:rsidR="00B10CC5" w:rsidRDefault="00B1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2273" w14:textId="77777777" w:rsidR="00000000" w:rsidRDefault="00000000">
    <w:pPr>
      <w:pStyle w:val="Footer"/>
    </w:pPr>
  </w:p>
  <w:p w14:paraId="212B86B2" w14:textId="77777777" w:rsidR="00000000" w:rsidRDefault="00000000"/>
  <w:p w14:paraId="1DDB2A5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C20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Heretaunga Home &amp; Village</w:t>
    </w:r>
    <w:bookmarkEnd w:id="59"/>
    <w:r>
      <w:rPr>
        <w:rFonts w:cs="Arial"/>
        <w:sz w:val="16"/>
        <w:szCs w:val="20"/>
      </w:rPr>
      <w:tab/>
      <w:t xml:space="preserve">Date of Audit: </w:t>
    </w:r>
    <w:bookmarkStart w:id="60" w:name="AuditStartDate1"/>
    <w:r>
      <w:rPr>
        <w:rFonts w:cs="Arial"/>
        <w:sz w:val="16"/>
        <w:szCs w:val="20"/>
      </w:rPr>
      <w:t>14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E426E9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44D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7017" w14:textId="77777777" w:rsidR="00B10CC5" w:rsidRDefault="00B10CC5">
      <w:r>
        <w:separator/>
      </w:r>
    </w:p>
  </w:footnote>
  <w:footnote w:type="continuationSeparator" w:id="0">
    <w:p w14:paraId="6CF40749" w14:textId="77777777" w:rsidR="00B10CC5" w:rsidRDefault="00B1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9015" w14:textId="77777777" w:rsidR="00000000" w:rsidRDefault="00000000">
    <w:pPr>
      <w:pStyle w:val="Header"/>
    </w:pPr>
  </w:p>
  <w:p w14:paraId="22732E5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B66B" w14:textId="77777777" w:rsidR="00000000" w:rsidRDefault="00000000">
    <w:pPr>
      <w:pStyle w:val="Header"/>
    </w:pPr>
  </w:p>
  <w:p w14:paraId="06A90F5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2B0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5566406">
      <w:start w:val="1"/>
      <w:numFmt w:val="decimal"/>
      <w:lvlText w:val="%1."/>
      <w:lvlJc w:val="left"/>
      <w:pPr>
        <w:ind w:left="360" w:hanging="360"/>
      </w:pPr>
    </w:lvl>
    <w:lvl w:ilvl="1" w:tplc="C826113E" w:tentative="1">
      <w:start w:val="1"/>
      <w:numFmt w:val="lowerLetter"/>
      <w:lvlText w:val="%2."/>
      <w:lvlJc w:val="left"/>
      <w:pPr>
        <w:ind w:left="1080" w:hanging="360"/>
      </w:pPr>
    </w:lvl>
    <w:lvl w:ilvl="2" w:tplc="EBAE3756" w:tentative="1">
      <w:start w:val="1"/>
      <w:numFmt w:val="lowerRoman"/>
      <w:lvlText w:val="%3."/>
      <w:lvlJc w:val="right"/>
      <w:pPr>
        <w:ind w:left="1800" w:hanging="180"/>
      </w:pPr>
    </w:lvl>
    <w:lvl w:ilvl="3" w:tplc="5C6E4038" w:tentative="1">
      <w:start w:val="1"/>
      <w:numFmt w:val="decimal"/>
      <w:lvlText w:val="%4."/>
      <w:lvlJc w:val="left"/>
      <w:pPr>
        <w:ind w:left="2520" w:hanging="360"/>
      </w:pPr>
    </w:lvl>
    <w:lvl w:ilvl="4" w:tplc="1A8E1598" w:tentative="1">
      <w:start w:val="1"/>
      <w:numFmt w:val="lowerLetter"/>
      <w:lvlText w:val="%5."/>
      <w:lvlJc w:val="left"/>
      <w:pPr>
        <w:ind w:left="3240" w:hanging="360"/>
      </w:pPr>
    </w:lvl>
    <w:lvl w:ilvl="5" w:tplc="D7486262" w:tentative="1">
      <w:start w:val="1"/>
      <w:numFmt w:val="lowerRoman"/>
      <w:lvlText w:val="%6."/>
      <w:lvlJc w:val="right"/>
      <w:pPr>
        <w:ind w:left="3960" w:hanging="180"/>
      </w:pPr>
    </w:lvl>
    <w:lvl w:ilvl="6" w:tplc="CECAB12C" w:tentative="1">
      <w:start w:val="1"/>
      <w:numFmt w:val="decimal"/>
      <w:lvlText w:val="%7."/>
      <w:lvlJc w:val="left"/>
      <w:pPr>
        <w:ind w:left="4680" w:hanging="360"/>
      </w:pPr>
    </w:lvl>
    <w:lvl w:ilvl="7" w:tplc="77E2A82A" w:tentative="1">
      <w:start w:val="1"/>
      <w:numFmt w:val="lowerLetter"/>
      <w:lvlText w:val="%8."/>
      <w:lvlJc w:val="left"/>
      <w:pPr>
        <w:ind w:left="5400" w:hanging="360"/>
      </w:pPr>
    </w:lvl>
    <w:lvl w:ilvl="8" w:tplc="D53E4A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AB2EAEE">
      <w:start w:val="1"/>
      <w:numFmt w:val="bullet"/>
      <w:lvlText w:val=""/>
      <w:lvlJc w:val="left"/>
      <w:pPr>
        <w:ind w:left="720" w:hanging="360"/>
      </w:pPr>
      <w:rPr>
        <w:rFonts w:ascii="Symbol" w:hAnsi="Symbol" w:hint="default"/>
      </w:rPr>
    </w:lvl>
    <w:lvl w:ilvl="1" w:tplc="3B324A26" w:tentative="1">
      <w:start w:val="1"/>
      <w:numFmt w:val="bullet"/>
      <w:lvlText w:val="o"/>
      <w:lvlJc w:val="left"/>
      <w:pPr>
        <w:ind w:left="1440" w:hanging="360"/>
      </w:pPr>
      <w:rPr>
        <w:rFonts w:ascii="Courier New" w:hAnsi="Courier New" w:cs="Courier New" w:hint="default"/>
      </w:rPr>
    </w:lvl>
    <w:lvl w:ilvl="2" w:tplc="08EE0EDC" w:tentative="1">
      <w:start w:val="1"/>
      <w:numFmt w:val="bullet"/>
      <w:lvlText w:val=""/>
      <w:lvlJc w:val="left"/>
      <w:pPr>
        <w:ind w:left="2160" w:hanging="360"/>
      </w:pPr>
      <w:rPr>
        <w:rFonts w:ascii="Wingdings" w:hAnsi="Wingdings" w:hint="default"/>
      </w:rPr>
    </w:lvl>
    <w:lvl w:ilvl="3" w:tplc="94BEC2FE" w:tentative="1">
      <w:start w:val="1"/>
      <w:numFmt w:val="bullet"/>
      <w:lvlText w:val=""/>
      <w:lvlJc w:val="left"/>
      <w:pPr>
        <w:ind w:left="2880" w:hanging="360"/>
      </w:pPr>
      <w:rPr>
        <w:rFonts w:ascii="Symbol" w:hAnsi="Symbol" w:hint="default"/>
      </w:rPr>
    </w:lvl>
    <w:lvl w:ilvl="4" w:tplc="1D046644" w:tentative="1">
      <w:start w:val="1"/>
      <w:numFmt w:val="bullet"/>
      <w:lvlText w:val="o"/>
      <w:lvlJc w:val="left"/>
      <w:pPr>
        <w:ind w:left="3600" w:hanging="360"/>
      </w:pPr>
      <w:rPr>
        <w:rFonts w:ascii="Courier New" w:hAnsi="Courier New" w:cs="Courier New" w:hint="default"/>
      </w:rPr>
    </w:lvl>
    <w:lvl w:ilvl="5" w:tplc="A110521A" w:tentative="1">
      <w:start w:val="1"/>
      <w:numFmt w:val="bullet"/>
      <w:lvlText w:val=""/>
      <w:lvlJc w:val="left"/>
      <w:pPr>
        <w:ind w:left="4320" w:hanging="360"/>
      </w:pPr>
      <w:rPr>
        <w:rFonts w:ascii="Wingdings" w:hAnsi="Wingdings" w:hint="default"/>
      </w:rPr>
    </w:lvl>
    <w:lvl w:ilvl="6" w:tplc="07245204" w:tentative="1">
      <w:start w:val="1"/>
      <w:numFmt w:val="bullet"/>
      <w:lvlText w:val=""/>
      <w:lvlJc w:val="left"/>
      <w:pPr>
        <w:ind w:left="5040" w:hanging="360"/>
      </w:pPr>
      <w:rPr>
        <w:rFonts w:ascii="Symbol" w:hAnsi="Symbol" w:hint="default"/>
      </w:rPr>
    </w:lvl>
    <w:lvl w:ilvl="7" w:tplc="BDC0F0B4" w:tentative="1">
      <w:start w:val="1"/>
      <w:numFmt w:val="bullet"/>
      <w:lvlText w:val="o"/>
      <w:lvlJc w:val="left"/>
      <w:pPr>
        <w:ind w:left="5760" w:hanging="360"/>
      </w:pPr>
      <w:rPr>
        <w:rFonts w:ascii="Courier New" w:hAnsi="Courier New" w:cs="Courier New" w:hint="default"/>
      </w:rPr>
    </w:lvl>
    <w:lvl w:ilvl="8" w:tplc="E55EE99E" w:tentative="1">
      <w:start w:val="1"/>
      <w:numFmt w:val="bullet"/>
      <w:lvlText w:val=""/>
      <w:lvlJc w:val="left"/>
      <w:pPr>
        <w:ind w:left="6480" w:hanging="360"/>
      </w:pPr>
      <w:rPr>
        <w:rFonts w:ascii="Wingdings" w:hAnsi="Wingdings" w:hint="default"/>
      </w:rPr>
    </w:lvl>
  </w:abstractNum>
  <w:num w:numId="1" w16cid:durableId="683820894">
    <w:abstractNumId w:val="1"/>
  </w:num>
  <w:num w:numId="2" w16cid:durableId="154189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8B5"/>
    <w:rsid w:val="001A08B5"/>
    <w:rsid w:val="006245B8"/>
    <w:rsid w:val="0078754A"/>
    <w:rsid w:val="00B10C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17F2"/>
  <w15:docId w15:val="{B2B37BEF-13B5-4933-B3E2-CF67AB1F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13463</Words>
  <Characters>76743</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