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CC9A" w14:textId="77777777" w:rsidR="00000000" w:rsidRDefault="00000000">
      <w:pPr>
        <w:pStyle w:val="Heading1"/>
        <w:rPr>
          <w:rFonts w:cs="Arial"/>
        </w:rPr>
      </w:pPr>
      <w:bookmarkStart w:id="0" w:name="PRMS_RIName"/>
      <w:r>
        <w:rPr>
          <w:rFonts w:cs="Arial"/>
        </w:rPr>
        <w:t>Summerset Care Limited - Summerset At Bishopscourt</w:t>
      </w:r>
      <w:bookmarkEnd w:id="0"/>
    </w:p>
    <w:p w14:paraId="5FB625E1" w14:textId="77777777" w:rsidR="00000000" w:rsidRDefault="00000000">
      <w:pPr>
        <w:pStyle w:val="Heading2"/>
        <w:spacing w:after="0"/>
        <w:rPr>
          <w:rFonts w:cs="Arial"/>
        </w:rPr>
      </w:pPr>
      <w:r>
        <w:rPr>
          <w:rFonts w:cs="Arial"/>
        </w:rPr>
        <w:t>Introduction</w:t>
      </w:r>
    </w:p>
    <w:p w14:paraId="69D8253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417BDB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DD4F09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D1DA62C"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57CA200" w14:textId="77777777" w:rsidR="00000000" w:rsidRDefault="00000000">
      <w:pPr>
        <w:spacing w:before="240" w:after="240"/>
        <w:rPr>
          <w:rFonts w:cs="Arial"/>
          <w:lang w:eastAsia="en-NZ"/>
        </w:rPr>
      </w:pPr>
      <w:r>
        <w:rPr>
          <w:rFonts w:cs="Arial"/>
          <w:lang w:eastAsia="en-NZ"/>
        </w:rPr>
        <w:t>The specifics of this audit included:</w:t>
      </w:r>
    </w:p>
    <w:p w14:paraId="795FC6CB"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A5A500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Summerset Care Limited</w:t>
      </w:r>
      <w:bookmarkEnd w:id="4"/>
    </w:p>
    <w:p w14:paraId="25BE221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Summerset at Bishopscourt</w:t>
      </w:r>
      <w:bookmarkEnd w:id="5"/>
    </w:p>
    <w:p w14:paraId="0A2ED9F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426CE4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October 2025</w:t>
      </w:r>
      <w:bookmarkEnd w:id="7"/>
      <w:r w:rsidRPr="009418D4">
        <w:rPr>
          <w:rFonts w:cs="Arial"/>
        </w:rPr>
        <w:tab/>
        <w:t xml:space="preserve">End date: </w:t>
      </w:r>
      <w:bookmarkStart w:id="8" w:name="AuditEndDate"/>
      <w:r>
        <w:rPr>
          <w:rFonts w:cs="Arial"/>
        </w:rPr>
        <w:t>15 October 2025</w:t>
      </w:r>
      <w:bookmarkEnd w:id="8"/>
    </w:p>
    <w:p w14:paraId="6685C69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52006B0" w14:textId="77777777" w:rsidR="009E3EEB"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44</w:t>
      </w:r>
      <w:bookmarkEnd w:id="10"/>
    </w:p>
    <w:p w14:paraId="28AD6F7F"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209B21A6" w14:textId="77777777" w:rsidR="00000000" w:rsidRDefault="00000000">
      <w:pPr>
        <w:pStyle w:val="Heading1"/>
        <w:rPr>
          <w:rFonts w:cs="Arial"/>
        </w:rPr>
      </w:pPr>
      <w:r>
        <w:rPr>
          <w:rFonts w:cs="Arial"/>
        </w:rPr>
        <w:lastRenderedPageBreak/>
        <w:t>Executive summary of the audit</w:t>
      </w:r>
    </w:p>
    <w:p w14:paraId="7A668DDB" w14:textId="77777777" w:rsidR="00000000" w:rsidRDefault="00000000">
      <w:pPr>
        <w:pStyle w:val="Heading2"/>
        <w:rPr>
          <w:rFonts w:cs="Arial"/>
        </w:rPr>
      </w:pPr>
      <w:r>
        <w:rPr>
          <w:rFonts w:cs="Arial"/>
        </w:rPr>
        <w:t>Introduction</w:t>
      </w:r>
    </w:p>
    <w:p w14:paraId="4B5CFF5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9BDC03E"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F84F779"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B16947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C4AFD0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3D93D1F"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00AB0B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52A503F"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3554CB8"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9E3EEB" w14:paraId="00BC3CB8" w14:textId="77777777">
        <w:trPr>
          <w:cantSplit/>
          <w:tblHeader/>
        </w:trPr>
        <w:tc>
          <w:tcPr>
            <w:tcW w:w="1260" w:type="dxa"/>
            <w:tcBorders>
              <w:bottom w:val="single" w:sz="4" w:space="0" w:color="000000"/>
            </w:tcBorders>
            <w:vAlign w:val="center"/>
          </w:tcPr>
          <w:p w14:paraId="7A6CDB6C"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D2AC15D"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C48D265" w14:textId="77777777" w:rsidR="00000000" w:rsidRDefault="00000000">
            <w:pPr>
              <w:spacing w:before="60" w:after="60"/>
              <w:rPr>
                <w:rFonts w:eastAsia="Calibri"/>
                <w:b/>
                <w:szCs w:val="24"/>
              </w:rPr>
            </w:pPr>
            <w:r>
              <w:rPr>
                <w:rFonts w:eastAsia="Calibri"/>
                <w:b/>
                <w:szCs w:val="24"/>
              </w:rPr>
              <w:t>Definition</w:t>
            </w:r>
          </w:p>
        </w:tc>
      </w:tr>
      <w:tr w:rsidR="009E3EEB" w14:paraId="6CD4329A" w14:textId="77777777">
        <w:trPr>
          <w:cantSplit/>
          <w:trHeight w:val="964"/>
        </w:trPr>
        <w:tc>
          <w:tcPr>
            <w:tcW w:w="1260" w:type="dxa"/>
            <w:tcBorders>
              <w:bottom w:val="single" w:sz="4" w:space="0" w:color="000000"/>
            </w:tcBorders>
            <w:shd w:val="clear" w:color="0066FF" w:fill="0000FF"/>
            <w:vAlign w:val="center"/>
          </w:tcPr>
          <w:p w14:paraId="50721205"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32A25F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42FFDD28"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9E3EEB" w14:paraId="0AD24521" w14:textId="77777777">
        <w:trPr>
          <w:cantSplit/>
          <w:trHeight w:val="964"/>
        </w:trPr>
        <w:tc>
          <w:tcPr>
            <w:tcW w:w="1260" w:type="dxa"/>
            <w:shd w:val="clear" w:color="33CC33" w:fill="00FF00"/>
            <w:vAlign w:val="center"/>
          </w:tcPr>
          <w:p w14:paraId="23A62D71" w14:textId="77777777" w:rsidR="00000000" w:rsidRDefault="00000000">
            <w:pPr>
              <w:spacing w:before="60" w:after="60"/>
              <w:rPr>
                <w:rFonts w:eastAsia="Calibri"/>
                <w:szCs w:val="24"/>
              </w:rPr>
            </w:pPr>
          </w:p>
        </w:tc>
        <w:tc>
          <w:tcPr>
            <w:tcW w:w="7095" w:type="dxa"/>
            <w:vAlign w:val="center"/>
          </w:tcPr>
          <w:p w14:paraId="392A0651" w14:textId="77777777" w:rsidR="00000000" w:rsidRDefault="00000000">
            <w:pPr>
              <w:spacing w:before="60" w:after="60"/>
              <w:ind w:left="50"/>
              <w:rPr>
                <w:rFonts w:eastAsia="Calibri"/>
                <w:szCs w:val="24"/>
              </w:rPr>
            </w:pPr>
            <w:r>
              <w:rPr>
                <w:rFonts w:eastAsia="Calibri"/>
                <w:szCs w:val="24"/>
              </w:rPr>
              <w:t>No short falls</w:t>
            </w:r>
          </w:p>
        </w:tc>
        <w:tc>
          <w:tcPr>
            <w:tcW w:w="7096" w:type="dxa"/>
            <w:vAlign w:val="center"/>
          </w:tcPr>
          <w:p w14:paraId="1C412918"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9E3EEB" w14:paraId="5A195EAB" w14:textId="77777777">
        <w:trPr>
          <w:cantSplit/>
          <w:trHeight w:val="964"/>
        </w:trPr>
        <w:tc>
          <w:tcPr>
            <w:tcW w:w="1260" w:type="dxa"/>
            <w:tcBorders>
              <w:bottom w:val="single" w:sz="4" w:space="0" w:color="000000"/>
            </w:tcBorders>
            <w:shd w:val="clear" w:color="auto" w:fill="FFFF00"/>
            <w:vAlign w:val="center"/>
          </w:tcPr>
          <w:p w14:paraId="3FB2BA70" w14:textId="77777777" w:rsidR="00000000" w:rsidRDefault="00000000">
            <w:pPr>
              <w:spacing w:before="60" w:after="60"/>
              <w:rPr>
                <w:rFonts w:eastAsia="Calibri"/>
                <w:szCs w:val="24"/>
              </w:rPr>
            </w:pPr>
          </w:p>
        </w:tc>
        <w:tc>
          <w:tcPr>
            <w:tcW w:w="7095" w:type="dxa"/>
            <w:vAlign w:val="center"/>
          </w:tcPr>
          <w:p w14:paraId="46A71E0C"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14389784"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9E3EEB" w14:paraId="0EA6AB18" w14:textId="77777777">
        <w:trPr>
          <w:cantSplit/>
          <w:trHeight w:val="964"/>
        </w:trPr>
        <w:tc>
          <w:tcPr>
            <w:tcW w:w="1260" w:type="dxa"/>
            <w:tcBorders>
              <w:bottom w:val="single" w:sz="4" w:space="0" w:color="000000"/>
            </w:tcBorders>
            <w:shd w:val="clear" w:color="auto" w:fill="FFC800"/>
            <w:vAlign w:val="center"/>
          </w:tcPr>
          <w:p w14:paraId="1A51BD69" w14:textId="77777777" w:rsidR="00000000" w:rsidRDefault="00000000">
            <w:pPr>
              <w:spacing w:before="60" w:after="60"/>
              <w:rPr>
                <w:rFonts w:eastAsia="Calibri"/>
                <w:szCs w:val="24"/>
              </w:rPr>
            </w:pPr>
          </w:p>
        </w:tc>
        <w:tc>
          <w:tcPr>
            <w:tcW w:w="7095" w:type="dxa"/>
            <w:tcBorders>
              <w:bottom w:val="single" w:sz="4" w:space="0" w:color="000000"/>
            </w:tcBorders>
            <w:vAlign w:val="center"/>
          </w:tcPr>
          <w:p w14:paraId="4CDC1F37"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33A6520E"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9E3EEB" w14:paraId="4F0FAD5E" w14:textId="77777777">
        <w:trPr>
          <w:cantSplit/>
          <w:trHeight w:val="964"/>
        </w:trPr>
        <w:tc>
          <w:tcPr>
            <w:tcW w:w="1260" w:type="dxa"/>
            <w:shd w:val="clear" w:color="auto" w:fill="FF0000"/>
            <w:vAlign w:val="center"/>
          </w:tcPr>
          <w:p w14:paraId="2AFE808D" w14:textId="77777777" w:rsidR="00000000" w:rsidRDefault="00000000">
            <w:pPr>
              <w:spacing w:before="60" w:after="60"/>
              <w:rPr>
                <w:rFonts w:eastAsia="Calibri"/>
                <w:szCs w:val="24"/>
              </w:rPr>
            </w:pPr>
          </w:p>
        </w:tc>
        <w:tc>
          <w:tcPr>
            <w:tcW w:w="7095" w:type="dxa"/>
            <w:vAlign w:val="center"/>
          </w:tcPr>
          <w:p w14:paraId="009669F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56C83F9"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77AC02F" w14:textId="77777777" w:rsidR="00000000" w:rsidRDefault="00000000">
      <w:pPr>
        <w:pStyle w:val="Heading2"/>
        <w:spacing w:after="0"/>
        <w:rPr>
          <w:rFonts w:cs="Arial"/>
        </w:rPr>
      </w:pPr>
      <w:r>
        <w:rPr>
          <w:rFonts w:cs="Arial"/>
        </w:rPr>
        <w:t>General overview of the audit</w:t>
      </w:r>
    </w:p>
    <w:p w14:paraId="2B2BA2BE" w14:textId="77777777" w:rsidR="00000000" w:rsidRDefault="00000000">
      <w:pPr>
        <w:spacing w:before="240" w:line="276" w:lineRule="auto"/>
        <w:rPr>
          <w:rFonts w:eastAsia="Calibri"/>
        </w:rPr>
      </w:pPr>
      <w:bookmarkStart w:id="13" w:name="GeneralOverview"/>
      <w:r w:rsidRPr="00A4268A">
        <w:rPr>
          <w:rFonts w:eastAsia="Calibri"/>
        </w:rPr>
        <w:t xml:space="preserve">Summerset at Bishopscourt is certified to provide rest home and hospital (medical and geriatric) level care for up to 62 residents, including 20 rest home certified beds in the serviced apartments. There were 44 residents in total at the time of the audit, including two people in a serviced apartment. </w:t>
      </w:r>
    </w:p>
    <w:p w14:paraId="440F1A6E" w14:textId="77777777" w:rsidR="009E3EEB" w:rsidRPr="00A4268A" w:rsidRDefault="00000000">
      <w:pPr>
        <w:spacing w:before="240" w:line="276" w:lineRule="auto"/>
        <w:rPr>
          <w:rFonts w:eastAsia="Calibri"/>
        </w:rPr>
      </w:pPr>
      <w:r w:rsidRPr="00A4268A">
        <w:rPr>
          <w:rFonts w:eastAsia="Calibri"/>
        </w:rPr>
        <w:t xml:space="preserve">This unannounced surveillance audit was conducted against a subset of the Ngā Paerewa Health and Disability Standard 2021 and contracts with Health New Zealand. The audit process included the review of policies and procedures; the review of resident and staff files; observations; and interviews with residents, family/whānau, management, staff, and a general practitioner. </w:t>
      </w:r>
    </w:p>
    <w:p w14:paraId="1275CBC6" w14:textId="77777777" w:rsidR="009E3EEB" w:rsidRPr="00A4268A" w:rsidRDefault="00000000">
      <w:pPr>
        <w:spacing w:before="240" w:line="276" w:lineRule="auto"/>
        <w:rPr>
          <w:rFonts w:eastAsia="Calibri"/>
        </w:rPr>
      </w:pPr>
      <w:r w:rsidRPr="00A4268A">
        <w:rPr>
          <w:rFonts w:eastAsia="Calibri"/>
        </w:rPr>
        <w:t>The village manager is supported by a care centre manager, a clinical nurse lead, and regional quality manager. There are quality systems and processes being implemented. Feedback from residents and families/whānau was positive about the care and the services provided. An induction and in-service training programme is in place to provide staff with appropriate knowledge and skills to deliver care.</w:t>
      </w:r>
    </w:p>
    <w:p w14:paraId="4C172E4A" w14:textId="77777777" w:rsidR="009E3EEB" w:rsidRPr="00A4268A" w:rsidRDefault="00000000">
      <w:pPr>
        <w:spacing w:before="240" w:line="276" w:lineRule="auto"/>
        <w:rPr>
          <w:rFonts w:eastAsia="Calibri"/>
        </w:rPr>
      </w:pPr>
      <w:r w:rsidRPr="00A4268A">
        <w:rPr>
          <w:rFonts w:eastAsia="Calibri"/>
        </w:rPr>
        <w:t xml:space="preserve">There were no shortfalls from the previous audit. </w:t>
      </w:r>
    </w:p>
    <w:p w14:paraId="3057B20A" w14:textId="77777777" w:rsidR="009E3EEB" w:rsidRPr="00A4268A" w:rsidRDefault="00000000">
      <w:pPr>
        <w:spacing w:before="240" w:line="276" w:lineRule="auto"/>
        <w:rPr>
          <w:rFonts w:eastAsia="Calibri"/>
        </w:rPr>
      </w:pPr>
      <w:r w:rsidRPr="00A4268A">
        <w:rPr>
          <w:rFonts w:eastAsia="Calibri"/>
        </w:rPr>
        <w:t>This audit identified the service meets all the criteria identified at this surveillance audit.</w:t>
      </w:r>
    </w:p>
    <w:bookmarkEnd w:id="13"/>
    <w:p w14:paraId="2F55E55A" w14:textId="77777777" w:rsidR="009E3EEB" w:rsidRPr="00A4268A" w:rsidRDefault="009E3EEB">
      <w:pPr>
        <w:spacing w:before="240" w:line="276" w:lineRule="auto"/>
        <w:rPr>
          <w:rFonts w:eastAsia="Calibri"/>
        </w:rPr>
      </w:pPr>
    </w:p>
    <w:p w14:paraId="0D4C7E9F"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EEB" w14:paraId="2152F0F9" w14:textId="77777777" w:rsidTr="00A4268A">
        <w:trPr>
          <w:cantSplit/>
        </w:trPr>
        <w:tc>
          <w:tcPr>
            <w:tcW w:w="10206" w:type="dxa"/>
            <w:vAlign w:val="center"/>
          </w:tcPr>
          <w:p w14:paraId="4AA253D5"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5076E37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C00A12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F32F7A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5F3423F" w14:textId="77777777" w:rsidR="00000000" w:rsidRDefault="00000000">
      <w:pPr>
        <w:spacing w:before="240" w:line="276" w:lineRule="auto"/>
        <w:rPr>
          <w:rFonts w:eastAsia="Calibri"/>
        </w:rPr>
      </w:pPr>
      <w:bookmarkStart w:id="16" w:name="ConsumerRights"/>
      <w:r w:rsidRPr="00A4268A">
        <w:rPr>
          <w:rFonts w:eastAsia="Calibri"/>
        </w:rPr>
        <w:t>There is a Māori health plan in place for the organisation. Te Tiriti O Waitangi is embedded and enacted across policies, procedures, and delivery of care. The service recognises Māori mana motuhake, and this is reflected in the Māori health plan and business plan. A Pacific health plan is in place which ensures cultural safety for Pacific peoples, embracing their worldviews, cultural, and spiritual beliefs. Summerset at Bishopscourt demonstrates their knowledge and understanding of resident’s rights, and ensures that residents are well informed in respect of these. Residents are kept safe from abuse, and staff are aware of professional boundaries. There are established systems to facilitate informed consent and to protect resident’s property and finances. The complaints process is responsive, fair, and equitable. It is managed in accordance with the Health and Disability Commissioner’s Code of Health and Disability Services Consumers’ Rights, and complainants are kept fully informed.</w:t>
      </w:r>
    </w:p>
    <w:bookmarkEnd w:id="16"/>
    <w:p w14:paraId="604130CB" w14:textId="77777777" w:rsidR="009E3EEB" w:rsidRPr="00A4268A" w:rsidRDefault="009E3EEB">
      <w:pPr>
        <w:spacing w:before="240" w:line="276" w:lineRule="auto"/>
        <w:rPr>
          <w:rFonts w:eastAsia="Calibri"/>
        </w:rPr>
      </w:pPr>
    </w:p>
    <w:p w14:paraId="3FF9C7A5"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EEB" w14:paraId="1E7167D5" w14:textId="77777777" w:rsidTr="00A4268A">
        <w:trPr>
          <w:cantSplit/>
        </w:trPr>
        <w:tc>
          <w:tcPr>
            <w:tcW w:w="10206" w:type="dxa"/>
            <w:vAlign w:val="center"/>
          </w:tcPr>
          <w:p w14:paraId="6C6CCDF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5278D4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964788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7FA90940" w14:textId="77777777" w:rsidR="00000000" w:rsidRDefault="00000000">
      <w:pPr>
        <w:spacing w:before="240" w:line="276" w:lineRule="auto"/>
        <w:rPr>
          <w:rFonts w:eastAsia="Calibri"/>
        </w:rPr>
      </w:pPr>
      <w:bookmarkStart w:id="19" w:name="OrganisationalManagement"/>
      <w:r w:rsidRPr="00A4268A">
        <w:rPr>
          <w:rFonts w:eastAsia="Calibri"/>
        </w:rPr>
        <w:t xml:space="preserve">Summerset at Bishopscourt has a well-established and robust governance structure, including clinical governance that is appropriate to the size and complexity of the service provided. The business plan includes a mission statement and operational objectives which are regularly reviewed. Barriers to health equity are identified, addressed, and services delivered that improve outcomes for Māori. The service has effective quality and risk management systems in place that take a risk-based approach, and progress is regularly evaluated against quality outcomes. There is a process for following the National Adverse Event Reporting policy, and management have an understanding and comply with statutory and regulatory obligations in relation to essential </w:t>
      </w:r>
      <w:r w:rsidRPr="00A4268A">
        <w:rPr>
          <w:rFonts w:eastAsia="Calibri"/>
        </w:rPr>
        <w:lastRenderedPageBreak/>
        <w:t>notification reporting. There is a staffing and rostering policy. Human resources are managed in accordance with good employment practice. An orientation programme and staff training plan are in place to support staff in delivering safe quality care.</w:t>
      </w:r>
    </w:p>
    <w:bookmarkEnd w:id="19"/>
    <w:p w14:paraId="12D4E945" w14:textId="77777777" w:rsidR="009E3EEB" w:rsidRPr="00A4268A" w:rsidRDefault="009E3EEB">
      <w:pPr>
        <w:spacing w:before="240" w:line="276" w:lineRule="auto"/>
        <w:rPr>
          <w:rFonts w:eastAsia="Calibri"/>
        </w:rPr>
      </w:pPr>
    </w:p>
    <w:p w14:paraId="0D05A9D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EEB" w14:paraId="52B99C22" w14:textId="77777777" w:rsidTr="00A4268A">
        <w:trPr>
          <w:cantSplit/>
        </w:trPr>
        <w:tc>
          <w:tcPr>
            <w:tcW w:w="10206" w:type="dxa"/>
            <w:vAlign w:val="center"/>
          </w:tcPr>
          <w:p w14:paraId="2D51C30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4B2905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15771E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35A7AFCD"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 registered nurses assess, plan, and review residents' needs, outcomes, and goals with the resident and/or family/whānau input. Care plans demonstrate service integration. Resident files included medical notes by the contracted general practitioner, and visiting allied health professionals. All staff responsible for administration of medication complete medication competency. The electronic medicine charts reviewed were reviewed at least three-monthly by the general practitioner. The kitchen staff cater to individual cultural and dietary requirements. The service has a current food control plan. All residents’ transfers and referrals occur in a coordinated manner.</w:t>
      </w:r>
    </w:p>
    <w:bookmarkEnd w:id="22"/>
    <w:p w14:paraId="7D101114" w14:textId="77777777" w:rsidR="009E3EEB" w:rsidRPr="00A4268A" w:rsidRDefault="009E3EEB" w:rsidP="00621629">
      <w:pPr>
        <w:spacing w:before="240" w:line="276" w:lineRule="auto"/>
        <w:rPr>
          <w:rFonts w:eastAsia="Calibri"/>
        </w:rPr>
      </w:pPr>
    </w:p>
    <w:p w14:paraId="6C6C22A6"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EEB" w14:paraId="3F81195E" w14:textId="77777777" w:rsidTr="00A4268A">
        <w:trPr>
          <w:cantSplit/>
        </w:trPr>
        <w:tc>
          <w:tcPr>
            <w:tcW w:w="10206" w:type="dxa"/>
            <w:vAlign w:val="center"/>
          </w:tcPr>
          <w:p w14:paraId="0B7A3A3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B17DF7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E5AF4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56B7134C"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building warrant of fitness. Electrical equipment has been tested and tagged. All medical equipment has been serviced and calibrated.</w:t>
      </w:r>
    </w:p>
    <w:bookmarkEnd w:id="25"/>
    <w:p w14:paraId="486C36E1" w14:textId="77777777" w:rsidR="009E3EEB" w:rsidRPr="00A4268A" w:rsidRDefault="009E3EEB">
      <w:pPr>
        <w:spacing w:before="240" w:line="276" w:lineRule="auto"/>
        <w:rPr>
          <w:rFonts w:eastAsia="Calibri"/>
        </w:rPr>
      </w:pPr>
    </w:p>
    <w:p w14:paraId="7A8241A2"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EEB" w14:paraId="4DF5BC37" w14:textId="77777777" w:rsidTr="00A4268A">
        <w:trPr>
          <w:cantSplit/>
        </w:trPr>
        <w:tc>
          <w:tcPr>
            <w:tcW w:w="10206" w:type="dxa"/>
            <w:vAlign w:val="center"/>
          </w:tcPr>
          <w:p w14:paraId="721CD34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6E1DBCD"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31BA2A4E"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7426790"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All policies, procedures, the pandemic plan, and the infection control programme have been developed and approved at clinical governance level. Infection control education is provided to staff at the start of their employment, and as part of the annual education plan. Surveillance data is undertaken, including the use of standardised surveillance definitions, and ethnicity data. Infection incidents are collected and analysed for trends and the information used to identify opportunities for improvements. Benchmarking occurs. There have been three outbreaks recorded and reported on since the last audit. </w:t>
      </w:r>
    </w:p>
    <w:bookmarkEnd w:id="28"/>
    <w:p w14:paraId="798BFA7E" w14:textId="77777777" w:rsidR="009E3EEB" w:rsidRPr="00A4268A" w:rsidRDefault="009E3EEB">
      <w:pPr>
        <w:spacing w:before="240" w:line="276" w:lineRule="auto"/>
        <w:rPr>
          <w:rFonts w:eastAsia="Calibri"/>
        </w:rPr>
      </w:pPr>
    </w:p>
    <w:p w14:paraId="0A15A54B"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9E3EEB" w14:paraId="73E2FF6B" w14:textId="77777777" w:rsidTr="00A4268A">
        <w:trPr>
          <w:cantSplit/>
        </w:trPr>
        <w:tc>
          <w:tcPr>
            <w:tcW w:w="10206" w:type="dxa"/>
            <w:vAlign w:val="center"/>
          </w:tcPr>
          <w:p w14:paraId="7B72E8E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025E3B7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1C11C7"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666DB404"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documented to eliminate restraint in Summerset facilities. The service considers least restrictive practices, implementing de-escalation techniques and alternative interventions, and would only use an approved restraint as the last resort. At the time of the audit, there were two residents using restraint. Strategies to eliminate restraint are included as part of the education and training plan. </w:t>
      </w:r>
    </w:p>
    <w:bookmarkEnd w:id="31"/>
    <w:p w14:paraId="199FD8F1" w14:textId="77777777" w:rsidR="009E3EEB" w:rsidRPr="00A4268A" w:rsidRDefault="009E3EEB">
      <w:pPr>
        <w:spacing w:before="240" w:line="276" w:lineRule="auto"/>
        <w:rPr>
          <w:rFonts w:eastAsia="Calibri"/>
        </w:rPr>
      </w:pPr>
    </w:p>
    <w:p w14:paraId="24526713" w14:textId="77777777" w:rsidR="00000000" w:rsidRDefault="00000000" w:rsidP="000E6E02">
      <w:pPr>
        <w:pStyle w:val="Heading2"/>
        <w:spacing w:before="0"/>
        <w:rPr>
          <w:rFonts w:cs="Arial"/>
        </w:rPr>
      </w:pPr>
      <w:r>
        <w:rPr>
          <w:rFonts w:cs="Arial"/>
        </w:rPr>
        <w:lastRenderedPageBreak/>
        <w:t>Summary of attainment</w:t>
      </w:r>
    </w:p>
    <w:p w14:paraId="08490F5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9E3EEB" w14:paraId="1A1D72AE" w14:textId="77777777">
        <w:tc>
          <w:tcPr>
            <w:tcW w:w="1384" w:type="dxa"/>
            <w:vAlign w:val="center"/>
          </w:tcPr>
          <w:p w14:paraId="75DEEC86"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424C20D" w14:textId="77777777" w:rsidR="00000000" w:rsidRDefault="00000000">
            <w:pPr>
              <w:keepNext/>
              <w:spacing w:before="60" w:after="60"/>
              <w:jc w:val="center"/>
              <w:rPr>
                <w:rFonts w:cs="Arial"/>
                <w:b/>
                <w:sz w:val="20"/>
                <w:szCs w:val="20"/>
              </w:rPr>
            </w:pPr>
            <w:r>
              <w:rPr>
                <w:rFonts w:cs="Arial"/>
                <w:b/>
                <w:sz w:val="20"/>
                <w:szCs w:val="20"/>
              </w:rPr>
              <w:t>Continuous Improvement</w:t>
            </w:r>
          </w:p>
          <w:p w14:paraId="1135197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D1E61D7" w14:textId="77777777" w:rsidR="00000000" w:rsidRDefault="00000000">
            <w:pPr>
              <w:keepNext/>
              <w:spacing w:before="60" w:after="60"/>
              <w:jc w:val="center"/>
              <w:rPr>
                <w:rFonts w:cs="Arial"/>
                <w:b/>
                <w:sz w:val="20"/>
                <w:szCs w:val="20"/>
              </w:rPr>
            </w:pPr>
            <w:r>
              <w:rPr>
                <w:rFonts w:cs="Arial"/>
                <w:b/>
                <w:sz w:val="20"/>
                <w:szCs w:val="20"/>
              </w:rPr>
              <w:t>Fully Attained</w:t>
            </w:r>
          </w:p>
          <w:p w14:paraId="519C41C2"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293825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FFC662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0E6B2B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D62EF33"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77F2D6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4FD92E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EF94A4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6CA4A0D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2BB914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0C03E28" w14:textId="77777777" w:rsidR="00000000" w:rsidRDefault="00000000">
            <w:pPr>
              <w:keepNext/>
              <w:spacing w:before="60" w:after="60"/>
              <w:jc w:val="center"/>
              <w:rPr>
                <w:rFonts w:cs="Arial"/>
                <w:b/>
                <w:sz w:val="20"/>
                <w:szCs w:val="20"/>
              </w:rPr>
            </w:pPr>
            <w:r>
              <w:rPr>
                <w:rFonts w:cs="Arial"/>
                <w:b/>
                <w:sz w:val="20"/>
                <w:szCs w:val="20"/>
              </w:rPr>
              <w:t>(PA Critical)</w:t>
            </w:r>
          </w:p>
        </w:tc>
      </w:tr>
      <w:tr w:rsidR="009E3EEB" w14:paraId="2044BFC8" w14:textId="77777777">
        <w:tc>
          <w:tcPr>
            <w:tcW w:w="1384" w:type="dxa"/>
            <w:vAlign w:val="center"/>
          </w:tcPr>
          <w:p w14:paraId="76C5483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9703901"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14798BB"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22BB0EB5"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D30083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6B9589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F8779EE"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B5D95B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9E3EEB" w14:paraId="219280B3" w14:textId="77777777">
        <w:tc>
          <w:tcPr>
            <w:tcW w:w="1384" w:type="dxa"/>
            <w:vAlign w:val="center"/>
          </w:tcPr>
          <w:p w14:paraId="087E27A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AC352B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249CAD0"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43F6899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6408711E"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32E865E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899951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6F8CB0C"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C6017B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9E3EEB" w14:paraId="699B93F5" w14:textId="77777777">
        <w:tc>
          <w:tcPr>
            <w:tcW w:w="1384" w:type="dxa"/>
            <w:vAlign w:val="center"/>
          </w:tcPr>
          <w:p w14:paraId="5D7B76C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4890802" w14:textId="77777777" w:rsidR="00000000" w:rsidRDefault="00000000">
            <w:pPr>
              <w:keepNext/>
              <w:spacing w:before="60" w:after="60"/>
              <w:jc w:val="center"/>
              <w:rPr>
                <w:rFonts w:cs="Arial"/>
                <w:b/>
                <w:sz w:val="20"/>
                <w:szCs w:val="20"/>
              </w:rPr>
            </w:pPr>
            <w:r>
              <w:rPr>
                <w:rFonts w:cs="Arial"/>
                <w:b/>
                <w:sz w:val="20"/>
                <w:szCs w:val="20"/>
              </w:rPr>
              <w:t>Unattained Negligible Risk</w:t>
            </w:r>
          </w:p>
          <w:p w14:paraId="780532C1"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A7903E1" w14:textId="77777777" w:rsidR="00000000" w:rsidRDefault="00000000">
            <w:pPr>
              <w:keepNext/>
              <w:spacing w:before="60" w:after="60"/>
              <w:jc w:val="center"/>
              <w:rPr>
                <w:rFonts w:cs="Arial"/>
                <w:b/>
                <w:sz w:val="20"/>
                <w:szCs w:val="20"/>
              </w:rPr>
            </w:pPr>
            <w:r>
              <w:rPr>
                <w:rFonts w:cs="Arial"/>
                <w:b/>
                <w:sz w:val="20"/>
                <w:szCs w:val="20"/>
              </w:rPr>
              <w:t>Unattained Low Risk</w:t>
            </w:r>
          </w:p>
          <w:p w14:paraId="0F96D2FD"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828FE51" w14:textId="77777777" w:rsidR="00000000" w:rsidRDefault="00000000">
            <w:pPr>
              <w:keepNext/>
              <w:spacing w:before="60" w:after="60"/>
              <w:jc w:val="center"/>
              <w:rPr>
                <w:rFonts w:cs="Arial"/>
                <w:b/>
                <w:sz w:val="20"/>
                <w:szCs w:val="20"/>
              </w:rPr>
            </w:pPr>
            <w:r>
              <w:rPr>
                <w:rFonts w:cs="Arial"/>
                <w:b/>
                <w:sz w:val="20"/>
                <w:szCs w:val="20"/>
              </w:rPr>
              <w:t>Unattained Moderate Risk</w:t>
            </w:r>
          </w:p>
          <w:p w14:paraId="47B12B1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2CDE325" w14:textId="77777777" w:rsidR="00000000" w:rsidRDefault="00000000">
            <w:pPr>
              <w:keepNext/>
              <w:spacing w:before="60" w:after="60"/>
              <w:jc w:val="center"/>
              <w:rPr>
                <w:rFonts w:cs="Arial"/>
                <w:b/>
                <w:sz w:val="20"/>
                <w:szCs w:val="20"/>
              </w:rPr>
            </w:pPr>
            <w:r>
              <w:rPr>
                <w:rFonts w:cs="Arial"/>
                <w:b/>
                <w:sz w:val="20"/>
                <w:szCs w:val="20"/>
              </w:rPr>
              <w:t>Unattained High Risk</w:t>
            </w:r>
          </w:p>
          <w:p w14:paraId="5F8FF69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0F37A96" w14:textId="77777777" w:rsidR="00000000" w:rsidRDefault="00000000">
            <w:pPr>
              <w:keepNext/>
              <w:spacing w:before="60" w:after="60"/>
              <w:jc w:val="center"/>
              <w:rPr>
                <w:rFonts w:cs="Arial"/>
                <w:b/>
                <w:sz w:val="20"/>
                <w:szCs w:val="20"/>
              </w:rPr>
            </w:pPr>
            <w:r>
              <w:rPr>
                <w:rFonts w:cs="Arial"/>
                <w:b/>
                <w:sz w:val="20"/>
                <w:szCs w:val="20"/>
              </w:rPr>
              <w:t>Unattained Critical Risk</w:t>
            </w:r>
          </w:p>
          <w:p w14:paraId="07B298C6" w14:textId="77777777" w:rsidR="00000000" w:rsidRDefault="00000000">
            <w:pPr>
              <w:keepNext/>
              <w:spacing w:before="60" w:after="60"/>
              <w:jc w:val="center"/>
              <w:rPr>
                <w:rFonts w:cs="Arial"/>
                <w:b/>
                <w:sz w:val="20"/>
                <w:szCs w:val="20"/>
              </w:rPr>
            </w:pPr>
            <w:r>
              <w:rPr>
                <w:rFonts w:cs="Arial"/>
                <w:b/>
                <w:sz w:val="20"/>
                <w:szCs w:val="20"/>
              </w:rPr>
              <w:t>(UA Critical)</w:t>
            </w:r>
          </w:p>
        </w:tc>
      </w:tr>
      <w:tr w:rsidR="009E3EEB" w14:paraId="669B9E79" w14:textId="77777777">
        <w:tc>
          <w:tcPr>
            <w:tcW w:w="1384" w:type="dxa"/>
            <w:vAlign w:val="center"/>
          </w:tcPr>
          <w:p w14:paraId="1088086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DB72E8F"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782074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5F0FA2"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3E77A9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256CA4C"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9E3EEB" w14:paraId="1F9CF6D7" w14:textId="77777777">
        <w:tc>
          <w:tcPr>
            <w:tcW w:w="1384" w:type="dxa"/>
            <w:vAlign w:val="center"/>
          </w:tcPr>
          <w:p w14:paraId="7B1B7221"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6F64496"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0B21E37"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C3DD0C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7FA0B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D444877"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3B6686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7CF15A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E7E54E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F8CD6D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5"/>
        <w:gridCol w:w="1367"/>
        <w:gridCol w:w="7006"/>
      </w:tblGrid>
      <w:tr w:rsidR="009E3EEB" w14:paraId="7246B0E4" w14:textId="77777777">
        <w:tc>
          <w:tcPr>
            <w:tcW w:w="0" w:type="auto"/>
          </w:tcPr>
          <w:p w14:paraId="791B18F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F9AEA7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522C75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9E3EEB" w14:paraId="0D4EDAAE" w14:textId="77777777">
        <w:tc>
          <w:tcPr>
            <w:tcW w:w="0" w:type="auto"/>
          </w:tcPr>
          <w:p w14:paraId="1CFD1BE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525521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3CB84B6" w14:textId="77777777" w:rsidR="00000000" w:rsidRPr="00BE00C7" w:rsidRDefault="00000000" w:rsidP="00BE00C7">
            <w:pPr>
              <w:pStyle w:val="OutcomeDescription"/>
              <w:spacing w:before="120" w:after="120"/>
              <w:rPr>
                <w:rFonts w:cs="Arial"/>
                <w:lang w:eastAsia="en-NZ"/>
              </w:rPr>
            </w:pPr>
          </w:p>
        </w:tc>
        <w:tc>
          <w:tcPr>
            <w:tcW w:w="0" w:type="auto"/>
          </w:tcPr>
          <w:p w14:paraId="61AF2F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AE00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which Summerset at Bishopscourt utilise as part of their strategy to embed and enact Te Tiriti o Waitangi in all aspects of service delivery. The service recognises Māori mana motuhake and this is reflected in the Māori health plan. At the time of the audit the service had no residents who identified as Māori. There were staff who identified as Māori. </w:t>
            </w:r>
          </w:p>
          <w:p w14:paraId="6666B587" w14:textId="77777777" w:rsidR="00000000" w:rsidRPr="00BE00C7" w:rsidRDefault="00000000" w:rsidP="00BE00C7">
            <w:pPr>
              <w:pStyle w:val="OutcomeDescription"/>
              <w:spacing w:before="120" w:after="120"/>
              <w:rPr>
                <w:rFonts w:cs="Arial"/>
                <w:lang w:eastAsia="en-NZ"/>
              </w:rPr>
            </w:pPr>
          </w:p>
        </w:tc>
      </w:tr>
      <w:tr w:rsidR="009E3EEB" w14:paraId="2C53B21A" w14:textId="77777777">
        <w:tc>
          <w:tcPr>
            <w:tcW w:w="0" w:type="auto"/>
          </w:tcPr>
          <w:p w14:paraId="252808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BDACE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42A05FD" w14:textId="77777777" w:rsidR="00000000" w:rsidRPr="00BE00C7" w:rsidRDefault="00000000" w:rsidP="00BE00C7">
            <w:pPr>
              <w:pStyle w:val="OutcomeDescription"/>
              <w:spacing w:before="120" w:after="120"/>
              <w:rPr>
                <w:rFonts w:cs="Arial"/>
                <w:lang w:eastAsia="en-NZ"/>
              </w:rPr>
            </w:pPr>
          </w:p>
        </w:tc>
        <w:tc>
          <w:tcPr>
            <w:tcW w:w="0" w:type="auto"/>
          </w:tcPr>
          <w:p w14:paraId="3B34B1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96A9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and Wellbeing Plan 2020-2025 is the basis of the Summerset Pacific Peoples’ Health policy and procedure. The aim is to uphold the principles of Pacific people by acknowledging respectful relationships, valuing families, and providing high quality healthcare. At the time of the audit there were no staff or residents who identified as Pasifika. Nine staff interviewed (three caregivers, one kaitiaki, two registered nurses, one clinical nurse lead, one care centre administrator, one chef manager) could confirm that they had received training related to cultural safety, which informed them about Pacific peoples, their worldviews, cultural and spiritual beliefs and were equipped with knowledge on how to support residents who identify as Pasifika, should they be admitted. </w:t>
            </w:r>
          </w:p>
          <w:p w14:paraId="01E79535" w14:textId="77777777" w:rsidR="00000000" w:rsidRPr="00BE00C7" w:rsidRDefault="00000000" w:rsidP="00BE00C7">
            <w:pPr>
              <w:pStyle w:val="OutcomeDescription"/>
              <w:spacing w:before="120" w:after="120"/>
              <w:rPr>
                <w:rFonts w:cs="Arial"/>
                <w:lang w:eastAsia="en-NZ"/>
              </w:rPr>
            </w:pPr>
          </w:p>
        </w:tc>
      </w:tr>
      <w:tr w:rsidR="009E3EEB" w14:paraId="27EB5D2C" w14:textId="77777777">
        <w:tc>
          <w:tcPr>
            <w:tcW w:w="0" w:type="auto"/>
          </w:tcPr>
          <w:p w14:paraId="21E44A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E0A93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06C3936E" w14:textId="77777777" w:rsidR="00000000" w:rsidRPr="00BE00C7" w:rsidRDefault="00000000" w:rsidP="00BE00C7">
            <w:pPr>
              <w:pStyle w:val="OutcomeDescription"/>
              <w:spacing w:before="120" w:after="120"/>
              <w:rPr>
                <w:rFonts w:cs="Arial"/>
                <w:lang w:eastAsia="en-NZ"/>
              </w:rPr>
            </w:pPr>
          </w:p>
        </w:tc>
        <w:tc>
          <w:tcPr>
            <w:tcW w:w="0" w:type="auto"/>
          </w:tcPr>
          <w:p w14:paraId="17FB8B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150B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care centre manager and clinical nurse lead (interviewed) demonstrated how it is also provided within welcome packs in the language most appropriate for the resident, to ensure they are fully informed of their rights. Interviews with three family/whānau (one rest home, two hospital) and three residents (one rest home and two hospital level of care), confirmed they are informed of their rights and their choices are respected.</w:t>
            </w:r>
          </w:p>
          <w:p w14:paraId="4A75E552" w14:textId="77777777" w:rsidR="00000000" w:rsidRPr="00BE00C7" w:rsidRDefault="00000000" w:rsidP="00BE00C7">
            <w:pPr>
              <w:pStyle w:val="OutcomeDescription"/>
              <w:spacing w:before="120" w:after="120"/>
              <w:rPr>
                <w:rFonts w:cs="Arial"/>
                <w:lang w:eastAsia="en-NZ"/>
              </w:rPr>
            </w:pPr>
          </w:p>
        </w:tc>
      </w:tr>
      <w:tr w:rsidR="009E3EEB" w14:paraId="45D6CED9" w14:textId="77777777">
        <w:tc>
          <w:tcPr>
            <w:tcW w:w="0" w:type="auto"/>
          </w:tcPr>
          <w:p w14:paraId="0B6227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4F8F03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C9261DC" w14:textId="77777777" w:rsidR="00000000" w:rsidRPr="00BE00C7" w:rsidRDefault="00000000" w:rsidP="00BE00C7">
            <w:pPr>
              <w:pStyle w:val="OutcomeDescription"/>
              <w:spacing w:before="120" w:after="120"/>
              <w:rPr>
                <w:rFonts w:cs="Arial"/>
                <w:lang w:eastAsia="en-NZ"/>
              </w:rPr>
            </w:pPr>
          </w:p>
        </w:tc>
        <w:tc>
          <w:tcPr>
            <w:tcW w:w="0" w:type="auto"/>
          </w:tcPr>
          <w:p w14:paraId="56C115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575564" w14:textId="77777777" w:rsidR="00000000" w:rsidRPr="00BE00C7" w:rsidRDefault="00000000" w:rsidP="00BE00C7">
            <w:pPr>
              <w:pStyle w:val="OutcomeDescription"/>
              <w:spacing w:before="120" w:after="120"/>
              <w:rPr>
                <w:rFonts w:cs="Arial"/>
                <w:lang w:eastAsia="en-NZ"/>
              </w:rPr>
            </w:pPr>
            <w:r w:rsidRPr="00BE00C7">
              <w:rPr>
                <w:rFonts w:cs="Arial"/>
                <w:lang w:eastAsia="en-NZ"/>
              </w:rPr>
              <w:t>Summerset at Bishopscourt policies aim to prevent any form of discrimination and acknowledge the impact of institutional racism on Māori wellbeing. There are established policies and protocols to respect resident’s property, including an established process to manage and protect resident finances. All staff at Summerset at Bishopscourt are trained in and aware of professional boundaries, as evidenced in orientation documents and ongoing education records. Staff demonstrated an understanding of professional boundaries when interviewed.</w:t>
            </w:r>
          </w:p>
          <w:p w14:paraId="5973AD93" w14:textId="77777777" w:rsidR="00000000" w:rsidRPr="00BE00C7" w:rsidRDefault="00000000" w:rsidP="00BE00C7">
            <w:pPr>
              <w:pStyle w:val="OutcomeDescription"/>
              <w:spacing w:before="120" w:after="120"/>
              <w:rPr>
                <w:rFonts w:cs="Arial"/>
                <w:lang w:eastAsia="en-NZ"/>
              </w:rPr>
            </w:pPr>
          </w:p>
        </w:tc>
      </w:tr>
      <w:tr w:rsidR="009E3EEB" w14:paraId="06DD5859" w14:textId="77777777">
        <w:tc>
          <w:tcPr>
            <w:tcW w:w="0" w:type="auto"/>
          </w:tcPr>
          <w:p w14:paraId="5CCA2A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52D24D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informed decisions in accordance with their rights </w:t>
            </w:r>
            <w:r w:rsidRPr="00BE00C7">
              <w:rPr>
                <w:rFonts w:cs="Arial"/>
                <w:lang w:eastAsia="en-NZ"/>
              </w:rPr>
              <w:lastRenderedPageBreak/>
              <w:t>and their ability to exercise independence, choice, and control.</w:t>
            </w:r>
          </w:p>
          <w:p w14:paraId="68F37692" w14:textId="77777777" w:rsidR="00000000" w:rsidRPr="00BE00C7" w:rsidRDefault="00000000" w:rsidP="00BE00C7">
            <w:pPr>
              <w:pStyle w:val="OutcomeDescription"/>
              <w:spacing w:before="120" w:after="120"/>
              <w:rPr>
                <w:rFonts w:cs="Arial"/>
                <w:lang w:eastAsia="en-NZ"/>
              </w:rPr>
            </w:pPr>
          </w:p>
        </w:tc>
        <w:tc>
          <w:tcPr>
            <w:tcW w:w="0" w:type="auto"/>
          </w:tcPr>
          <w:p w14:paraId="5F18A7C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FE9C7A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reviewed included completed general consent forms, consents for vaccinations, release of photographs, and the use of comfort funds. Residents and family/whānau interviewed could describe what informed consent was, and knew they had the right to choose. Consent forms were appropriately signed by the activated enduring power of attorney (EPOA), where this has been activated. All documentation regarding EPOA, and activation is on file.</w:t>
            </w:r>
          </w:p>
          <w:p w14:paraId="569E02C6" w14:textId="77777777" w:rsidR="00000000" w:rsidRPr="00BE00C7" w:rsidRDefault="00000000" w:rsidP="00BE00C7">
            <w:pPr>
              <w:pStyle w:val="OutcomeDescription"/>
              <w:spacing w:before="120" w:after="120"/>
              <w:rPr>
                <w:rFonts w:cs="Arial"/>
                <w:lang w:eastAsia="en-NZ"/>
              </w:rPr>
            </w:pPr>
          </w:p>
        </w:tc>
      </w:tr>
      <w:tr w:rsidR="009E3EEB" w14:paraId="72E7C7FC" w14:textId="77777777">
        <w:tc>
          <w:tcPr>
            <w:tcW w:w="0" w:type="auto"/>
          </w:tcPr>
          <w:p w14:paraId="74930FD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8D2BB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7772507" w14:textId="77777777" w:rsidR="00000000" w:rsidRPr="00BE00C7" w:rsidRDefault="00000000" w:rsidP="00BE00C7">
            <w:pPr>
              <w:pStyle w:val="OutcomeDescription"/>
              <w:spacing w:before="120" w:after="120"/>
              <w:rPr>
                <w:rFonts w:cs="Arial"/>
                <w:lang w:eastAsia="en-NZ"/>
              </w:rPr>
            </w:pPr>
          </w:p>
        </w:tc>
        <w:tc>
          <w:tcPr>
            <w:tcW w:w="0" w:type="auto"/>
          </w:tcPr>
          <w:p w14:paraId="10D4726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36CD9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provided to residents and family/whānau during the resident’s entry to the service. Access to complaints forms is located at the entrance to the facility, or on request from staff. The Code of Health and Disability Services Consumers’ Rights and complaints process is visible, and available in te reo Māori, and English. A complaints register is being maintained, which includes all complaints, dates, and actions taken. The has been eight internal complaints received since last audit in March 2024 (five in 2024 and three in 2025 year to date). Documentation including follow-up letters and resolution demonstrates that complaints are being managed in accordance with guidelines set by the Health and Disability Commissioner. There have been no external complaints. </w:t>
            </w:r>
          </w:p>
          <w:p w14:paraId="6E79D55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or family/whānau making a complaint can involve an independent support person in the process if they choose. The complaints process is linked to advocacy services. Discussions with residents and family/whānau confirmed that they were provided with information on the complaints process and remarked that any concerns or issues they had, were addressed promptly. Information about the support resources for Māori is available to staff to assist Māori in the complaints process. Interpreters contact details are available. The care centre manager acknowledged their understanding that for Māori, there is a preference for face-to-face communication and to include whānau participation.</w:t>
            </w:r>
          </w:p>
          <w:p w14:paraId="52FA99B6" w14:textId="77777777" w:rsidR="00000000" w:rsidRPr="00BE00C7" w:rsidRDefault="00000000" w:rsidP="00BE00C7">
            <w:pPr>
              <w:pStyle w:val="OutcomeDescription"/>
              <w:spacing w:before="120" w:after="120"/>
              <w:rPr>
                <w:rFonts w:cs="Arial"/>
                <w:lang w:eastAsia="en-NZ"/>
              </w:rPr>
            </w:pPr>
          </w:p>
        </w:tc>
      </w:tr>
      <w:tr w:rsidR="009E3EEB" w14:paraId="22B7C725" w14:textId="77777777">
        <w:tc>
          <w:tcPr>
            <w:tcW w:w="0" w:type="auto"/>
          </w:tcPr>
          <w:p w14:paraId="40F00BD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402927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w:t>
            </w:r>
            <w:r w:rsidRPr="00BE00C7">
              <w:rPr>
                <w:rFonts w:cs="Arial"/>
                <w:lang w:eastAsia="en-NZ"/>
              </w:rPr>
              <w:lastRenderedPageBreak/>
              <w:t>for delivering a highquality service that is responsive, inclusive, and sensitive to the cultural diversity of communities we serve.</w:t>
            </w:r>
          </w:p>
          <w:p w14:paraId="01B9BFE4" w14:textId="77777777" w:rsidR="00000000" w:rsidRPr="00BE00C7" w:rsidRDefault="00000000" w:rsidP="00BE00C7">
            <w:pPr>
              <w:pStyle w:val="OutcomeDescription"/>
              <w:spacing w:before="120" w:after="120"/>
              <w:rPr>
                <w:rFonts w:cs="Arial"/>
                <w:lang w:eastAsia="en-NZ"/>
              </w:rPr>
            </w:pPr>
          </w:p>
        </w:tc>
        <w:tc>
          <w:tcPr>
            <w:tcW w:w="0" w:type="auto"/>
          </w:tcPr>
          <w:p w14:paraId="4E034D7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BECA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Bishopscourt is certified to provide rest home and hospital (medical and geriatric) levels of care for up to 42 residents in the care centre. In addition, there are 20 beds on the ground floor serviced apartments certified for rest home level of care. The rooms in the care centre are dual-purpose; approved for both rest home and hospital level of care. On the day of the audit there were 44 residents in total: 14 rest home level and 28 hospital level, including one resident on a respite care contract, and two rest home level residents in the serviced apartments. All residents </w:t>
            </w:r>
            <w:r w:rsidRPr="00BE00C7">
              <w:rPr>
                <w:rFonts w:cs="Arial"/>
                <w:lang w:eastAsia="en-NZ"/>
              </w:rPr>
              <w:lastRenderedPageBreak/>
              <w:t>were on the age-related residential care agreement (ARRC). There were no double/shared rooms.</w:t>
            </w:r>
          </w:p>
          <w:p w14:paraId="055A82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for Summerset is the national clinical review committee, who meet monthly and chaired by Summerset’s general manager of clinical services. The general manager of clinical services (chair of the group) reports to the chief operating officer. The general manager of clinical services works with the chief operating officer and Summerset’s CEO to ensure the necessary resources, systems and processes are in place that support effective governance. These include operations, care/service standards and outcomes, mitigation of risks, and a focus on continuous quality improvement.</w:t>
            </w:r>
          </w:p>
          <w:p w14:paraId="7C49AB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overarching strategic business plan in place for the company, with national goals. The strategic plan reflects a leadership commitment to collaborate with Māori, aligns with the Ministry of Health strategies, and addresses barriers to equitable service delivery. Summerset at Bishopscourt has a site-specific business plan 2025 that includes goals which relate to clinical effectiveness, risk management, and financial compliance. The 2024 goals have been evaluated and completed. The village manager and care centre manager complete quarterly progress reports toward these goals. </w:t>
            </w:r>
          </w:p>
          <w:p w14:paraId="314207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national clinical review committee (governance body) is responsible for setting strategy, risk, monitoring and reporting, culture and capability, and engagement. The governance body is involved in the quality and risk management system, through reports to the Board around clinical risk, and other areas of risk across the Group. They also support each site around emergency planning and service continuity planning. The organisation benchmarks quality data internally and with other New Zealand aged care providers. There are regional quality managers who support the on-site clinical team with education, trend review, clinical risk support, and management.</w:t>
            </w:r>
          </w:p>
          <w:p w14:paraId="4D200B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 changes in the management team since the last audit. The overall management is provided by a village manager, who has been in the role for 12 years. The village manager is supported by a care centre manager, who has been in the role for two and a half years, supported by a care centre administrator who has worked in the role for two years at Summerset at Bishopscourt. The management team is supported by a team of registered nurses and caregivers. </w:t>
            </w:r>
          </w:p>
          <w:p w14:paraId="615C0850" w14:textId="77777777" w:rsidR="00000000" w:rsidRPr="00BE00C7" w:rsidRDefault="00000000" w:rsidP="00BE00C7">
            <w:pPr>
              <w:pStyle w:val="OutcomeDescription"/>
              <w:spacing w:before="120" w:after="120"/>
              <w:rPr>
                <w:rFonts w:cs="Arial"/>
                <w:lang w:eastAsia="en-NZ"/>
              </w:rPr>
            </w:pPr>
          </w:p>
        </w:tc>
      </w:tr>
      <w:tr w:rsidR="009E3EEB" w14:paraId="6EE366EB" w14:textId="77777777">
        <w:tc>
          <w:tcPr>
            <w:tcW w:w="0" w:type="auto"/>
          </w:tcPr>
          <w:p w14:paraId="7F5FA75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3A47B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817E47E" w14:textId="77777777" w:rsidR="00000000" w:rsidRPr="00BE00C7" w:rsidRDefault="00000000" w:rsidP="00BE00C7">
            <w:pPr>
              <w:pStyle w:val="OutcomeDescription"/>
              <w:spacing w:before="120" w:after="120"/>
              <w:rPr>
                <w:rFonts w:cs="Arial"/>
                <w:lang w:eastAsia="en-NZ"/>
              </w:rPr>
            </w:pPr>
          </w:p>
        </w:tc>
        <w:tc>
          <w:tcPr>
            <w:tcW w:w="0" w:type="auto"/>
          </w:tcPr>
          <w:p w14:paraId="37A584C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3E27E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Summerset at Bishopscourt is implementing a quality and risk management programme. The quality and risk management systems include performance monitoring through internal audits and through the collection of clinical indicator data. Monthly quality improvement meetings, registered nurse/clinical, and staff meetings provide an avenue for discussions in relation to (but not limited to) quality goals (key priorities); quality data; health and safety; infection control/pandemic strategies; complaints received (if any); cultural compliance; staffing; and education. Internal audits, meetings and collation of data were documented as taking place, and corrective actions are always discussed and signed off when completed. Quality data and trends in data are posted on a noticeboard in staff areas. </w:t>
            </w:r>
          </w:p>
          <w:p w14:paraId="031A3E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and family/whānau satisfaction survey was completed in March 2025 for Summerset at Bishopscourt and evidenced an overall satisfaction of 75%, which improved from the previous year (71%). Corrective actions have been implemented around food choice and variety. Results have been communicated to residents and family/whānau through the newsletter and at the residents monthly meetings. A health and safety system is in place. There is a health and safety committee that meets monthly. Hazard identification forms are completed electronically, and an up-to-date hazard and risk register was reviewed. Electronic reports are completed for each incident/accident and immediate action is documented with any follow-up action(s) required, as evidenced in the sample of accident/incident forms reviewed. Results are discussed in the health and safety, quality improvement and staff meetings, and at handover. Incident and accident data is collated monthly and analysed. Benchmarking occurs.</w:t>
            </w:r>
          </w:p>
          <w:p w14:paraId="20C9444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centre manager evidenced awareness of their requirement to notify relevant authorities in relation to essential notifications. There have been two Section 31 and nine Severity Assessment Code (SAC) notifications to Health Quality and Safety Commission (HQSC) reported since the last audit. There have been three outbreaks since the previous audit. All outbreaks were well managed and reported appropriately.</w:t>
            </w:r>
          </w:p>
          <w:p w14:paraId="644CBC5F" w14:textId="77777777" w:rsidR="00000000" w:rsidRPr="00BE00C7" w:rsidRDefault="00000000" w:rsidP="00BE00C7">
            <w:pPr>
              <w:pStyle w:val="OutcomeDescription"/>
              <w:spacing w:before="120" w:after="120"/>
              <w:rPr>
                <w:rFonts w:cs="Arial"/>
                <w:lang w:eastAsia="en-NZ"/>
              </w:rPr>
            </w:pPr>
          </w:p>
        </w:tc>
      </w:tr>
      <w:tr w:rsidR="009E3EEB" w14:paraId="4ADDE504" w14:textId="77777777">
        <w:tc>
          <w:tcPr>
            <w:tcW w:w="0" w:type="auto"/>
          </w:tcPr>
          <w:p w14:paraId="24F0407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2FE672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6D47399" w14:textId="77777777" w:rsidR="00000000" w:rsidRPr="00BE00C7" w:rsidRDefault="00000000" w:rsidP="00BE00C7">
            <w:pPr>
              <w:pStyle w:val="OutcomeDescription"/>
              <w:spacing w:before="120" w:after="120"/>
              <w:rPr>
                <w:rFonts w:cs="Arial"/>
                <w:lang w:eastAsia="en-NZ"/>
              </w:rPr>
            </w:pPr>
          </w:p>
        </w:tc>
        <w:tc>
          <w:tcPr>
            <w:tcW w:w="0" w:type="auto"/>
          </w:tcPr>
          <w:p w14:paraId="0F638B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8EE5B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roster provides sufficient and appropriate coverage for the effective delivery of care and support. The village manager and care centre manager </w:t>
            </w:r>
            <w:r w:rsidRPr="00BE00C7">
              <w:rPr>
                <w:rFonts w:cs="Arial"/>
                <w:lang w:eastAsia="en-NZ"/>
              </w:rPr>
              <w:lastRenderedPageBreak/>
              <w:t xml:space="preserve">all work full time from Monday to Friday. The clinical nurse lead works Tuesdays to Saturdays. On-call support for clinical concerns is managed by the care centre manager and clinical nurse lead (in the absence of the care centre manager). The village manage is on call for any operational related issues with the support from the property manager. Any absences and sick leave are covered through extending working hours by mutual agreement with employees, or use of the casual pool of staff. The number of caregivers on each shift is sufficient for the acuity and layout of the facility, to provide safe and timely care on all shifts. Residents interviewed confirmed their care requirements are attended to in a timely manner. There is also a kaitiaki rostered on each day to assist with meals, fluids, one on one activities, van outings, and exercises. </w:t>
            </w:r>
          </w:p>
          <w:p w14:paraId="6B456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caregivers allocated to the rest home residents in the serviced apartments, and call bells are escalated to the care centre overnight.</w:t>
            </w:r>
          </w:p>
          <w:p w14:paraId="60137C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being implemented for 2025. The education and training schedule lists compulsory training, which includes cultural awareness training. Staff complete electronic cultural awareness training at orientation and annually. External training opportunities for care staff include training through Health New Zealand and hospice. Summerset at Bishopscourt supports all employees to transition through the New Zealand Qualification Authority (NZQA) Careerforce Certificate for Health and Wellbeing. There are 30 caregivers employed, with 19 having achieved a level 3 NZQA qualification or higher. </w:t>
            </w:r>
          </w:p>
          <w:p w14:paraId="668BF0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national learning and development team that support staff with online training resources. All staff are required to complete competency assessments as part of their orientation and annually. Registered nurses’ complete specific competencies that include restraint, medication administration, wound care, syringe driver, and interRAI assessment competency. Seven of eight registered nurses are interRAI trained. All registered nurses are encouraged to attend in-service training, and complete additional training, including critical thinking; infection prevention and control, including Covid-19 preparedness; and identifying and assessing the unwell resident. All caregivers are required to complete annual competencies, including (but not limited to) restraint, moving and handling, culture, and hygiene. These have been completed. A record of completion is maintained on an electronic human resources system.</w:t>
            </w:r>
          </w:p>
          <w:p w14:paraId="21A17A4F" w14:textId="77777777" w:rsidR="00000000" w:rsidRPr="00BE00C7" w:rsidRDefault="00000000" w:rsidP="00BE00C7">
            <w:pPr>
              <w:pStyle w:val="OutcomeDescription"/>
              <w:spacing w:before="120" w:after="120"/>
              <w:rPr>
                <w:rFonts w:cs="Arial"/>
                <w:lang w:eastAsia="en-NZ"/>
              </w:rPr>
            </w:pPr>
          </w:p>
        </w:tc>
      </w:tr>
      <w:tr w:rsidR="009E3EEB" w14:paraId="59CED506" w14:textId="77777777">
        <w:tc>
          <w:tcPr>
            <w:tcW w:w="0" w:type="auto"/>
          </w:tcPr>
          <w:p w14:paraId="3DA7AC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649B74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AC9A868" w14:textId="77777777" w:rsidR="00000000" w:rsidRPr="00BE00C7" w:rsidRDefault="00000000" w:rsidP="00BE00C7">
            <w:pPr>
              <w:pStyle w:val="OutcomeDescription"/>
              <w:spacing w:before="120" w:after="120"/>
              <w:rPr>
                <w:rFonts w:cs="Arial"/>
                <w:lang w:eastAsia="en-NZ"/>
              </w:rPr>
            </w:pPr>
          </w:p>
        </w:tc>
        <w:tc>
          <w:tcPr>
            <w:tcW w:w="0" w:type="auto"/>
          </w:tcPr>
          <w:p w14:paraId="654E6FF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2AADA1"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staff files reviewed included evidence of completed orientation, training and competencies, and professional qualifications on file where required. There are job descriptions in place for all positions that includes outcomes, accountability, responsibilities, authority, and functions to be achieved in each position.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All staff who have been employed for a year or more, have a current performance appraisal on file.</w:t>
            </w:r>
          </w:p>
          <w:p w14:paraId="3953AADE" w14:textId="77777777" w:rsidR="00000000" w:rsidRPr="00BE00C7" w:rsidRDefault="00000000" w:rsidP="00BE00C7">
            <w:pPr>
              <w:pStyle w:val="OutcomeDescription"/>
              <w:spacing w:before="120" w:after="120"/>
              <w:rPr>
                <w:rFonts w:cs="Arial"/>
                <w:lang w:eastAsia="en-NZ"/>
              </w:rPr>
            </w:pPr>
          </w:p>
        </w:tc>
      </w:tr>
      <w:tr w:rsidR="009E3EEB" w14:paraId="4E3B717E" w14:textId="77777777">
        <w:tc>
          <w:tcPr>
            <w:tcW w:w="0" w:type="auto"/>
          </w:tcPr>
          <w:p w14:paraId="6ECF20D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1B2CCEC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1045705" w14:textId="77777777" w:rsidR="00000000" w:rsidRPr="00BE00C7" w:rsidRDefault="00000000" w:rsidP="00BE00C7">
            <w:pPr>
              <w:pStyle w:val="OutcomeDescription"/>
              <w:spacing w:before="120" w:after="120"/>
              <w:rPr>
                <w:rFonts w:cs="Arial"/>
                <w:lang w:eastAsia="en-NZ"/>
              </w:rPr>
            </w:pPr>
          </w:p>
        </w:tc>
        <w:tc>
          <w:tcPr>
            <w:tcW w:w="0" w:type="auto"/>
          </w:tcPr>
          <w:p w14:paraId="3E8B28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9598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three hospital and two rest home levels of care, including one on respite care. The registered nurses are responsible for all residents’ assessments, care planning and evaluation of care. Care plans are based on data collected during the initial nursing assessments, which include dietary needs, pressure injury, falls risk, social and cultural history, and information from pre-entry assessments. </w:t>
            </w:r>
          </w:p>
          <w:p w14:paraId="34F6ACD2" w14:textId="77777777" w:rsidR="00000000" w:rsidRPr="00BE00C7" w:rsidRDefault="00000000" w:rsidP="00BE00C7">
            <w:pPr>
              <w:pStyle w:val="OutcomeDescription"/>
              <w:spacing w:before="120" w:after="120"/>
              <w:rPr>
                <w:rFonts w:cs="Arial"/>
                <w:lang w:eastAsia="en-NZ"/>
              </w:rPr>
            </w:pPr>
            <w:r w:rsidRPr="00BE00C7">
              <w:rPr>
                <w:rFonts w:cs="Arial"/>
                <w:lang w:eastAsia="en-NZ"/>
              </w:rPr>
              <w:t>Initial assessments and care plans are completed, detailing the needs and preferences of a resident within twenty-four hours of admission. The individualised long-term care plans (LTCP) are developed following completion of the initial interRAI assessment within three weeks from admission. InterRAI assessments and LTCPs reviewed are completed and developed respectively within the timeframe required from the date of admission. InterRAI reassessments followed by LTCP evaluations are completed every six months or sooner if there is a significant change in the health status of the resident. LTCP evaluations are documented by a registered nurse and include the degree of achievement towards meeting desired goals and outcomes. Residents interviewed confirmed assessments are completed according to their needs and in the privacy of their bedrooms.</w:t>
            </w:r>
          </w:p>
          <w:p w14:paraId="7650D1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interventions, and early warning signs that meet the residents’ assessed needs were recorded in the LTCP. The activity </w:t>
            </w:r>
            <w:r w:rsidRPr="00BE00C7">
              <w:rPr>
                <w:rFonts w:cs="Arial"/>
                <w:lang w:eastAsia="en-NZ"/>
              </w:rPr>
              <w:lastRenderedPageBreak/>
              <w:t>assessments include a cultural assessment which gathers information about cultural needs, values, and beliefs. Information from these assessments is used to develop the resident’s individual activity care plan. There is evidence of family/whānau involvement in care planning and ongoing communication regarding (but not limited to) care plan reviews, GP visits, adverse events such as infection and falls, and health status updates, are documented.</w:t>
            </w:r>
          </w:p>
          <w:p w14:paraId="157F13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medical assessments are undertaken by a GP within the required timeframe following admission. Residents’ files reviewed (GP progress notes and medication charts) have ongoing timely medical reviews every three months, and when acute or new health issues are reported by the registered nurses. The medical service is provided by two GPs who visit twice a week, and as required. The GP interviewed stated that there is good communication with the service and that they are informed of medical concerns in a timely manner. The GP is also available after hours for the facility. A physiotherapist visits the facility weekly to review residents referred by the registered nurses. There is access to a continence specialist as required. A podiatrist visits regularly, and specialists are available as required through Health New Zealand.</w:t>
            </w:r>
          </w:p>
          <w:p w14:paraId="472DF51F" w14:textId="77777777" w:rsidR="00000000" w:rsidRPr="00BE00C7" w:rsidRDefault="00000000" w:rsidP="00BE00C7">
            <w:pPr>
              <w:pStyle w:val="OutcomeDescription"/>
              <w:spacing w:before="120" w:after="120"/>
              <w:rPr>
                <w:rFonts w:cs="Arial"/>
                <w:lang w:eastAsia="en-NZ"/>
              </w:rPr>
            </w:pPr>
            <w:r w:rsidRPr="00BE00C7">
              <w:rPr>
                <w:rFonts w:cs="Arial"/>
                <w:lang w:eastAsia="en-NZ"/>
              </w:rPr>
              <w:t>An adequate supply of wound care products is available at the facility. A sample of current wounds was reviewed at the time of audit. Wound care plans reviewed demonstrate comprehensive wound assessments, and are evaluated within the timeframe, with attached photos that are taken when this is required. There is evidence of consultation and additional specialist (wound and vascular specialists) input when this is required. The wounds reviewed include chronic ulcers, skin tears, lesions and abrasions. There were two pressure injuries (stage IV and unstageable). Both acquired prior to transfer to admission. The adverse event and SAC reporting were reviewed.</w:t>
            </w:r>
          </w:p>
          <w:p w14:paraId="492192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Short-term care plans (STCP) are developed for acute problems, for example infections, wounds, and weight loss. STCPs were evaluated and closed off when the acute problems were resolved, and interventions were transferred to LTCPs if appropriate. </w:t>
            </w:r>
          </w:p>
          <w:p w14:paraId="280DB6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progress notes are recorded and maintained in the integrated records. Resident care is evaluated on each shift and reported at handover and in the progress notes. If any change is noted, it is reported to the registered nurse. Monthly observations such as weight and blood pressure were completed and are current. A range of monitoring charts are available for the care staff </w:t>
            </w:r>
            <w:r w:rsidRPr="00BE00C7">
              <w:rPr>
                <w:rFonts w:cs="Arial"/>
                <w:lang w:eastAsia="en-NZ"/>
              </w:rPr>
              <w:lastRenderedPageBreak/>
              <w:t xml:space="preserve">to utilise. These include (but not limited to) monthly blood pressure; weight monitoring; behaviour; bowel records; blood glucose levels; food intake charts; fluid balance monitoring; and neurological observations monitoring post un-witnessed falls. </w:t>
            </w:r>
          </w:p>
          <w:p w14:paraId="312525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interviews confirmed they are familiar with the needs of all residents in the facility and that they have access to the supplies, products and equipment they require to meet those needs. Staff receive handover at the beginning of their shift, as observed on the day of audit. </w:t>
            </w:r>
          </w:p>
          <w:p w14:paraId="06FDB5FD" w14:textId="77777777" w:rsidR="00000000" w:rsidRPr="00BE00C7" w:rsidRDefault="00000000" w:rsidP="00952DB4">
            <w:pPr>
              <w:pStyle w:val="OutcomeDescription"/>
              <w:spacing w:before="120" w:after="120"/>
              <w:rPr>
                <w:rFonts w:cs="Arial"/>
                <w:lang w:eastAsia="en-NZ"/>
              </w:rPr>
            </w:pPr>
          </w:p>
        </w:tc>
      </w:tr>
      <w:tr w:rsidR="009E3EEB" w14:paraId="09DDE0E0" w14:textId="77777777">
        <w:tc>
          <w:tcPr>
            <w:tcW w:w="0" w:type="auto"/>
          </w:tcPr>
          <w:p w14:paraId="597DCC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A2139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7B04F3C" w14:textId="77777777" w:rsidR="00000000" w:rsidRPr="00BE00C7" w:rsidRDefault="00000000" w:rsidP="00BE00C7">
            <w:pPr>
              <w:pStyle w:val="OutcomeDescription"/>
              <w:spacing w:before="120" w:after="120"/>
              <w:rPr>
                <w:rFonts w:cs="Arial"/>
                <w:lang w:eastAsia="en-NZ"/>
              </w:rPr>
            </w:pPr>
          </w:p>
        </w:tc>
        <w:tc>
          <w:tcPr>
            <w:tcW w:w="0" w:type="auto"/>
          </w:tcPr>
          <w:p w14:paraId="41DCB9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C9AFF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available for safe medicine management that meet legislative requirements. The staff (registered nurses and medication competent caregivers) who administer medications have been assessed for competency on an annual basis. Education around safe medication administration has been provided as part of the competency process. </w:t>
            </w:r>
          </w:p>
          <w:p w14:paraId="136FD7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could describe their role regarding medication management and were observed to be safely administering medications in both wings (hospital/rest home). All medications delivered are checked against the medication chart when received, and any discrepancies are fed back to the supplying pharmacy. </w:t>
            </w:r>
          </w:p>
          <w:p w14:paraId="44998B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stored securely in locked medication trolleys in a secured medication room. The medication room and medication fridge temperatures are monitored daily, and readings were within acceptable ranges. Eyedrops have been dated on opening and within expiry date. </w:t>
            </w:r>
          </w:p>
          <w:p w14:paraId="51912F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electronic medication charts were reviewed and met prescribing requirements. All medication charts have an updated photo identification, allergy status, and reviewed by the GP three-monthly. All medications charted have clear indications for use, including pro re nata (PRN) medications. The effectiveness of PRN medications administered were consistently documented in the resident management systems used. </w:t>
            </w:r>
          </w:p>
          <w:p w14:paraId="49D98E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four residents self-administering their own medication. Competency assessments are up to date and have been consistently reviewed by the GP three-monthly. The medications that the residents’ self-administer are specified in the competency assessment forms and are stored safely in the residents’ rooms. There are no standing orders in use.</w:t>
            </w:r>
          </w:p>
          <w:p w14:paraId="3A4F28D2" w14:textId="77777777" w:rsidR="00000000" w:rsidRPr="00BE00C7" w:rsidRDefault="00000000" w:rsidP="00BE00C7">
            <w:pPr>
              <w:pStyle w:val="OutcomeDescription"/>
              <w:spacing w:before="120" w:after="120"/>
              <w:rPr>
                <w:rFonts w:cs="Arial"/>
                <w:lang w:eastAsia="en-NZ"/>
              </w:rPr>
            </w:pPr>
          </w:p>
        </w:tc>
      </w:tr>
      <w:tr w:rsidR="009E3EEB" w14:paraId="37BEABFD" w14:textId="77777777">
        <w:tc>
          <w:tcPr>
            <w:tcW w:w="0" w:type="auto"/>
          </w:tcPr>
          <w:p w14:paraId="2008AA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76F67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7F3787E" w14:textId="77777777" w:rsidR="00000000" w:rsidRPr="00BE00C7" w:rsidRDefault="00000000" w:rsidP="00BE00C7">
            <w:pPr>
              <w:pStyle w:val="OutcomeDescription"/>
              <w:spacing w:before="120" w:after="120"/>
              <w:rPr>
                <w:rFonts w:cs="Arial"/>
                <w:lang w:eastAsia="en-NZ"/>
              </w:rPr>
            </w:pPr>
          </w:p>
        </w:tc>
        <w:tc>
          <w:tcPr>
            <w:tcW w:w="0" w:type="auto"/>
          </w:tcPr>
          <w:p w14:paraId="326261D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50A7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Food preferences and cultural preferences are included in the menu. The chef manager receives an assessment dietary requirement report, which is completed by the registered nurses, and is notified of any dietary changes. Food preferences and cultural preferences are encompassed into the menu. Dislikes and special dietary requirements are accommodated, including food allergies. The chef manager interviewed confirmed the kitchen accommodates residents’ requests and can prepare food that is specific to a culture of a resident. </w:t>
            </w:r>
          </w:p>
          <w:p w14:paraId="4828B3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verified food control plan which expires 26 May 2026.</w:t>
            </w:r>
          </w:p>
          <w:p w14:paraId="5C760C31" w14:textId="77777777" w:rsidR="00000000" w:rsidRPr="00BE00C7" w:rsidRDefault="00000000" w:rsidP="00BE00C7">
            <w:pPr>
              <w:pStyle w:val="OutcomeDescription"/>
              <w:spacing w:before="120" w:after="120"/>
              <w:rPr>
                <w:rFonts w:cs="Arial"/>
                <w:lang w:eastAsia="en-NZ"/>
              </w:rPr>
            </w:pPr>
          </w:p>
        </w:tc>
      </w:tr>
      <w:tr w:rsidR="009E3EEB" w14:paraId="1013F9B8" w14:textId="77777777">
        <w:tc>
          <w:tcPr>
            <w:tcW w:w="0" w:type="auto"/>
          </w:tcPr>
          <w:p w14:paraId="28D8C9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FC55C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717501EC" w14:textId="77777777" w:rsidR="00000000" w:rsidRPr="00BE00C7" w:rsidRDefault="00000000" w:rsidP="00BE00C7">
            <w:pPr>
              <w:pStyle w:val="OutcomeDescription"/>
              <w:spacing w:before="120" w:after="120"/>
              <w:rPr>
                <w:rFonts w:cs="Arial"/>
                <w:lang w:eastAsia="en-NZ"/>
              </w:rPr>
            </w:pPr>
          </w:p>
        </w:tc>
        <w:tc>
          <w:tcPr>
            <w:tcW w:w="0" w:type="auto"/>
          </w:tcPr>
          <w:p w14:paraId="30D7A6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095E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documented policies and procedures to ensure discharging or transferring of residents is coordinated with the management of appropriate risks. Planned discharges or transfers were coordinated in collaboration with the resident (where appropriate), family/whānau, and other service providers to ensure continuity of care. The service uses a standardised transfer form that includes the resident`s profile, family/whānau contact numbers, and medication chart.</w:t>
            </w:r>
          </w:p>
          <w:p w14:paraId="6E8C1BD0" w14:textId="77777777" w:rsidR="00000000" w:rsidRPr="00BE00C7" w:rsidRDefault="00000000" w:rsidP="00BE00C7">
            <w:pPr>
              <w:pStyle w:val="OutcomeDescription"/>
              <w:spacing w:before="120" w:after="120"/>
              <w:rPr>
                <w:rFonts w:cs="Arial"/>
                <w:lang w:eastAsia="en-NZ"/>
              </w:rPr>
            </w:pPr>
          </w:p>
        </w:tc>
      </w:tr>
      <w:tr w:rsidR="009E3EEB" w14:paraId="464FF585" w14:textId="77777777">
        <w:tc>
          <w:tcPr>
            <w:tcW w:w="0" w:type="auto"/>
          </w:tcPr>
          <w:p w14:paraId="695FC4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A0C3A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w:t>
            </w:r>
            <w:r w:rsidRPr="00BE00C7">
              <w:rPr>
                <w:rFonts w:cs="Arial"/>
                <w:lang w:eastAsia="en-NZ"/>
              </w:rPr>
              <w:lastRenderedPageBreak/>
              <w:t>freely throughout. The physical environment optimises people’s sense of belonging, independence, interaction, and function.</w:t>
            </w:r>
          </w:p>
          <w:p w14:paraId="6220487A" w14:textId="77777777" w:rsidR="00000000" w:rsidRPr="00BE00C7" w:rsidRDefault="00000000" w:rsidP="00BE00C7">
            <w:pPr>
              <w:pStyle w:val="OutcomeDescription"/>
              <w:spacing w:before="120" w:after="120"/>
              <w:rPr>
                <w:rFonts w:cs="Arial"/>
                <w:lang w:eastAsia="en-NZ"/>
              </w:rPr>
            </w:pPr>
          </w:p>
        </w:tc>
        <w:tc>
          <w:tcPr>
            <w:tcW w:w="0" w:type="auto"/>
          </w:tcPr>
          <w:p w14:paraId="0B896DC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443B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Summerset at Bishopscourt and comply with legislation relevant to the services being provided. The environment is inclusive of people’s cultures and supports cultural practices. The building warrant of fitness is current. Any maintenance requests are entered into the electronic maintenance system. This is checked daily and signed off when repairs have been completed. </w:t>
            </w:r>
          </w:p>
          <w:p w14:paraId="7E9D86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Equipment failure or issues are also recorded in the electronic system. There is a 52-week planned maintenance programme that includes electrical testing and tagging, equipment checks, call bell checks, calibration of </w:t>
            </w:r>
            <w:r w:rsidRPr="00BE00C7">
              <w:rPr>
                <w:rFonts w:cs="Arial"/>
                <w:lang w:eastAsia="en-NZ"/>
              </w:rPr>
              <w:lastRenderedPageBreak/>
              <w:t xml:space="preserve">medical equipment, and monthly testing of hot water temperatures. Essential contractors/tradespeople are available 24 hours a day as required. Hot water temperature recordings reviewed had corrective actions undertaken when outside of expected ranges. </w:t>
            </w:r>
          </w:p>
          <w:p w14:paraId="7C2F86B6" w14:textId="77777777" w:rsidR="00000000" w:rsidRPr="00BE00C7" w:rsidRDefault="00000000" w:rsidP="00BE00C7">
            <w:pPr>
              <w:pStyle w:val="OutcomeDescription"/>
              <w:spacing w:before="120" w:after="120"/>
              <w:rPr>
                <w:rFonts w:cs="Arial"/>
                <w:lang w:eastAsia="en-NZ"/>
              </w:rPr>
            </w:pPr>
          </w:p>
        </w:tc>
      </w:tr>
      <w:tr w:rsidR="009E3EEB" w14:paraId="4BD8A5AF" w14:textId="77777777">
        <w:tc>
          <w:tcPr>
            <w:tcW w:w="0" w:type="auto"/>
          </w:tcPr>
          <w:p w14:paraId="048ABD7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99369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73E7E57" w14:textId="77777777" w:rsidR="00000000" w:rsidRPr="00BE00C7" w:rsidRDefault="00000000" w:rsidP="00BE00C7">
            <w:pPr>
              <w:pStyle w:val="OutcomeDescription"/>
              <w:spacing w:before="120" w:after="120"/>
              <w:rPr>
                <w:rFonts w:cs="Arial"/>
                <w:lang w:eastAsia="en-NZ"/>
              </w:rPr>
            </w:pPr>
          </w:p>
        </w:tc>
        <w:tc>
          <w:tcPr>
            <w:tcW w:w="0" w:type="auto"/>
          </w:tcPr>
          <w:p w14:paraId="038189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8E62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established infection, prevention, and antimicrobial programme implemented. The infection control manual outlines a comprehensive range of policies, standards and guidelines and includes defining roles, responsibilities and oversight, the infection control team, and training and education of staff. Policies and procedures are reviewed by the head of clinical delivery, who acts as the national infection prevention and control lead for the Summerset Group. The infection prevention and control (IPC) programme links to the overarching quality programme. The infection control programme is reviewed, evaluated and reported on annually (sighted).</w:t>
            </w:r>
          </w:p>
          <w:p w14:paraId="4070C9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pandemic plan is available for all staff and includes scenario-based training completed at intervals. Staff education includes (but is not limited to): standard precautions; isolation procedures; hand hygiene competencies; and donning and doffing personal protective equipment (PPE). Competencies related to IPC (such as hand hygiene and donning and doffing) are maintained and completed annually. </w:t>
            </w:r>
          </w:p>
          <w:p w14:paraId="41F4150F" w14:textId="77777777" w:rsidR="00000000" w:rsidRPr="00BE00C7" w:rsidRDefault="00000000" w:rsidP="00BE00C7">
            <w:pPr>
              <w:pStyle w:val="OutcomeDescription"/>
              <w:spacing w:before="120" w:after="120"/>
              <w:rPr>
                <w:rFonts w:cs="Arial"/>
                <w:lang w:eastAsia="en-NZ"/>
              </w:rPr>
            </w:pPr>
          </w:p>
        </w:tc>
      </w:tr>
      <w:tr w:rsidR="009E3EEB" w14:paraId="166AE447" w14:textId="77777777">
        <w:tc>
          <w:tcPr>
            <w:tcW w:w="0" w:type="auto"/>
          </w:tcPr>
          <w:p w14:paraId="5158FE1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E19B3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AF6874A" w14:textId="77777777" w:rsidR="00000000" w:rsidRPr="00BE00C7" w:rsidRDefault="00000000" w:rsidP="00BE00C7">
            <w:pPr>
              <w:pStyle w:val="OutcomeDescription"/>
              <w:spacing w:before="120" w:after="120"/>
              <w:rPr>
                <w:rFonts w:cs="Arial"/>
                <w:lang w:eastAsia="en-NZ"/>
              </w:rPr>
            </w:pPr>
          </w:p>
        </w:tc>
        <w:tc>
          <w:tcPr>
            <w:tcW w:w="0" w:type="auto"/>
          </w:tcPr>
          <w:p w14:paraId="7EB0D0A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40E4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IPC programme and is described in the IPC manual. Standardised definition of infections and surveillance tools are used to collect infection data (which includes signs and symptoms, prescribed anti-microbials and organisms). Monthly infection data is collected for healthcare-associated infections (HAI), such as urinary tract, wound, skin and soft tissues and respiratory tract infections, and is collated onto a monthly infection summary. Infection and antimicrobial data are monitored and analysed for trends, monthly and annually. </w:t>
            </w:r>
          </w:p>
          <w:p w14:paraId="3480EF1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Comparison of data occurs with other Summerset Group facilities. External benchmarking occurs. The service incorporates ethnicity data into surveillance methods and data captured around infections. Infection control surveillance is discussed at the infection control meeting, clinical and staff/quality meetings. Any infections of concern are reported to the head of </w:t>
            </w:r>
            <w:r w:rsidRPr="00BE00C7">
              <w:rPr>
                <w:rFonts w:cs="Arial"/>
                <w:lang w:eastAsia="en-NZ"/>
              </w:rPr>
              <w:lastRenderedPageBreak/>
              <w:t>clinical delivery, and discussed at the monthly national infection control meetings. Meeting minutes and graphs are displayed for staff. Action plans are required for any infection rates of concern. Internal infection control audits are completed, with corrective actions for areas of improvement.</w:t>
            </w:r>
          </w:p>
          <w:p w14:paraId="516069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Infections, including outbreaks, are reported and reviewed, so improvements can be made to reduce HAI. There have been three outbreaks reported since the last audit; two Covid-19; and one cold/influenza with one case of influenza A. All outbreaks were contained, well managed and reported appropriately. Debriefing meetings were held. </w:t>
            </w:r>
          </w:p>
          <w:p w14:paraId="7ABBEC73" w14:textId="77777777" w:rsidR="00000000" w:rsidRPr="00BE00C7" w:rsidRDefault="00000000" w:rsidP="00BE00C7">
            <w:pPr>
              <w:pStyle w:val="OutcomeDescription"/>
              <w:spacing w:before="120" w:after="120"/>
              <w:rPr>
                <w:rFonts w:cs="Arial"/>
                <w:lang w:eastAsia="en-NZ"/>
              </w:rPr>
            </w:pPr>
          </w:p>
        </w:tc>
      </w:tr>
      <w:tr w:rsidR="009E3EEB" w14:paraId="5C5F6C73" w14:textId="77777777">
        <w:tc>
          <w:tcPr>
            <w:tcW w:w="0" w:type="auto"/>
          </w:tcPr>
          <w:p w14:paraId="1DC42BD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9D3C6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7AC62D" w14:textId="77777777" w:rsidR="00000000" w:rsidRPr="00BE00C7" w:rsidRDefault="00000000" w:rsidP="00BE00C7">
            <w:pPr>
              <w:pStyle w:val="OutcomeDescription"/>
              <w:spacing w:before="120" w:after="120"/>
              <w:rPr>
                <w:rFonts w:cs="Arial"/>
                <w:lang w:eastAsia="en-NZ"/>
              </w:rPr>
            </w:pPr>
          </w:p>
        </w:tc>
        <w:tc>
          <w:tcPr>
            <w:tcW w:w="0" w:type="auto"/>
          </w:tcPr>
          <w:p w14:paraId="2D117D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0B1F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aims to maintain a restraint-free environment; however, the facility has two residents on restraint at the time of the audit. Policies and procedures are approved by the head of clinical improvement and meet the requirements of the standards. The head of clinical improvement acts as the national restraints committee lead for the Summerset Group. Restraint use within Summerset Group is discussed and monitored at the national clinical review meeting. There is also a national restraint group which monitors restraint use (restraint policy adhered to) and ensures appropriate use of restraint.</w:t>
            </w:r>
          </w:p>
          <w:p w14:paraId="2CD6C7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in the service is the clinical nurse leader. Staff interviewed were able to identify completed training and education in relation to restraint, such as restraint minimisation and safe practice, alternative cultural-specific interventions, de-escalation techniques, and changed behaviour seminars. These are verified with the staff training records sighted. Training for all staff occurs at orientation and annually. Staff have been trained in the least restrictive practice and restraint competencies are completed as part of training. </w:t>
            </w:r>
          </w:p>
          <w:p w14:paraId="46A25338" w14:textId="77777777" w:rsidR="00000000" w:rsidRPr="00BE00C7" w:rsidRDefault="00000000" w:rsidP="00BE00C7">
            <w:pPr>
              <w:pStyle w:val="OutcomeDescription"/>
              <w:spacing w:before="120" w:after="120"/>
              <w:rPr>
                <w:rFonts w:cs="Arial"/>
                <w:lang w:eastAsia="en-NZ"/>
              </w:rPr>
            </w:pPr>
          </w:p>
        </w:tc>
      </w:tr>
    </w:tbl>
    <w:p w14:paraId="53D06133"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C2DD12B" w14:textId="77777777" w:rsidR="00000000" w:rsidRDefault="00000000">
      <w:pPr>
        <w:pStyle w:val="Heading1"/>
        <w:rPr>
          <w:rFonts w:cs="Arial"/>
        </w:rPr>
      </w:pPr>
      <w:r>
        <w:rPr>
          <w:rFonts w:cs="Arial"/>
        </w:rPr>
        <w:lastRenderedPageBreak/>
        <w:t>Specific results for criterion where corrective actions are required</w:t>
      </w:r>
    </w:p>
    <w:p w14:paraId="04BE5131"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3D6DF0"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3AF5F5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E3EEB" w14:paraId="70B9D101" w14:textId="77777777">
        <w:tc>
          <w:tcPr>
            <w:tcW w:w="0" w:type="auto"/>
          </w:tcPr>
          <w:p w14:paraId="49E852B5"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2393F8B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EBA61B8" w14:textId="77777777" w:rsidR="00000000" w:rsidRDefault="00000000">
      <w:pPr>
        <w:pStyle w:val="Heading1"/>
        <w:rPr>
          <w:rFonts w:cs="Arial"/>
        </w:rPr>
      </w:pPr>
      <w:r>
        <w:rPr>
          <w:rFonts w:cs="Arial"/>
        </w:rPr>
        <w:lastRenderedPageBreak/>
        <w:t>Specific results for criterion where a continuous improvement has been recorded</w:t>
      </w:r>
    </w:p>
    <w:p w14:paraId="4F43C1BC"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56C26B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116C12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9E3EEB" w14:paraId="54EB0CC2" w14:textId="77777777">
        <w:tc>
          <w:tcPr>
            <w:tcW w:w="0" w:type="auto"/>
          </w:tcPr>
          <w:p w14:paraId="70FDD54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85548EA"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ADB1C10"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511D" w14:textId="77777777" w:rsidR="004C4CDC" w:rsidRDefault="004C4CDC">
      <w:r>
        <w:separator/>
      </w:r>
    </w:p>
  </w:endnote>
  <w:endnote w:type="continuationSeparator" w:id="0">
    <w:p w14:paraId="5CAD55FF" w14:textId="77777777" w:rsidR="004C4CDC" w:rsidRDefault="004C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FA19" w14:textId="77777777" w:rsidR="00000000" w:rsidRDefault="00000000">
    <w:pPr>
      <w:pStyle w:val="Footer"/>
    </w:pPr>
  </w:p>
  <w:p w14:paraId="63FF4827" w14:textId="77777777" w:rsidR="00000000" w:rsidRDefault="00000000"/>
  <w:p w14:paraId="537FED6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5421"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 xml:space="preserve">Summerset Care Limited - Summerset At </w:t>
    </w:r>
    <w:proofErr w:type="spellStart"/>
    <w:r>
      <w:rPr>
        <w:rFonts w:cs="Arial"/>
        <w:sz w:val="16"/>
        <w:szCs w:val="20"/>
      </w:rPr>
      <w:t>Bishopscourt</w:t>
    </w:r>
    <w:bookmarkEnd w:id="59"/>
    <w:proofErr w:type="spellEnd"/>
    <w:r>
      <w:rPr>
        <w:rFonts w:cs="Arial"/>
        <w:sz w:val="16"/>
        <w:szCs w:val="20"/>
      </w:rPr>
      <w:tab/>
      <w:t xml:space="preserve">Date of Audit: </w:t>
    </w:r>
    <w:bookmarkStart w:id="60" w:name="AuditStartDate1"/>
    <w:r>
      <w:rPr>
        <w:rFonts w:cs="Arial"/>
        <w:sz w:val="16"/>
        <w:szCs w:val="20"/>
      </w:rPr>
      <w:t>15 October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7D9322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C7496"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625B" w14:textId="77777777" w:rsidR="004C4CDC" w:rsidRDefault="004C4CDC">
      <w:r>
        <w:separator/>
      </w:r>
    </w:p>
  </w:footnote>
  <w:footnote w:type="continuationSeparator" w:id="0">
    <w:p w14:paraId="26EB4F81" w14:textId="77777777" w:rsidR="004C4CDC" w:rsidRDefault="004C4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C4AC" w14:textId="77777777" w:rsidR="00000000" w:rsidRDefault="00000000">
    <w:pPr>
      <w:pStyle w:val="Header"/>
    </w:pPr>
  </w:p>
  <w:p w14:paraId="61B6C99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62AD" w14:textId="77777777" w:rsidR="00000000" w:rsidRDefault="00000000">
    <w:pPr>
      <w:pStyle w:val="Header"/>
    </w:pPr>
  </w:p>
  <w:p w14:paraId="21686C3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3F1C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D62ABEA0">
      <w:start w:val="1"/>
      <w:numFmt w:val="decimal"/>
      <w:lvlText w:val="%1."/>
      <w:lvlJc w:val="left"/>
      <w:pPr>
        <w:ind w:left="360" w:hanging="360"/>
      </w:pPr>
    </w:lvl>
    <w:lvl w:ilvl="1" w:tplc="A6D2354E" w:tentative="1">
      <w:start w:val="1"/>
      <w:numFmt w:val="lowerLetter"/>
      <w:lvlText w:val="%2."/>
      <w:lvlJc w:val="left"/>
      <w:pPr>
        <w:ind w:left="1080" w:hanging="360"/>
      </w:pPr>
    </w:lvl>
    <w:lvl w:ilvl="2" w:tplc="3D8802DC" w:tentative="1">
      <w:start w:val="1"/>
      <w:numFmt w:val="lowerRoman"/>
      <w:lvlText w:val="%3."/>
      <w:lvlJc w:val="right"/>
      <w:pPr>
        <w:ind w:left="1800" w:hanging="180"/>
      </w:pPr>
    </w:lvl>
    <w:lvl w:ilvl="3" w:tplc="21FAE7BE" w:tentative="1">
      <w:start w:val="1"/>
      <w:numFmt w:val="decimal"/>
      <w:lvlText w:val="%4."/>
      <w:lvlJc w:val="left"/>
      <w:pPr>
        <w:ind w:left="2520" w:hanging="360"/>
      </w:pPr>
    </w:lvl>
    <w:lvl w:ilvl="4" w:tplc="FCFE5938" w:tentative="1">
      <w:start w:val="1"/>
      <w:numFmt w:val="lowerLetter"/>
      <w:lvlText w:val="%5."/>
      <w:lvlJc w:val="left"/>
      <w:pPr>
        <w:ind w:left="3240" w:hanging="360"/>
      </w:pPr>
    </w:lvl>
    <w:lvl w:ilvl="5" w:tplc="22F808D2" w:tentative="1">
      <w:start w:val="1"/>
      <w:numFmt w:val="lowerRoman"/>
      <w:lvlText w:val="%6."/>
      <w:lvlJc w:val="right"/>
      <w:pPr>
        <w:ind w:left="3960" w:hanging="180"/>
      </w:pPr>
    </w:lvl>
    <w:lvl w:ilvl="6" w:tplc="C8A2937A" w:tentative="1">
      <w:start w:val="1"/>
      <w:numFmt w:val="decimal"/>
      <w:lvlText w:val="%7."/>
      <w:lvlJc w:val="left"/>
      <w:pPr>
        <w:ind w:left="4680" w:hanging="360"/>
      </w:pPr>
    </w:lvl>
    <w:lvl w:ilvl="7" w:tplc="1F02022E" w:tentative="1">
      <w:start w:val="1"/>
      <w:numFmt w:val="lowerLetter"/>
      <w:lvlText w:val="%8."/>
      <w:lvlJc w:val="left"/>
      <w:pPr>
        <w:ind w:left="5400" w:hanging="360"/>
      </w:pPr>
    </w:lvl>
    <w:lvl w:ilvl="8" w:tplc="E3AAB40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2F88B9A6">
      <w:start w:val="1"/>
      <w:numFmt w:val="bullet"/>
      <w:lvlText w:val=""/>
      <w:lvlJc w:val="left"/>
      <w:pPr>
        <w:ind w:left="720" w:hanging="360"/>
      </w:pPr>
      <w:rPr>
        <w:rFonts w:ascii="Symbol" w:hAnsi="Symbol" w:hint="default"/>
      </w:rPr>
    </w:lvl>
    <w:lvl w:ilvl="1" w:tplc="B57C08A0" w:tentative="1">
      <w:start w:val="1"/>
      <w:numFmt w:val="bullet"/>
      <w:lvlText w:val="o"/>
      <w:lvlJc w:val="left"/>
      <w:pPr>
        <w:ind w:left="1440" w:hanging="360"/>
      </w:pPr>
      <w:rPr>
        <w:rFonts w:ascii="Courier New" w:hAnsi="Courier New" w:cs="Courier New" w:hint="default"/>
      </w:rPr>
    </w:lvl>
    <w:lvl w:ilvl="2" w:tplc="51A0F676" w:tentative="1">
      <w:start w:val="1"/>
      <w:numFmt w:val="bullet"/>
      <w:lvlText w:val=""/>
      <w:lvlJc w:val="left"/>
      <w:pPr>
        <w:ind w:left="2160" w:hanging="360"/>
      </w:pPr>
      <w:rPr>
        <w:rFonts w:ascii="Wingdings" w:hAnsi="Wingdings" w:hint="default"/>
      </w:rPr>
    </w:lvl>
    <w:lvl w:ilvl="3" w:tplc="8D36F9B8" w:tentative="1">
      <w:start w:val="1"/>
      <w:numFmt w:val="bullet"/>
      <w:lvlText w:val=""/>
      <w:lvlJc w:val="left"/>
      <w:pPr>
        <w:ind w:left="2880" w:hanging="360"/>
      </w:pPr>
      <w:rPr>
        <w:rFonts w:ascii="Symbol" w:hAnsi="Symbol" w:hint="default"/>
      </w:rPr>
    </w:lvl>
    <w:lvl w:ilvl="4" w:tplc="CF22DD2C" w:tentative="1">
      <w:start w:val="1"/>
      <w:numFmt w:val="bullet"/>
      <w:lvlText w:val="o"/>
      <w:lvlJc w:val="left"/>
      <w:pPr>
        <w:ind w:left="3600" w:hanging="360"/>
      </w:pPr>
      <w:rPr>
        <w:rFonts w:ascii="Courier New" w:hAnsi="Courier New" w:cs="Courier New" w:hint="default"/>
      </w:rPr>
    </w:lvl>
    <w:lvl w:ilvl="5" w:tplc="9F7E4326" w:tentative="1">
      <w:start w:val="1"/>
      <w:numFmt w:val="bullet"/>
      <w:lvlText w:val=""/>
      <w:lvlJc w:val="left"/>
      <w:pPr>
        <w:ind w:left="4320" w:hanging="360"/>
      </w:pPr>
      <w:rPr>
        <w:rFonts w:ascii="Wingdings" w:hAnsi="Wingdings" w:hint="default"/>
      </w:rPr>
    </w:lvl>
    <w:lvl w:ilvl="6" w:tplc="8CBA64F4" w:tentative="1">
      <w:start w:val="1"/>
      <w:numFmt w:val="bullet"/>
      <w:lvlText w:val=""/>
      <w:lvlJc w:val="left"/>
      <w:pPr>
        <w:ind w:left="5040" w:hanging="360"/>
      </w:pPr>
      <w:rPr>
        <w:rFonts w:ascii="Symbol" w:hAnsi="Symbol" w:hint="default"/>
      </w:rPr>
    </w:lvl>
    <w:lvl w:ilvl="7" w:tplc="417E1142" w:tentative="1">
      <w:start w:val="1"/>
      <w:numFmt w:val="bullet"/>
      <w:lvlText w:val="o"/>
      <w:lvlJc w:val="left"/>
      <w:pPr>
        <w:ind w:left="5760" w:hanging="360"/>
      </w:pPr>
      <w:rPr>
        <w:rFonts w:ascii="Courier New" w:hAnsi="Courier New" w:cs="Courier New" w:hint="default"/>
      </w:rPr>
    </w:lvl>
    <w:lvl w:ilvl="8" w:tplc="6B5AD702" w:tentative="1">
      <w:start w:val="1"/>
      <w:numFmt w:val="bullet"/>
      <w:lvlText w:val=""/>
      <w:lvlJc w:val="left"/>
      <w:pPr>
        <w:ind w:left="6480" w:hanging="360"/>
      </w:pPr>
      <w:rPr>
        <w:rFonts w:ascii="Wingdings" w:hAnsi="Wingdings" w:hint="default"/>
      </w:rPr>
    </w:lvl>
  </w:abstractNum>
  <w:num w:numId="1" w16cid:durableId="1100179604">
    <w:abstractNumId w:val="1"/>
  </w:num>
  <w:num w:numId="2" w16cid:durableId="17454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EEB"/>
    <w:rsid w:val="002362B9"/>
    <w:rsid w:val="004C4CDC"/>
    <w:rsid w:val="00771313"/>
    <w:rsid w:val="007D1BB7"/>
    <w:rsid w:val="00952DB4"/>
    <w:rsid w:val="009E3EE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8FDB"/>
  <w15:docId w15:val="{4C318D7B-F70E-4BB7-9A7E-2448C6B3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7147</Words>
  <Characters>40957</Characters>
  <Application>Microsoft Office Word</Application>
  <DocSecurity>0</DocSecurity>
  <Lines>871</Lines>
  <Paragraphs>273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4</cp:revision>
  <dcterms:created xsi:type="dcterms:W3CDTF">2025-12-09T22:32:00Z</dcterms:created>
  <dcterms:modified xsi:type="dcterms:W3CDTF">2025-12-09T22:34:00Z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