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69E5" w14:textId="77777777" w:rsidR="00000000" w:rsidRDefault="00000000">
      <w:pPr>
        <w:pStyle w:val="Heading1"/>
        <w:rPr>
          <w:rFonts w:cs="Arial"/>
        </w:rPr>
      </w:pPr>
      <w:bookmarkStart w:id="0" w:name="PRMS_RIName"/>
      <w:r>
        <w:rPr>
          <w:rFonts w:cs="Arial"/>
        </w:rPr>
        <w:t>Whangaroa Health Services Trust - Whangaroa Health Services</w:t>
      </w:r>
      <w:bookmarkEnd w:id="0"/>
    </w:p>
    <w:p w14:paraId="760B35F4" w14:textId="77777777" w:rsidR="00000000" w:rsidRDefault="00000000">
      <w:pPr>
        <w:pStyle w:val="Heading2"/>
        <w:spacing w:after="0"/>
        <w:rPr>
          <w:rFonts w:cs="Arial"/>
        </w:rPr>
      </w:pPr>
      <w:r>
        <w:rPr>
          <w:rFonts w:cs="Arial"/>
        </w:rPr>
        <w:t>Introduction</w:t>
      </w:r>
    </w:p>
    <w:p w14:paraId="2721C19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50C595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5CCC4E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BABEC9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DA0995F" w14:textId="77777777" w:rsidR="00000000" w:rsidRDefault="00000000">
      <w:pPr>
        <w:spacing w:before="240" w:after="240"/>
        <w:rPr>
          <w:rFonts w:cs="Arial"/>
          <w:lang w:eastAsia="en-NZ"/>
        </w:rPr>
      </w:pPr>
      <w:r>
        <w:rPr>
          <w:rFonts w:cs="Arial"/>
          <w:lang w:eastAsia="en-NZ"/>
        </w:rPr>
        <w:t>The specifics of this audit included:</w:t>
      </w:r>
    </w:p>
    <w:p w14:paraId="1528D20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A0DAAB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Whangaroa Health Services Trust</w:t>
      </w:r>
      <w:bookmarkEnd w:id="4"/>
    </w:p>
    <w:p w14:paraId="595AD7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Whangaroa Health Services</w:t>
      </w:r>
      <w:bookmarkEnd w:id="5"/>
    </w:p>
    <w:p w14:paraId="0D1CF6E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B37D3C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October 2025</w:t>
      </w:r>
      <w:bookmarkEnd w:id="7"/>
      <w:r w:rsidRPr="009418D4">
        <w:rPr>
          <w:rFonts w:cs="Arial"/>
        </w:rPr>
        <w:tab/>
        <w:t xml:space="preserve">End date: </w:t>
      </w:r>
      <w:bookmarkStart w:id="8" w:name="AuditEndDate"/>
      <w:r>
        <w:rPr>
          <w:rFonts w:cs="Arial"/>
        </w:rPr>
        <w:t>10 October 2025</w:t>
      </w:r>
      <w:bookmarkEnd w:id="8"/>
    </w:p>
    <w:p w14:paraId="17C4626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applied for an additional two dual purpose beds to be added to their certificate as per the application dated 4 July 2025. </w:t>
      </w:r>
    </w:p>
    <w:p w14:paraId="640076A4" w14:textId="77777777" w:rsidR="00412A8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This audit verified these two rooms as suitable to provide both rest home and hospital level of care. This changes the bed numbers to seven dual purpose, 10 dedicated rest home beds and 10 hospital beds. </w:t>
      </w:r>
    </w:p>
    <w:bookmarkEnd w:id="9"/>
    <w:p w14:paraId="00D44E45" w14:textId="77777777" w:rsidR="00412A8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6BCB54A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27A7ABB" w14:textId="77777777" w:rsidR="00000000" w:rsidRDefault="00000000">
      <w:pPr>
        <w:pStyle w:val="Heading1"/>
        <w:rPr>
          <w:rFonts w:cs="Arial"/>
        </w:rPr>
      </w:pPr>
      <w:r>
        <w:rPr>
          <w:rFonts w:cs="Arial"/>
        </w:rPr>
        <w:lastRenderedPageBreak/>
        <w:t>Executive summary of the audit</w:t>
      </w:r>
    </w:p>
    <w:p w14:paraId="5FC34002" w14:textId="77777777" w:rsidR="00000000" w:rsidRDefault="00000000">
      <w:pPr>
        <w:pStyle w:val="Heading2"/>
        <w:rPr>
          <w:rFonts w:cs="Arial"/>
        </w:rPr>
      </w:pPr>
      <w:r>
        <w:rPr>
          <w:rFonts w:cs="Arial"/>
        </w:rPr>
        <w:t>Introduction</w:t>
      </w:r>
    </w:p>
    <w:p w14:paraId="607B721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D5466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FBD4E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22C3B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ABBD0C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2450EE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E58842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4D2079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87ABDC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12A85" w14:paraId="61309CA4" w14:textId="77777777">
        <w:trPr>
          <w:cantSplit/>
          <w:tblHeader/>
        </w:trPr>
        <w:tc>
          <w:tcPr>
            <w:tcW w:w="1260" w:type="dxa"/>
            <w:tcBorders>
              <w:bottom w:val="single" w:sz="4" w:space="0" w:color="000000"/>
            </w:tcBorders>
            <w:vAlign w:val="center"/>
          </w:tcPr>
          <w:p w14:paraId="47CFF19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0F73BCF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6262A46" w14:textId="77777777" w:rsidR="00000000" w:rsidRDefault="00000000">
            <w:pPr>
              <w:spacing w:before="60" w:after="60"/>
              <w:rPr>
                <w:rFonts w:eastAsia="Calibri"/>
                <w:b/>
                <w:szCs w:val="24"/>
              </w:rPr>
            </w:pPr>
            <w:r>
              <w:rPr>
                <w:rFonts w:eastAsia="Calibri"/>
                <w:b/>
                <w:szCs w:val="24"/>
              </w:rPr>
              <w:t>Definition</w:t>
            </w:r>
          </w:p>
        </w:tc>
      </w:tr>
      <w:tr w:rsidR="00412A85" w14:paraId="74120EA2" w14:textId="77777777">
        <w:trPr>
          <w:cantSplit/>
          <w:trHeight w:val="964"/>
        </w:trPr>
        <w:tc>
          <w:tcPr>
            <w:tcW w:w="1260" w:type="dxa"/>
            <w:tcBorders>
              <w:bottom w:val="single" w:sz="4" w:space="0" w:color="000000"/>
            </w:tcBorders>
            <w:shd w:val="clear" w:color="0066FF" w:fill="0000FF"/>
            <w:vAlign w:val="center"/>
          </w:tcPr>
          <w:p w14:paraId="20F617EC"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C00722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8273B1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12A85" w14:paraId="69880F7B" w14:textId="77777777">
        <w:trPr>
          <w:cantSplit/>
          <w:trHeight w:val="964"/>
        </w:trPr>
        <w:tc>
          <w:tcPr>
            <w:tcW w:w="1260" w:type="dxa"/>
            <w:shd w:val="clear" w:color="33CC33" w:fill="00FF00"/>
            <w:vAlign w:val="center"/>
          </w:tcPr>
          <w:p w14:paraId="73C848AC" w14:textId="77777777" w:rsidR="00000000" w:rsidRDefault="00000000">
            <w:pPr>
              <w:spacing w:before="60" w:after="60"/>
              <w:rPr>
                <w:rFonts w:eastAsia="Calibri"/>
                <w:szCs w:val="24"/>
              </w:rPr>
            </w:pPr>
          </w:p>
        </w:tc>
        <w:tc>
          <w:tcPr>
            <w:tcW w:w="7095" w:type="dxa"/>
            <w:vAlign w:val="center"/>
          </w:tcPr>
          <w:p w14:paraId="6598D702"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337D508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12A85" w14:paraId="75EA6987" w14:textId="77777777">
        <w:trPr>
          <w:cantSplit/>
          <w:trHeight w:val="964"/>
        </w:trPr>
        <w:tc>
          <w:tcPr>
            <w:tcW w:w="1260" w:type="dxa"/>
            <w:tcBorders>
              <w:bottom w:val="single" w:sz="4" w:space="0" w:color="000000"/>
            </w:tcBorders>
            <w:shd w:val="clear" w:color="auto" w:fill="FFFF00"/>
            <w:vAlign w:val="center"/>
          </w:tcPr>
          <w:p w14:paraId="23C6CEDB" w14:textId="77777777" w:rsidR="00000000" w:rsidRDefault="00000000">
            <w:pPr>
              <w:spacing w:before="60" w:after="60"/>
              <w:rPr>
                <w:rFonts w:eastAsia="Calibri"/>
                <w:szCs w:val="24"/>
              </w:rPr>
            </w:pPr>
          </w:p>
        </w:tc>
        <w:tc>
          <w:tcPr>
            <w:tcW w:w="7095" w:type="dxa"/>
            <w:vAlign w:val="center"/>
          </w:tcPr>
          <w:p w14:paraId="1CFA73F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F406EE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12A85" w14:paraId="6A2E9972" w14:textId="77777777">
        <w:trPr>
          <w:cantSplit/>
          <w:trHeight w:val="964"/>
        </w:trPr>
        <w:tc>
          <w:tcPr>
            <w:tcW w:w="1260" w:type="dxa"/>
            <w:tcBorders>
              <w:bottom w:val="single" w:sz="4" w:space="0" w:color="000000"/>
            </w:tcBorders>
            <w:shd w:val="clear" w:color="auto" w:fill="FFC800"/>
            <w:vAlign w:val="center"/>
          </w:tcPr>
          <w:p w14:paraId="3CDF5E4C"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03165F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222C00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12A85" w14:paraId="58F3B3BA" w14:textId="77777777">
        <w:trPr>
          <w:cantSplit/>
          <w:trHeight w:val="964"/>
        </w:trPr>
        <w:tc>
          <w:tcPr>
            <w:tcW w:w="1260" w:type="dxa"/>
            <w:shd w:val="clear" w:color="auto" w:fill="FF0000"/>
            <w:vAlign w:val="center"/>
          </w:tcPr>
          <w:p w14:paraId="18C1ABBE" w14:textId="77777777" w:rsidR="00000000" w:rsidRDefault="00000000">
            <w:pPr>
              <w:spacing w:before="60" w:after="60"/>
              <w:rPr>
                <w:rFonts w:eastAsia="Calibri"/>
                <w:szCs w:val="24"/>
              </w:rPr>
            </w:pPr>
          </w:p>
        </w:tc>
        <w:tc>
          <w:tcPr>
            <w:tcW w:w="7095" w:type="dxa"/>
            <w:vAlign w:val="center"/>
          </w:tcPr>
          <w:p w14:paraId="58E65F2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8DC5D4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842CA3A" w14:textId="77777777" w:rsidR="00000000" w:rsidRDefault="00000000">
      <w:pPr>
        <w:pStyle w:val="Heading2"/>
        <w:spacing w:after="0"/>
        <w:rPr>
          <w:rFonts w:cs="Arial"/>
        </w:rPr>
      </w:pPr>
      <w:r>
        <w:rPr>
          <w:rFonts w:cs="Arial"/>
        </w:rPr>
        <w:t>General overview of the audit</w:t>
      </w:r>
    </w:p>
    <w:p w14:paraId="5554DCE0" w14:textId="77777777" w:rsidR="00000000" w:rsidRDefault="00000000">
      <w:pPr>
        <w:spacing w:before="240" w:line="276" w:lineRule="auto"/>
        <w:rPr>
          <w:rFonts w:eastAsia="Calibri"/>
        </w:rPr>
      </w:pPr>
      <w:bookmarkStart w:id="13" w:name="GeneralOverview"/>
      <w:r w:rsidRPr="00A4268A">
        <w:rPr>
          <w:rFonts w:eastAsia="Calibri"/>
        </w:rPr>
        <w:t>Whangaroa Health Services Trust (WHST) is a long-standing provider of community and Māori health in Northland, including the operation of a Care Home (Kauri Lodge) and a community centre. Kauri Lodge provides rest home and hospital (geriatric and medical) levels of care for up to 25 residents. On the day of the audit there were 23 residents. The chief executive officer (CEO) oversees operations of this health service supported by the aged care facility leader.</w:t>
      </w:r>
    </w:p>
    <w:p w14:paraId="33AA53FE" w14:textId="77777777" w:rsidR="00412A85"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management, and a nurse practitioner.</w:t>
      </w:r>
    </w:p>
    <w:p w14:paraId="28651037" w14:textId="77777777" w:rsidR="00412A85" w:rsidRPr="00A4268A" w:rsidRDefault="00000000">
      <w:pPr>
        <w:spacing w:before="240" w:line="276" w:lineRule="auto"/>
        <w:rPr>
          <w:rFonts w:eastAsia="Calibri"/>
        </w:rPr>
      </w:pPr>
      <w:r w:rsidRPr="00A4268A">
        <w:rPr>
          <w:rFonts w:eastAsia="Calibri"/>
        </w:rPr>
        <w:t>The service continues with environmental upgrades and room refurbishments since the last audit.</w:t>
      </w:r>
    </w:p>
    <w:p w14:paraId="482BD8C2" w14:textId="77777777" w:rsidR="00412A85" w:rsidRPr="00A4268A" w:rsidRDefault="00000000">
      <w:pPr>
        <w:spacing w:before="240" w:line="276" w:lineRule="auto"/>
        <w:rPr>
          <w:rFonts w:eastAsia="Calibri"/>
        </w:rPr>
      </w:pPr>
      <w:r w:rsidRPr="00A4268A">
        <w:rPr>
          <w:rFonts w:eastAsia="Calibri"/>
        </w:rPr>
        <w:t xml:space="preserve">This surveillance audit identified continuing areas for improvement regarding registered nurse staffing and interRAI assessment timeframes. No new areas for improvement were identified. </w:t>
      </w:r>
    </w:p>
    <w:bookmarkEnd w:id="13"/>
    <w:p w14:paraId="55276EF4" w14:textId="77777777" w:rsidR="00412A85" w:rsidRPr="00A4268A" w:rsidRDefault="00412A85">
      <w:pPr>
        <w:spacing w:before="240" w:line="276" w:lineRule="auto"/>
        <w:rPr>
          <w:rFonts w:eastAsia="Calibri"/>
        </w:rPr>
      </w:pPr>
    </w:p>
    <w:p w14:paraId="64D876B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2A85" w14:paraId="6DC53A16" w14:textId="77777777" w:rsidTr="00A4268A">
        <w:trPr>
          <w:cantSplit/>
        </w:trPr>
        <w:tc>
          <w:tcPr>
            <w:tcW w:w="10206" w:type="dxa"/>
            <w:vAlign w:val="center"/>
          </w:tcPr>
          <w:p w14:paraId="5F4FD9F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568F5F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6B1423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9466CB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2525222" w14:textId="77777777" w:rsidR="00000000" w:rsidRDefault="00000000">
      <w:pPr>
        <w:spacing w:before="240" w:line="276" w:lineRule="auto"/>
        <w:rPr>
          <w:rFonts w:eastAsia="Calibri"/>
        </w:rPr>
      </w:pPr>
      <w:bookmarkStart w:id="16" w:name="ConsumerRights"/>
      <w:r w:rsidRPr="00A4268A">
        <w:rPr>
          <w:rFonts w:eastAsia="Calibri"/>
        </w:rPr>
        <w:t>WHST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B25AACE" w14:textId="77777777" w:rsidR="00412A85" w:rsidRPr="00A4268A" w:rsidRDefault="00000000">
      <w:pPr>
        <w:spacing w:before="240" w:line="276" w:lineRule="auto"/>
        <w:rPr>
          <w:rFonts w:eastAsia="Calibri"/>
        </w:rPr>
      </w:pPr>
      <w:r w:rsidRPr="00A4268A">
        <w:rPr>
          <w:rFonts w:eastAsia="Calibri"/>
        </w:rPr>
        <w:t>Residents receive services in a manner that considers their dignity, privacy, and independence. WHST provides services and support to people in a way that is inclusive and respects their identity and their experiences. Care plans accommodate the choices of residents and/or their family/whānau. The rights of the resident and/or their family/whānau to make a complaint is understood, respected, and upheld by the service. Complaints processes are implemented, and complaints and concerns are actively managed and well-documented.</w:t>
      </w:r>
    </w:p>
    <w:bookmarkEnd w:id="16"/>
    <w:p w14:paraId="1F16937B" w14:textId="77777777" w:rsidR="00412A85" w:rsidRPr="00A4268A" w:rsidRDefault="00412A85">
      <w:pPr>
        <w:spacing w:before="240" w:line="276" w:lineRule="auto"/>
        <w:rPr>
          <w:rFonts w:eastAsia="Calibri"/>
        </w:rPr>
      </w:pPr>
    </w:p>
    <w:p w14:paraId="402485D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2A85" w14:paraId="1F52C3F0" w14:textId="77777777" w:rsidTr="00A4268A">
        <w:trPr>
          <w:cantSplit/>
        </w:trPr>
        <w:tc>
          <w:tcPr>
            <w:tcW w:w="10206" w:type="dxa"/>
            <w:vAlign w:val="center"/>
          </w:tcPr>
          <w:p w14:paraId="543041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A444FE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9B9287C"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5338C14" w14:textId="77777777" w:rsidR="00000000" w:rsidRDefault="00000000">
      <w:pPr>
        <w:spacing w:before="240" w:line="276" w:lineRule="auto"/>
        <w:rPr>
          <w:rFonts w:eastAsia="Calibri"/>
        </w:rPr>
      </w:pPr>
      <w:bookmarkStart w:id="19" w:name="OrganisationalManagement"/>
      <w:r w:rsidRPr="00A4268A">
        <w:rPr>
          <w:rFonts w:eastAsia="Calibri"/>
        </w:rPr>
        <w:lastRenderedPageBreak/>
        <w:t>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 reporting obligations.</w:t>
      </w:r>
    </w:p>
    <w:p w14:paraId="6591B674" w14:textId="77777777" w:rsidR="00412A85"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22115C28" w14:textId="77777777" w:rsidR="00412A85"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0F09201C" w14:textId="77777777" w:rsidR="00412A85" w:rsidRPr="00A4268A" w:rsidRDefault="00412A85">
      <w:pPr>
        <w:spacing w:before="240" w:line="276" w:lineRule="auto"/>
        <w:rPr>
          <w:rFonts w:eastAsia="Calibri"/>
        </w:rPr>
      </w:pPr>
    </w:p>
    <w:p w14:paraId="6C2180C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2A85" w14:paraId="3BA7F021" w14:textId="77777777" w:rsidTr="00A4268A">
        <w:trPr>
          <w:cantSplit/>
        </w:trPr>
        <w:tc>
          <w:tcPr>
            <w:tcW w:w="10206" w:type="dxa"/>
            <w:vAlign w:val="center"/>
          </w:tcPr>
          <w:p w14:paraId="5C562B6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0CB276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B30A8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4B3EAF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InterRAI assessments and risk assessments are used to identify residents’ needs, and long-term care plans are developed and implemented. Resident files included medical notes by the general practitioner and visiting allied health professionals. </w:t>
      </w:r>
    </w:p>
    <w:p w14:paraId="754A02C8" w14:textId="77777777" w:rsidR="00412A85" w:rsidRPr="00A4268A" w:rsidRDefault="00000000" w:rsidP="00621629">
      <w:pPr>
        <w:spacing w:before="240" w:line="276" w:lineRule="auto"/>
        <w:rPr>
          <w:rFonts w:eastAsia="Calibri"/>
        </w:rPr>
      </w:pPr>
      <w:r w:rsidRPr="00A4268A">
        <w:rPr>
          <w:rFonts w:eastAsia="Calibri"/>
        </w:rPr>
        <w:t xml:space="preserve">Food, fluid, and nutritional needs of residents are provided in line with recognised nutritional guidelines and additional requirements/modified needs were being met. The service has a current food control plan. </w:t>
      </w:r>
    </w:p>
    <w:p w14:paraId="3359B8EE" w14:textId="77777777" w:rsidR="00412A85" w:rsidRPr="00A4268A" w:rsidRDefault="00000000" w:rsidP="00621629">
      <w:pPr>
        <w:spacing w:before="240" w:line="276" w:lineRule="auto"/>
        <w:rPr>
          <w:rFonts w:eastAsia="Calibri"/>
        </w:rPr>
      </w:pPr>
      <w:r w:rsidRPr="00A4268A">
        <w:rPr>
          <w:rFonts w:eastAsia="Calibri"/>
        </w:rPr>
        <w:lastRenderedPageBreak/>
        <w:t>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a general practitioner or nurse practitioner.</w:t>
      </w:r>
    </w:p>
    <w:p w14:paraId="1418491F" w14:textId="77777777" w:rsidR="00412A85"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02B9E8C2" w14:textId="77777777" w:rsidR="00412A85" w:rsidRPr="00A4268A" w:rsidRDefault="00412A85" w:rsidP="00621629">
      <w:pPr>
        <w:spacing w:before="240" w:line="276" w:lineRule="auto"/>
        <w:rPr>
          <w:rFonts w:eastAsia="Calibri"/>
        </w:rPr>
      </w:pPr>
    </w:p>
    <w:p w14:paraId="3122FA5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2A85" w14:paraId="66E470A8" w14:textId="77777777" w:rsidTr="00A4268A">
        <w:trPr>
          <w:cantSplit/>
        </w:trPr>
        <w:tc>
          <w:tcPr>
            <w:tcW w:w="10206" w:type="dxa"/>
            <w:vAlign w:val="center"/>
          </w:tcPr>
          <w:p w14:paraId="25E9FD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A35D1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37848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4C2C4A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1EFF42E4" w14:textId="77777777" w:rsidR="00412A85" w:rsidRPr="00A4268A" w:rsidRDefault="00412A85">
      <w:pPr>
        <w:spacing w:before="240" w:line="276" w:lineRule="auto"/>
        <w:rPr>
          <w:rFonts w:eastAsia="Calibri"/>
        </w:rPr>
      </w:pPr>
    </w:p>
    <w:p w14:paraId="41B5E0D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2A85" w14:paraId="64341050" w14:textId="77777777" w:rsidTr="00A4268A">
        <w:trPr>
          <w:cantSplit/>
        </w:trPr>
        <w:tc>
          <w:tcPr>
            <w:tcW w:w="10206" w:type="dxa"/>
            <w:vAlign w:val="center"/>
          </w:tcPr>
          <w:p w14:paraId="797FAB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1DA1FA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7FD1C5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C62B271"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infection prevention and control programme has been reviewed by the Trust Board and is reviewed annually. Staff have attended infection control training.</w:t>
      </w:r>
    </w:p>
    <w:p w14:paraId="316469AD" w14:textId="77777777" w:rsidR="00412A85"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Outbreak response plans are in place, and the service has access to personal protective equipment supplies. There have been no outbreaks since the previous audit. </w:t>
      </w:r>
    </w:p>
    <w:bookmarkEnd w:id="28"/>
    <w:p w14:paraId="7436D667" w14:textId="77777777" w:rsidR="00412A85" w:rsidRPr="00A4268A" w:rsidRDefault="00412A85">
      <w:pPr>
        <w:spacing w:before="240" w:line="276" w:lineRule="auto"/>
        <w:rPr>
          <w:rFonts w:eastAsia="Calibri"/>
        </w:rPr>
      </w:pPr>
    </w:p>
    <w:p w14:paraId="76CC355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2A85" w14:paraId="4E5637CF" w14:textId="77777777" w:rsidTr="00A4268A">
        <w:trPr>
          <w:cantSplit/>
        </w:trPr>
        <w:tc>
          <w:tcPr>
            <w:tcW w:w="10206" w:type="dxa"/>
            <w:vAlign w:val="center"/>
          </w:tcPr>
          <w:p w14:paraId="1327114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CE1C4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A1F503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CA7DF82"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residents using physical restraints. Staff demonstrated a sound knowledge and understanding of providing the least restrictive practice, de-escalation techniques, and alternative interventions.</w:t>
      </w:r>
    </w:p>
    <w:bookmarkEnd w:id="31"/>
    <w:p w14:paraId="2F3659DD" w14:textId="77777777" w:rsidR="00412A85" w:rsidRPr="00A4268A" w:rsidRDefault="00412A85">
      <w:pPr>
        <w:spacing w:before="240" w:line="276" w:lineRule="auto"/>
        <w:rPr>
          <w:rFonts w:eastAsia="Calibri"/>
        </w:rPr>
      </w:pPr>
    </w:p>
    <w:p w14:paraId="532252BE" w14:textId="77777777" w:rsidR="00000000" w:rsidRDefault="00000000" w:rsidP="000E6E02">
      <w:pPr>
        <w:pStyle w:val="Heading2"/>
        <w:spacing w:before="0"/>
        <w:rPr>
          <w:rFonts w:cs="Arial"/>
        </w:rPr>
      </w:pPr>
      <w:r>
        <w:rPr>
          <w:rFonts w:cs="Arial"/>
        </w:rPr>
        <w:lastRenderedPageBreak/>
        <w:t>Summary of attainment</w:t>
      </w:r>
    </w:p>
    <w:p w14:paraId="66CD2C9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12A85" w14:paraId="51F73816" w14:textId="77777777">
        <w:tc>
          <w:tcPr>
            <w:tcW w:w="1384" w:type="dxa"/>
            <w:vAlign w:val="center"/>
          </w:tcPr>
          <w:p w14:paraId="6834C0C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AD53C6F" w14:textId="77777777" w:rsidR="00000000" w:rsidRDefault="00000000">
            <w:pPr>
              <w:keepNext/>
              <w:spacing w:before="60" w:after="60"/>
              <w:jc w:val="center"/>
              <w:rPr>
                <w:rFonts w:cs="Arial"/>
                <w:b/>
                <w:sz w:val="20"/>
                <w:szCs w:val="20"/>
              </w:rPr>
            </w:pPr>
            <w:r>
              <w:rPr>
                <w:rFonts w:cs="Arial"/>
                <w:b/>
                <w:sz w:val="20"/>
                <w:szCs w:val="20"/>
              </w:rPr>
              <w:t>Continuous Improvement</w:t>
            </w:r>
          </w:p>
          <w:p w14:paraId="717C3E7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676759D" w14:textId="77777777" w:rsidR="00000000" w:rsidRDefault="00000000">
            <w:pPr>
              <w:keepNext/>
              <w:spacing w:before="60" w:after="60"/>
              <w:jc w:val="center"/>
              <w:rPr>
                <w:rFonts w:cs="Arial"/>
                <w:b/>
                <w:sz w:val="20"/>
                <w:szCs w:val="20"/>
              </w:rPr>
            </w:pPr>
            <w:r>
              <w:rPr>
                <w:rFonts w:cs="Arial"/>
                <w:b/>
                <w:sz w:val="20"/>
                <w:szCs w:val="20"/>
              </w:rPr>
              <w:t>Fully Attained</w:t>
            </w:r>
          </w:p>
          <w:p w14:paraId="498ADC0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F27EA2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94E024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0BA353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29917A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62D98B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E489B0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26FCFE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688B16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509C0D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238A3F9" w14:textId="77777777" w:rsidR="00000000" w:rsidRDefault="00000000">
            <w:pPr>
              <w:keepNext/>
              <w:spacing w:before="60" w:after="60"/>
              <w:jc w:val="center"/>
              <w:rPr>
                <w:rFonts w:cs="Arial"/>
                <w:b/>
                <w:sz w:val="20"/>
                <w:szCs w:val="20"/>
              </w:rPr>
            </w:pPr>
            <w:r>
              <w:rPr>
                <w:rFonts w:cs="Arial"/>
                <w:b/>
                <w:sz w:val="20"/>
                <w:szCs w:val="20"/>
              </w:rPr>
              <w:t>(PA Critical)</w:t>
            </w:r>
          </w:p>
        </w:tc>
      </w:tr>
      <w:tr w:rsidR="00412A85" w14:paraId="6AEB4B9B" w14:textId="77777777">
        <w:tc>
          <w:tcPr>
            <w:tcW w:w="1384" w:type="dxa"/>
            <w:vAlign w:val="center"/>
          </w:tcPr>
          <w:p w14:paraId="142F796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51A4A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327AAD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3D2994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15027F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B1923E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4E82A56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510A73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12A85" w14:paraId="24E02FFB" w14:textId="77777777">
        <w:tc>
          <w:tcPr>
            <w:tcW w:w="1384" w:type="dxa"/>
            <w:vAlign w:val="center"/>
          </w:tcPr>
          <w:p w14:paraId="5FC071B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4D775C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8CE86F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61CC81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935C93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F75245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3BFEE90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D3E94D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9D750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12A85" w14:paraId="4E0BC5E7" w14:textId="77777777">
        <w:tc>
          <w:tcPr>
            <w:tcW w:w="1384" w:type="dxa"/>
            <w:vAlign w:val="center"/>
          </w:tcPr>
          <w:p w14:paraId="7E9FFE0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AE2883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F8FE50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E51B827" w14:textId="77777777" w:rsidR="00000000" w:rsidRDefault="00000000">
            <w:pPr>
              <w:keepNext/>
              <w:spacing w:before="60" w:after="60"/>
              <w:jc w:val="center"/>
              <w:rPr>
                <w:rFonts w:cs="Arial"/>
                <w:b/>
                <w:sz w:val="20"/>
                <w:szCs w:val="20"/>
              </w:rPr>
            </w:pPr>
            <w:r>
              <w:rPr>
                <w:rFonts w:cs="Arial"/>
                <w:b/>
                <w:sz w:val="20"/>
                <w:szCs w:val="20"/>
              </w:rPr>
              <w:t>Unattained Low Risk</w:t>
            </w:r>
          </w:p>
          <w:p w14:paraId="701260A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C1287CA" w14:textId="77777777" w:rsidR="00000000" w:rsidRDefault="00000000">
            <w:pPr>
              <w:keepNext/>
              <w:spacing w:before="60" w:after="60"/>
              <w:jc w:val="center"/>
              <w:rPr>
                <w:rFonts w:cs="Arial"/>
                <w:b/>
                <w:sz w:val="20"/>
                <w:szCs w:val="20"/>
              </w:rPr>
            </w:pPr>
            <w:r>
              <w:rPr>
                <w:rFonts w:cs="Arial"/>
                <w:b/>
                <w:sz w:val="20"/>
                <w:szCs w:val="20"/>
              </w:rPr>
              <w:t>Unattained Moderate Risk</w:t>
            </w:r>
          </w:p>
          <w:p w14:paraId="3DF00EF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D7A4D74" w14:textId="77777777" w:rsidR="00000000" w:rsidRDefault="00000000">
            <w:pPr>
              <w:keepNext/>
              <w:spacing w:before="60" w:after="60"/>
              <w:jc w:val="center"/>
              <w:rPr>
                <w:rFonts w:cs="Arial"/>
                <w:b/>
                <w:sz w:val="20"/>
                <w:szCs w:val="20"/>
              </w:rPr>
            </w:pPr>
            <w:r>
              <w:rPr>
                <w:rFonts w:cs="Arial"/>
                <w:b/>
                <w:sz w:val="20"/>
                <w:szCs w:val="20"/>
              </w:rPr>
              <w:t>Unattained High Risk</w:t>
            </w:r>
          </w:p>
          <w:p w14:paraId="17FA386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5538CE7" w14:textId="77777777" w:rsidR="00000000" w:rsidRDefault="00000000">
            <w:pPr>
              <w:keepNext/>
              <w:spacing w:before="60" w:after="60"/>
              <w:jc w:val="center"/>
              <w:rPr>
                <w:rFonts w:cs="Arial"/>
                <w:b/>
                <w:sz w:val="20"/>
                <w:szCs w:val="20"/>
              </w:rPr>
            </w:pPr>
            <w:r>
              <w:rPr>
                <w:rFonts w:cs="Arial"/>
                <w:b/>
                <w:sz w:val="20"/>
                <w:szCs w:val="20"/>
              </w:rPr>
              <w:t>Unattained Critical Risk</w:t>
            </w:r>
          </w:p>
          <w:p w14:paraId="21517BEC" w14:textId="77777777" w:rsidR="00000000" w:rsidRDefault="00000000">
            <w:pPr>
              <w:keepNext/>
              <w:spacing w:before="60" w:after="60"/>
              <w:jc w:val="center"/>
              <w:rPr>
                <w:rFonts w:cs="Arial"/>
                <w:b/>
                <w:sz w:val="20"/>
                <w:szCs w:val="20"/>
              </w:rPr>
            </w:pPr>
            <w:r>
              <w:rPr>
                <w:rFonts w:cs="Arial"/>
                <w:b/>
                <w:sz w:val="20"/>
                <w:szCs w:val="20"/>
              </w:rPr>
              <w:t>(UA Critical)</w:t>
            </w:r>
          </w:p>
        </w:tc>
      </w:tr>
      <w:tr w:rsidR="00412A85" w14:paraId="59255BE1" w14:textId="77777777">
        <w:tc>
          <w:tcPr>
            <w:tcW w:w="1384" w:type="dxa"/>
            <w:vAlign w:val="center"/>
          </w:tcPr>
          <w:p w14:paraId="34B41F7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D27C4F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9BBFC1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BC1E4D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8746BF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55E992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12A85" w14:paraId="36D7F5DF" w14:textId="77777777">
        <w:tc>
          <w:tcPr>
            <w:tcW w:w="1384" w:type="dxa"/>
            <w:vAlign w:val="center"/>
          </w:tcPr>
          <w:p w14:paraId="0942BF3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0AECA8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C9D125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0D6216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CD097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1F032C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6004B1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44DC4D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6844B6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C4CD70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412A85" w14:paraId="1ACD76E9" w14:textId="77777777">
        <w:tc>
          <w:tcPr>
            <w:tcW w:w="0" w:type="auto"/>
          </w:tcPr>
          <w:p w14:paraId="1AE2EF8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F0B034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8985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12A85" w14:paraId="6292F301" w14:textId="77777777">
        <w:tc>
          <w:tcPr>
            <w:tcW w:w="0" w:type="auto"/>
          </w:tcPr>
          <w:p w14:paraId="575778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1B1C96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C8835AF" w14:textId="77777777" w:rsidR="00000000" w:rsidRPr="00BE00C7" w:rsidRDefault="00000000" w:rsidP="00BE00C7">
            <w:pPr>
              <w:pStyle w:val="OutcomeDescription"/>
              <w:spacing w:before="120" w:after="120"/>
              <w:rPr>
                <w:rFonts w:cs="Arial"/>
                <w:lang w:eastAsia="en-NZ"/>
              </w:rPr>
            </w:pPr>
          </w:p>
        </w:tc>
        <w:tc>
          <w:tcPr>
            <w:tcW w:w="0" w:type="auto"/>
          </w:tcPr>
          <w:p w14:paraId="008036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A70C8E"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Whangaroa Health Services Trust (WHST) has a relationship with the local marae and links are established with the other kaumātua via WHST Māori staff, and residents for activities such as blessing of the rooms. Comprehensive cultural assessments are completed for residents who identify as Māori.</w:t>
            </w:r>
          </w:p>
          <w:p w14:paraId="1099906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nine staff (three healthcare assistants (HCAs), two registered nurse (RN), one cleaner, one kitchen team lead, one physiotherapist, the support services team leader) and management (chief executive officer (CEO), aged care facility leader) demonstrated a knowledge of implementing the principles of Te Tiriti o Waitangi to all aspects of the service.</w:t>
            </w:r>
          </w:p>
          <w:p w14:paraId="6E44DB03" w14:textId="77777777" w:rsidR="00000000" w:rsidRPr="00BE00C7" w:rsidRDefault="00000000" w:rsidP="00BE00C7">
            <w:pPr>
              <w:pStyle w:val="OutcomeDescription"/>
              <w:spacing w:before="120" w:after="120"/>
              <w:rPr>
                <w:rFonts w:cs="Arial"/>
                <w:lang w:eastAsia="en-NZ"/>
              </w:rPr>
            </w:pPr>
          </w:p>
        </w:tc>
      </w:tr>
      <w:tr w:rsidR="00412A85" w14:paraId="263E4051" w14:textId="77777777">
        <w:tc>
          <w:tcPr>
            <w:tcW w:w="0" w:type="auto"/>
          </w:tcPr>
          <w:p w14:paraId="3A8163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0CE36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21E5F97" w14:textId="77777777" w:rsidR="00000000" w:rsidRPr="00BE00C7" w:rsidRDefault="00000000" w:rsidP="00BE00C7">
            <w:pPr>
              <w:pStyle w:val="OutcomeDescription"/>
              <w:spacing w:before="120" w:after="120"/>
              <w:rPr>
                <w:rFonts w:cs="Arial"/>
                <w:lang w:eastAsia="en-NZ"/>
              </w:rPr>
            </w:pPr>
          </w:p>
        </w:tc>
        <w:tc>
          <w:tcPr>
            <w:tcW w:w="0" w:type="auto"/>
          </w:tcPr>
          <w:p w14:paraId="72460B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41AE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WHST Pacific health plan. The aim is to uphold the principles of Pacific </w:t>
            </w:r>
            <w:r w:rsidRPr="00BE00C7">
              <w:rPr>
                <w:rFonts w:cs="Arial"/>
                <w:lang w:eastAsia="en-NZ"/>
              </w:rPr>
              <w:lastRenderedPageBreak/>
              <w:t>people by acknowledging respectful relationships, valuing families, and providing high quality healthcare.</w:t>
            </w:r>
          </w:p>
          <w:p w14:paraId="66DF55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Interviews with the facility and staff members confirmed that all residents’ whānau are encouraged to be involved in all aspects of care, particularly in nursing and medical decisions. They cited satisfaction with the service and recognition of cultural needs. </w:t>
            </w:r>
          </w:p>
          <w:p w14:paraId="20CE5646" w14:textId="77777777" w:rsidR="00000000" w:rsidRPr="00BE00C7" w:rsidRDefault="00000000" w:rsidP="00BE00C7">
            <w:pPr>
              <w:pStyle w:val="OutcomeDescription"/>
              <w:spacing w:before="120" w:after="120"/>
              <w:rPr>
                <w:rFonts w:cs="Arial"/>
                <w:lang w:eastAsia="en-NZ"/>
              </w:rPr>
            </w:pPr>
            <w:r w:rsidRPr="00BE00C7">
              <w:rPr>
                <w:rFonts w:cs="Arial"/>
                <w:lang w:eastAsia="en-NZ"/>
              </w:rPr>
              <w:t>WHST partners with Pacific employees to ensure connectivity within the region to increase knowledge, awareness and understanding of the needs of Pacific people.</w:t>
            </w:r>
          </w:p>
          <w:p w14:paraId="26D075A7" w14:textId="77777777" w:rsidR="00000000" w:rsidRPr="00BE00C7" w:rsidRDefault="00000000" w:rsidP="00BE00C7">
            <w:pPr>
              <w:pStyle w:val="OutcomeDescription"/>
              <w:spacing w:before="120" w:after="120"/>
              <w:rPr>
                <w:rFonts w:cs="Arial"/>
                <w:lang w:eastAsia="en-NZ"/>
              </w:rPr>
            </w:pPr>
          </w:p>
        </w:tc>
      </w:tr>
      <w:tr w:rsidR="00412A85" w14:paraId="18FC1EBF" w14:textId="77777777">
        <w:tc>
          <w:tcPr>
            <w:tcW w:w="0" w:type="auto"/>
          </w:tcPr>
          <w:p w14:paraId="3D3623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0F0D8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A9E951" w14:textId="77777777" w:rsidR="00000000" w:rsidRPr="00BE00C7" w:rsidRDefault="00000000" w:rsidP="00BE00C7">
            <w:pPr>
              <w:pStyle w:val="OutcomeDescription"/>
              <w:spacing w:before="120" w:after="120"/>
              <w:rPr>
                <w:rFonts w:cs="Arial"/>
                <w:lang w:eastAsia="en-NZ"/>
              </w:rPr>
            </w:pPr>
          </w:p>
        </w:tc>
        <w:tc>
          <w:tcPr>
            <w:tcW w:w="0" w:type="auto"/>
          </w:tcPr>
          <w:p w14:paraId="1B6887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1DEACE"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Rights are included in the information that is provided to new residents and their family/whānau. The CEO, aged care facility leader, or registered nurses discuss aspects of the Code with residents and their family/whānau on admission. The Code is displayed in multiple locations in English and te reo Māori.</w:t>
            </w:r>
          </w:p>
          <w:p w14:paraId="5AC5A984"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residents (three rest home, one hospital), and two family/whānau (hospital level), confirmed that individual choices, independence, and cultural beliefs are respected. Interactions observed between staff and residents during the audit were respectful.</w:t>
            </w:r>
          </w:p>
          <w:p w14:paraId="6C050E22" w14:textId="77777777" w:rsidR="00000000" w:rsidRPr="00BE00C7" w:rsidRDefault="00000000" w:rsidP="00BE00C7">
            <w:pPr>
              <w:pStyle w:val="OutcomeDescription"/>
              <w:spacing w:before="120" w:after="120"/>
              <w:rPr>
                <w:rFonts w:cs="Arial"/>
                <w:lang w:eastAsia="en-NZ"/>
              </w:rPr>
            </w:pPr>
          </w:p>
        </w:tc>
      </w:tr>
      <w:tr w:rsidR="00412A85" w14:paraId="26FEDE48" w14:textId="77777777">
        <w:tc>
          <w:tcPr>
            <w:tcW w:w="0" w:type="auto"/>
          </w:tcPr>
          <w:p w14:paraId="1B344A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01CA9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9CF997" w14:textId="77777777" w:rsidR="00000000" w:rsidRPr="00BE00C7" w:rsidRDefault="00000000" w:rsidP="00BE00C7">
            <w:pPr>
              <w:pStyle w:val="OutcomeDescription"/>
              <w:spacing w:before="120" w:after="120"/>
              <w:rPr>
                <w:rFonts w:cs="Arial"/>
                <w:lang w:eastAsia="en-NZ"/>
              </w:rPr>
            </w:pPr>
          </w:p>
        </w:tc>
        <w:tc>
          <w:tcPr>
            <w:tcW w:w="0" w:type="auto"/>
          </w:tcPr>
          <w:p w14:paraId="6F1FEF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3E31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WHST policies aim to prevent any form of institutional racism, discrimination, coercion, harassment, or any other exploitation. WHST holds cultural days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67F293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Police checks are completed as part of the employment process. The 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w:t>
            </w:r>
          </w:p>
          <w:p w14:paraId="60152A26" w14:textId="77777777" w:rsidR="00000000" w:rsidRPr="00BE00C7" w:rsidRDefault="00000000" w:rsidP="00BE00C7">
            <w:pPr>
              <w:pStyle w:val="OutcomeDescription"/>
              <w:spacing w:before="120" w:after="120"/>
              <w:rPr>
                <w:rFonts w:cs="Arial"/>
                <w:lang w:eastAsia="en-NZ"/>
              </w:rPr>
            </w:pPr>
          </w:p>
        </w:tc>
      </w:tr>
      <w:tr w:rsidR="00412A85" w14:paraId="0564EBE0" w14:textId="77777777">
        <w:tc>
          <w:tcPr>
            <w:tcW w:w="0" w:type="auto"/>
          </w:tcPr>
          <w:p w14:paraId="1AA227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9E1A8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0FCB4D6" w14:textId="77777777" w:rsidR="00000000" w:rsidRPr="00BE00C7" w:rsidRDefault="00000000" w:rsidP="00BE00C7">
            <w:pPr>
              <w:pStyle w:val="OutcomeDescription"/>
              <w:spacing w:before="120" w:after="120"/>
              <w:rPr>
                <w:rFonts w:cs="Arial"/>
                <w:lang w:eastAsia="en-NZ"/>
              </w:rPr>
            </w:pPr>
          </w:p>
        </w:tc>
        <w:tc>
          <w:tcPr>
            <w:tcW w:w="0" w:type="auto"/>
          </w:tcPr>
          <w:p w14:paraId="39B259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1987F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two family/whanau confirmed that communication is good and they are informed of changes in health status. Ten accident/incident forms reviewed identified family/whānau or next of kin are kept informed, and this was confirmed through the interviews with family/whānau</w:t>
            </w:r>
          </w:p>
          <w:p w14:paraId="1082CFA7" w14:textId="77777777" w:rsidR="00000000" w:rsidRPr="00BE00C7" w:rsidRDefault="00000000" w:rsidP="00BE00C7">
            <w:pPr>
              <w:pStyle w:val="OutcomeDescription"/>
              <w:spacing w:before="120" w:after="120"/>
              <w:rPr>
                <w:rFonts w:cs="Arial"/>
                <w:lang w:eastAsia="en-NZ"/>
              </w:rPr>
            </w:pPr>
          </w:p>
        </w:tc>
      </w:tr>
      <w:tr w:rsidR="00412A85" w14:paraId="73DB90BF" w14:textId="77777777">
        <w:tc>
          <w:tcPr>
            <w:tcW w:w="0" w:type="auto"/>
          </w:tcPr>
          <w:p w14:paraId="0BB998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A1507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3D871E0" w14:textId="77777777" w:rsidR="00000000" w:rsidRPr="00BE00C7" w:rsidRDefault="00000000" w:rsidP="00BE00C7">
            <w:pPr>
              <w:pStyle w:val="OutcomeDescription"/>
              <w:spacing w:before="120" w:after="120"/>
              <w:rPr>
                <w:rFonts w:cs="Arial"/>
                <w:lang w:eastAsia="en-NZ"/>
              </w:rPr>
            </w:pPr>
          </w:p>
        </w:tc>
        <w:tc>
          <w:tcPr>
            <w:tcW w:w="0" w:type="auto"/>
          </w:tcPr>
          <w:p w14:paraId="61957F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4E3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EPOA activation letters were on file where appropriate.</w:t>
            </w:r>
          </w:p>
          <w:p w14:paraId="37347E3C" w14:textId="77777777" w:rsidR="00000000" w:rsidRPr="00BE00C7" w:rsidRDefault="00000000" w:rsidP="00BE00C7">
            <w:pPr>
              <w:pStyle w:val="OutcomeDescription"/>
              <w:spacing w:before="120" w:after="120"/>
              <w:rPr>
                <w:rFonts w:cs="Arial"/>
                <w:lang w:eastAsia="en-NZ"/>
              </w:rPr>
            </w:pPr>
          </w:p>
        </w:tc>
      </w:tr>
      <w:tr w:rsidR="00412A85" w14:paraId="6FA60D57" w14:textId="77777777">
        <w:tc>
          <w:tcPr>
            <w:tcW w:w="0" w:type="auto"/>
          </w:tcPr>
          <w:p w14:paraId="494CDE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4F283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6B784A7" w14:textId="77777777" w:rsidR="00000000" w:rsidRPr="00BE00C7" w:rsidRDefault="00000000" w:rsidP="00BE00C7">
            <w:pPr>
              <w:pStyle w:val="OutcomeDescription"/>
              <w:spacing w:before="120" w:after="120"/>
              <w:rPr>
                <w:rFonts w:cs="Arial"/>
                <w:lang w:eastAsia="en-NZ"/>
              </w:rPr>
            </w:pPr>
          </w:p>
        </w:tc>
        <w:tc>
          <w:tcPr>
            <w:tcW w:w="0" w:type="auto"/>
          </w:tcPr>
          <w:p w14:paraId="4968B6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1E45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CEO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11597157"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being maintained. There have been no complaints since the previous audit in March 2024. The CEO was able to evidence the process for complaint management, including follow-up letters and resolution, demonstrating that complaints are able to be managed in accordance with guidelines set by the HDC. There have been no external complaints received; however, a previous HDC complaint (2021) has been closed and referred to the Ministry of Health. The Ministry has requested follow up of aspects of a previous complaint in relation to communication, information technology, care planning, and evaluations. There were no issues identified in this audit in respect of this complaint.</w:t>
            </w:r>
          </w:p>
          <w:p w14:paraId="2F5DBF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 whānau during the resident’s entry to the service. The Code of Health and Disability Services Consumers’ Rights is visible, and available in te reo Māori, and English. Discussions with residents and family/whānau confirmed that they were provided with information on the complaints process and remarked that any concerns or issues they had, were addressed promptly. The CEO is responsible for the management of complaints and provides Māori residents with support to ensure an equitable complaints process. The CEO acknowledged the understanding that for Māori, there is a preference for face-to-face communication, and confirmed that this would be encouraged for any complainant, but particularly for Māori.</w:t>
            </w:r>
          </w:p>
          <w:p w14:paraId="3A948B05" w14:textId="77777777" w:rsidR="00000000" w:rsidRPr="00BE00C7" w:rsidRDefault="00000000" w:rsidP="00BE00C7">
            <w:pPr>
              <w:pStyle w:val="OutcomeDescription"/>
              <w:spacing w:before="120" w:after="120"/>
              <w:rPr>
                <w:rFonts w:cs="Arial"/>
                <w:lang w:eastAsia="en-NZ"/>
              </w:rPr>
            </w:pPr>
          </w:p>
        </w:tc>
      </w:tr>
      <w:tr w:rsidR="00412A85" w14:paraId="10D4C0DE" w14:textId="77777777">
        <w:tc>
          <w:tcPr>
            <w:tcW w:w="0" w:type="auto"/>
          </w:tcPr>
          <w:p w14:paraId="505AAA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1417B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8268823" w14:textId="77777777" w:rsidR="00000000" w:rsidRPr="00BE00C7" w:rsidRDefault="00000000" w:rsidP="00BE00C7">
            <w:pPr>
              <w:pStyle w:val="OutcomeDescription"/>
              <w:spacing w:before="120" w:after="120"/>
              <w:rPr>
                <w:rFonts w:cs="Arial"/>
                <w:lang w:eastAsia="en-NZ"/>
              </w:rPr>
            </w:pPr>
          </w:p>
        </w:tc>
        <w:tc>
          <w:tcPr>
            <w:tcW w:w="0" w:type="auto"/>
          </w:tcPr>
          <w:p w14:paraId="494169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6701DD" w14:textId="77777777" w:rsidR="00000000" w:rsidRPr="00BE00C7" w:rsidRDefault="00000000" w:rsidP="00BE00C7">
            <w:pPr>
              <w:pStyle w:val="OutcomeDescription"/>
              <w:spacing w:before="120" w:after="120"/>
              <w:rPr>
                <w:rFonts w:cs="Arial"/>
                <w:lang w:eastAsia="en-NZ"/>
              </w:rPr>
            </w:pPr>
            <w:r w:rsidRPr="00BE00C7">
              <w:rPr>
                <w:rFonts w:cs="Arial"/>
                <w:lang w:eastAsia="en-NZ"/>
              </w:rPr>
              <w:t>Whangaroa Health Services Trust is governed by a Trust Board which is comprised of seven representatives from the local community. The CEO oversees the Whangaroa Trust operations; Whangaroa Health Services (Kauri Lodge), the aged care facility; and a community health programme.</w:t>
            </w:r>
          </w:p>
          <w:p w14:paraId="23BF70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Whangaroa Health Services provides care for up to 25 residents at rest home and hospital (medical and geriatric) levels of care. On the day of the </w:t>
            </w:r>
            <w:r w:rsidRPr="00BE00C7">
              <w:rPr>
                <w:rFonts w:cs="Arial"/>
                <w:lang w:eastAsia="en-NZ"/>
              </w:rPr>
              <w:lastRenderedPageBreak/>
              <w:t xml:space="preserve">audit there were 25 residents, including 13 rest home (including one funded by ACC, and one respite), and 12 hospital residents (including two residents on a younger person with a disability [YPD] contract). All residents (except the ACC, respite, and YPD) were under the aged related residential care (ARRC) agreement. </w:t>
            </w:r>
          </w:p>
          <w:p w14:paraId="02534E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five beds that are certified for dual purpose use, 10 dedicated hospital level beds, and ten rest home level beds. The service has applied for an additional two dual purpose beds to be added to their certificate as per the application dated 4 July 2025. HealthCERT has determined this to be low risk, and this audit confirms the addition of two dual purpose beds (Tui wing rooms 8 and 6). This takes the shared room total to four double rooms, and one shared 4-bed room. There are now seven dual-purpose rooms, ten dedicated rest home beds and 10 dedicated hospital beds. </w:t>
            </w:r>
          </w:p>
          <w:p w14:paraId="51021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WHST overall vision and values is documented in the business plan Te Rautaki o Whangaroa Hauora 2024-2029,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 and risk reporting that highlight operational goals. Outcomes and corrective actions are shared and discussed in the range of meetings that take place across the service and shared with the trustees via the monthly CEO report. </w:t>
            </w:r>
          </w:p>
          <w:p w14:paraId="58C499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CEO (senior registered nurse), and an external contractor experienced in the aged care industry. The CEO has extensive experience in health service management and aged care. The CEO is supported by the aged care facility leader, registered nurses, and an experienced care team. </w:t>
            </w:r>
          </w:p>
          <w:p w14:paraId="094AACD3" w14:textId="77777777" w:rsidR="00000000" w:rsidRPr="00BE00C7" w:rsidRDefault="00000000" w:rsidP="00BE00C7">
            <w:pPr>
              <w:pStyle w:val="OutcomeDescription"/>
              <w:spacing w:before="120" w:after="120"/>
              <w:rPr>
                <w:rFonts w:cs="Arial"/>
                <w:lang w:eastAsia="en-NZ"/>
              </w:rPr>
            </w:pPr>
          </w:p>
        </w:tc>
      </w:tr>
      <w:tr w:rsidR="00412A85" w14:paraId="035C0BA9" w14:textId="77777777">
        <w:tc>
          <w:tcPr>
            <w:tcW w:w="0" w:type="auto"/>
          </w:tcPr>
          <w:p w14:paraId="4CF7D0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A088B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4CE965C" w14:textId="77777777" w:rsidR="00000000" w:rsidRPr="00BE00C7" w:rsidRDefault="00000000" w:rsidP="00BE00C7">
            <w:pPr>
              <w:pStyle w:val="OutcomeDescription"/>
              <w:spacing w:before="120" w:after="120"/>
              <w:rPr>
                <w:rFonts w:cs="Arial"/>
                <w:lang w:eastAsia="en-NZ"/>
              </w:rPr>
            </w:pPr>
          </w:p>
        </w:tc>
        <w:tc>
          <w:tcPr>
            <w:tcW w:w="0" w:type="auto"/>
          </w:tcPr>
          <w:p w14:paraId="546AF6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78C3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WHST has procedures to guide staff in managing clinical and non-clinical emergencies. Policies and procedures and associated implementation systems provide a good level of assurance that the facility is meeting accepted good practice and adhering to relevant standards. A document </w:t>
            </w:r>
            <w:r w:rsidRPr="00BE00C7">
              <w:rPr>
                <w:rFonts w:cs="Arial"/>
                <w:lang w:eastAsia="en-NZ"/>
              </w:rPr>
              <w:lastRenderedPageBreak/>
              <w:t xml:space="preserve">control system is in place. Policies are regularly reviewed and meet the 2021 Standard. New policies or changes to policy are communicated and discussed with staff. </w:t>
            </w:r>
          </w:p>
          <w:p w14:paraId="01E21E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WHST is implementing a quality and risk management programme. The quality and risk management systems include performance monitoring through internal audits and through the collection of clinical indicator data. Monthly meetings include clinical, and staff hui, which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Monthly clinical meetings and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5AAAB5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family/whānau satisfaction, and food satisfaction surveys annually. The survey completed in August 2025 reflects overall satisfaction of the service. These are analysed internally to identify areas for improvement, with no corrective actions arising from this survey. </w:t>
            </w:r>
          </w:p>
          <w:p w14:paraId="620A5CF7"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undertaken by the CEO monthly and reported to the trustees. In the event of a staff accident or incident, a debrief process is documented on the accident/incident form. There were no serious staff injuries in the last 12 months.</w:t>
            </w:r>
          </w:p>
          <w:p w14:paraId="429D49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incident forms are completed for each incident/accident, and immediate action is documented with any follow-up action(s) required, evidenced in the accident/incident forms. </w:t>
            </w:r>
          </w:p>
          <w:p w14:paraId="271F1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CEO evidenced awareness of their requirement to notify relevant authorities in relation to essential notifications, including </w:t>
            </w:r>
            <w:r w:rsidRPr="00BE00C7">
              <w:rPr>
                <w:rFonts w:cs="Arial"/>
                <w:lang w:eastAsia="en-NZ"/>
              </w:rPr>
              <w:lastRenderedPageBreak/>
              <w:t>Severity Assessment Code (SAC) reporting procedures. There have been Section 31 notifications submitted for changes in management, and registered nurse shortages. There have been no SAC notifications and no outbreaks since the previous audit.</w:t>
            </w:r>
          </w:p>
          <w:p w14:paraId="6ED88465" w14:textId="77777777" w:rsidR="00000000" w:rsidRPr="00BE00C7" w:rsidRDefault="00000000" w:rsidP="00BE00C7">
            <w:pPr>
              <w:pStyle w:val="OutcomeDescription"/>
              <w:spacing w:before="120" w:after="120"/>
              <w:rPr>
                <w:rFonts w:cs="Arial"/>
                <w:lang w:eastAsia="en-NZ"/>
              </w:rPr>
            </w:pPr>
          </w:p>
        </w:tc>
      </w:tr>
      <w:tr w:rsidR="00412A85" w14:paraId="6CD5650B" w14:textId="77777777">
        <w:tc>
          <w:tcPr>
            <w:tcW w:w="0" w:type="auto"/>
          </w:tcPr>
          <w:p w14:paraId="7D37F4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6A56B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32B018C" w14:textId="77777777" w:rsidR="00000000" w:rsidRPr="00BE00C7" w:rsidRDefault="00000000" w:rsidP="00BE00C7">
            <w:pPr>
              <w:pStyle w:val="OutcomeDescription"/>
              <w:spacing w:before="120" w:after="120"/>
              <w:rPr>
                <w:rFonts w:cs="Arial"/>
                <w:lang w:eastAsia="en-NZ"/>
              </w:rPr>
            </w:pPr>
          </w:p>
        </w:tc>
        <w:tc>
          <w:tcPr>
            <w:tcW w:w="0" w:type="auto"/>
          </w:tcPr>
          <w:p w14:paraId="53E7418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9C8F6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however, the service has been unable to provide a registered nurse on site 24/7 and this is evidenced in the backlog of interRAI assessments (link 3.2.1). This is a continuation of the partial attainment identified at the previous audit. The service has current registered nurse vacancies and is actively recruiting.</w:t>
            </w:r>
          </w:p>
          <w:p w14:paraId="5DA7C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a selection of HCAs hold current first aid certificates. There is a first aid trained staff member on duty 24/7. The CEO and aged care facility leader are available Monday to Friday to provide clinical support. The aged care facility leader and the registered nurses share an on-call roster. </w:t>
            </w:r>
          </w:p>
          <w:p w14:paraId="0780FA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HCAs and two RNs confirmed that their workload is manageable. Staff and residents are informed when there are changes to staffing levels, evidenced in staff interviews, staff/quality meeting minutes and resident meeting minutes. </w:t>
            </w:r>
          </w:p>
          <w:p w14:paraId="7A1D0A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Competencies are completed by staff, which are linked to the education and training programme. All HCAs are required to complete annual competencies for restraint, hand hygiene, correct use of PPE, cultural safety, and moving and handling. A record of completion is maintained. The service supports and encourages HCAs to obtain a New Zealand Qualification Authority (NZQA) qualification.</w:t>
            </w:r>
          </w:p>
          <w:p w14:paraId="47193F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Two of four RNs are interRAI trained. </w:t>
            </w:r>
          </w:p>
          <w:p w14:paraId="2EAE3935" w14:textId="77777777" w:rsidR="00000000" w:rsidRPr="00BE00C7" w:rsidRDefault="00000000" w:rsidP="00BE00C7">
            <w:pPr>
              <w:pStyle w:val="OutcomeDescription"/>
              <w:spacing w:before="120" w:after="120"/>
              <w:rPr>
                <w:rFonts w:cs="Arial"/>
                <w:lang w:eastAsia="en-NZ"/>
              </w:rPr>
            </w:pPr>
          </w:p>
        </w:tc>
      </w:tr>
      <w:tr w:rsidR="00412A85" w14:paraId="334C4F77" w14:textId="77777777">
        <w:tc>
          <w:tcPr>
            <w:tcW w:w="0" w:type="auto"/>
          </w:tcPr>
          <w:p w14:paraId="519239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1A485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F9942BE" w14:textId="77777777" w:rsidR="00000000" w:rsidRPr="00BE00C7" w:rsidRDefault="00000000" w:rsidP="00BE00C7">
            <w:pPr>
              <w:pStyle w:val="OutcomeDescription"/>
              <w:spacing w:before="120" w:after="120"/>
              <w:rPr>
                <w:rFonts w:cs="Arial"/>
                <w:lang w:eastAsia="en-NZ"/>
              </w:rPr>
            </w:pPr>
          </w:p>
        </w:tc>
        <w:tc>
          <w:tcPr>
            <w:tcW w:w="0" w:type="auto"/>
          </w:tcPr>
          <w:p w14:paraId="45A23F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7D22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Six staff files reviewed included a signed employment contract, job description, police check, induction documentation relevant to the role the staff member is in, application form, and reference checks. All staff who have been employed for over one year have an annual appraisal completed.</w:t>
            </w:r>
          </w:p>
          <w:p w14:paraId="6795EA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7D46811D" w14:textId="77777777" w:rsidR="00000000" w:rsidRPr="00BE00C7" w:rsidRDefault="00000000"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role-specific orientation programme includes buddying when first employed. The service demonstrates that the orientation programme supports RNs and HCAs to provide a culturally safe environment for Māori. HCAs interviewed reported that the orientation process prepared new staff for their role and could be extended if required. Non-clinical staff have a modified orientation, which covers all key requirements of their role.</w:t>
            </w:r>
          </w:p>
          <w:p w14:paraId="14D426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29D6DF96" w14:textId="77777777" w:rsidR="00000000" w:rsidRPr="00BE00C7" w:rsidRDefault="00000000" w:rsidP="00BE00C7">
            <w:pPr>
              <w:pStyle w:val="OutcomeDescription"/>
              <w:spacing w:before="120" w:after="120"/>
              <w:rPr>
                <w:rFonts w:cs="Arial"/>
                <w:lang w:eastAsia="en-NZ"/>
              </w:rPr>
            </w:pPr>
          </w:p>
        </w:tc>
      </w:tr>
      <w:tr w:rsidR="00412A85" w14:paraId="1C38A575" w14:textId="77777777">
        <w:tc>
          <w:tcPr>
            <w:tcW w:w="0" w:type="auto"/>
          </w:tcPr>
          <w:p w14:paraId="119157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FC871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7A772F9" w14:textId="77777777" w:rsidR="00000000" w:rsidRPr="00BE00C7" w:rsidRDefault="00000000" w:rsidP="00BE00C7">
            <w:pPr>
              <w:pStyle w:val="OutcomeDescription"/>
              <w:spacing w:before="120" w:after="120"/>
              <w:rPr>
                <w:rFonts w:cs="Arial"/>
                <w:lang w:eastAsia="en-NZ"/>
              </w:rPr>
            </w:pPr>
          </w:p>
        </w:tc>
        <w:tc>
          <w:tcPr>
            <w:tcW w:w="0" w:type="auto"/>
          </w:tcPr>
          <w:p w14:paraId="0DF278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FFC9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both electronically and in hard copy (kept in locked cabinets when not in use). Electronic information is regularly backed-up using cloud-based technology and password protected. There is a documented business continuity plan in case of information systems failure. Resident records are integrated.</w:t>
            </w:r>
          </w:p>
          <w:p w14:paraId="54E2CF54" w14:textId="77777777" w:rsidR="00000000" w:rsidRPr="00BE00C7" w:rsidRDefault="00000000" w:rsidP="00BE00C7">
            <w:pPr>
              <w:pStyle w:val="OutcomeDescription"/>
              <w:spacing w:before="120" w:after="120"/>
              <w:rPr>
                <w:rFonts w:cs="Arial"/>
                <w:lang w:eastAsia="en-NZ"/>
              </w:rPr>
            </w:pPr>
          </w:p>
        </w:tc>
      </w:tr>
      <w:tr w:rsidR="00412A85" w14:paraId="5C5BA52B" w14:textId="77777777">
        <w:tc>
          <w:tcPr>
            <w:tcW w:w="0" w:type="auto"/>
          </w:tcPr>
          <w:p w14:paraId="443028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67F93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7414A0E" w14:textId="77777777" w:rsidR="00000000" w:rsidRPr="00BE00C7" w:rsidRDefault="00000000" w:rsidP="00BE00C7">
            <w:pPr>
              <w:pStyle w:val="OutcomeDescription"/>
              <w:spacing w:before="120" w:after="120"/>
              <w:rPr>
                <w:rFonts w:cs="Arial"/>
                <w:lang w:eastAsia="en-NZ"/>
              </w:rPr>
            </w:pPr>
          </w:p>
        </w:tc>
        <w:tc>
          <w:tcPr>
            <w:tcW w:w="0" w:type="auto"/>
          </w:tcPr>
          <w:p w14:paraId="4EC2D75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3CB5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three hospital residents (including one ACC) and two rest home residents (including one respite, and one YPD). The aged care facility leader and the RNs are responsible for conducting all assessments and for the development of care plans. There is evidence of resident and family/whānau involvement in the initial assessments, interRAI assessments, and family/whānau meeting, where the long-term care plans are reviewed. This is documented in the progress notes and resident records. The service utilises a person-centred model of care. </w:t>
            </w:r>
          </w:p>
          <w:p w14:paraId="4AA0F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(except the residents on ACC, respite care, and YPD) had an initial interRAI assessment completed in a timely manner to reflect the resident’s needs; however, interRAI reassessments had not always occurred six-monthly as planned. A review of the interRAI system showed there were six interRAI assessments that were overdue for review and reassessment. </w:t>
            </w:r>
          </w:p>
          <w:p w14:paraId="1B3592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ACC and YPD residents had initial assessments and care plan, appropriate risk assessments and a long-term care plan documented. The respite resident has an initial assessment and an initial care plan in place.</w:t>
            </w:r>
          </w:p>
          <w:p w14:paraId="714A6A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long-term care plan includes interventions to guide holistic care delivery. The care plan aligns with the service’s model of person-centred care. Care plan evaluations were completed as needs changed. Evaluations stated progress against the set goals. Care plans have been updated when there were changes in health condition and identified needs. </w:t>
            </w:r>
          </w:p>
          <w:p w14:paraId="4EF77D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a nurse practitioner (NP) who assesses residents within five working days of admission. The NP reviews each resident at least three-monthly and is involved in the six-monthly resident reviews. After-hours support is available from the Bay of Islands Hospital and the Emergency Consult service. The CEO and aged care facility leader are available Monday to Friday to provide clinical support. When interviewed, the NP expressed satisfaction with the standard of care at Whangaroa Health Services. Specialist referrals are initiated as needed. Allied health interventions were documented and integrated into care plans. There is an </w:t>
            </w:r>
            <w:r w:rsidRPr="00BE00C7">
              <w:rPr>
                <w:rFonts w:cs="Arial"/>
                <w:lang w:eastAsia="en-NZ"/>
              </w:rPr>
              <w:lastRenderedPageBreak/>
              <w:t xml:space="preserve">employed physiotherapist available Monday to Friday. A podiatrist visits every six weeks, and a dietitian, speech language therapist, occupational health therapist, continence advisor, hospice specialists, and wound care specialist nurse are available as required. </w:t>
            </w:r>
          </w:p>
          <w:p w14:paraId="079368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and written handover at the beginning of each duty that maintains a continuity of service delivery; this was sighted on the day of audit and found to be comprehensive in nature. Progress notes are written daily by HCAs and RNs. The RN further adds to the progress notes if there are any incidents, NP input or changes in health status. </w:t>
            </w:r>
          </w:p>
          <w:p w14:paraId="3D1C25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a RN initiates a review with the NP or locum GP. Family/whānau were notified of all changes to health, including infections, accident/incidents, NP or GP input, medication changes, and any changes to health status. Wound assessments, and wound management plans with body map, photos and wound measurements were reviewed. An electronic wound register is maintained. There were five residents with minor wounds currently being treated, and three stage I pressure injuries. </w:t>
            </w:r>
          </w:p>
          <w:p w14:paraId="7BC932C9"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HCAs interviewed stated there are adequate clinical supplies and equipment provided, including continence, wound care supplies, and pressure injury prevention resources. Care plans reflect the required health monitoring interventions for individual residents. Healthcare assistants and RNs complete monitoring charts, including bowel chart; blood pressure; weight; food and fluid chart; pain; behaviour; blood glucose levels; restraint and toileting regime. Neurological observations are completed for unwitnessed falls and suspected head injuries according to the policy.</w:t>
            </w:r>
          </w:p>
          <w:p w14:paraId="7F14CF24" w14:textId="77777777" w:rsidR="00000000" w:rsidRPr="00BE00C7" w:rsidRDefault="00000000" w:rsidP="00F041F9">
            <w:pPr>
              <w:pStyle w:val="OutcomeDescription"/>
              <w:spacing w:before="120" w:after="120"/>
              <w:rPr>
                <w:rFonts w:cs="Arial"/>
                <w:lang w:eastAsia="en-NZ"/>
              </w:rPr>
            </w:pPr>
          </w:p>
        </w:tc>
      </w:tr>
      <w:tr w:rsidR="00412A85" w14:paraId="0CDCB1E7" w14:textId="77777777">
        <w:tc>
          <w:tcPr>
            <w:tcW w:w="0" w:type="auto"/>
          </w:tcPr>
          <w:p w14:paraId="42DC3D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6364A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3BD3C1C6" w14:textId="77777777" w:rsidR="00000000" w:rsidRPr="00BE00C7" w:rsidRDefault="00000000" w:rsidP="00BE00C7">
            <w:pPr>
              <w:pStyle w:val="OutcomeDescription"/>
              <w:spacing w:before="120" w:after="120"/>
              <w:rPr>
                <w:rFonts w:cs="Arial"/>
                <w:lang w:eastAsia="en-NZ"/>
              </w:rPr>
            </w:pPr>
          </w:p>
        </w:tc>
        <w:tc>
          <w:tcPr>
            <w:tcW w:w="0" w:type="auto"/>
          </w:tcPr>
          <w:p w14:paraId="45BD9D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429A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NP and allergies were recorded in all medication charts sampled. </w:t>
            </w:r>
          </w:p>
          <w:p w14:paraId="143EC4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uses pharmacy pre-packaged medicines that are checked by the RN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470ED2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RN oversees the use of all pro re nata (PRN) medicines and documentation made regarding effectiveness in the progress notes was sighted. Current medication competencies were evident in staff files.</w:t>
            </w:r>
          </w:p>
          <w:p w14:paraId="1EA45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policy and procedures including assessment, review, and the provision of safe storage were in place for when required. Standing orders are not used, and vaccines are not kept on site. </w:t>
            </w:r>
          </w:p>
          <w:p w14:paraId="2264B767" w14:textId="77777777" w:rsidR="00000000" w:rsidRPr="00BE00C7" w:rsidRDefault="00000000" w:rsidP="00BE00C7">
            <w:pPr>
              <w:pStyle w:val="OutcomeDescription"/>
              <w:spacing w:before="120" w:after="120"/>
              <w:rPr>
                <w:rFonts w:cs="Arial"/>
                <w:lang w:eastAsia="en-NZ"/>
              </w:rPr>
            </w:pPr>
          </w:p>
        </w:tc>
      </w:tr>
      <w:tr w:rsidR="00412A85" w14:paraId="20CA5F5B" w14:textId="77777777">
        <w:tc>
          <w:tcPr>
            <w:tcW w:w="0" w:type="auto"/>
          </w:tcPr>
          <w:p w14:paraId="09A1A9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9EA0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22DDF36" w14:textId="77777777" w:rsidR="00000000" w:rsidRPr="00BE00C7" w:rsidRDefault="00000000" w:rsidP="00BE00C7">
            <w:pPr>
              <w:pStyle w:val="OutcomeDescription"/>
              <w:spacing w:before="120" w:after="120"/>
              <w:rPr>
                <w:rFonts w:cs="Arial"/>
                <w:lang w:eastAsia="en-NZ"/>
              </w:rPr>
            </w:pPr>
          </w:p>
        </w:tc>
        <w:tc>
          <w:tcPr>
            <w:tcW w:w="0" w:type="auto"/>
          </w:tcPr>
          <w:p w14:paraId="74D8F9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DC16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Residents and families/whānau interviewed stated that they were satisfied with the meals provided. </w:t>
            </w:r>
          </w:p>
          <w:p w14:paraId="1045EC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5 February 2026. </w:t>
            </w:r>
          </w:p>
          <w:p w14:paraId="659F0687" w14:textId="77777777" w:rsidR="00000000" w:rsidRPr="00BE00C7" w:rsidRDefault="00000000" w:rsidP="00BE00C7">
            <w:pPr>
              <w:pStyle w:val="OutcomeDescription"/>
              <w:spacing w:before="120" w:after="120"/>
              <w:rPr>
                <w:rFonts w:cs="Arial"/>
                <w:lang w:eastAsia="en-NZ"/>
              </w:rPr>
            </w:pPr>
          </w:p>
        </w:tc>
      </w:tr>
      <w:tr w:rsidR="00412A85" w14:paraId="037016BA" w14:textId="77777777">
        <w:tc>
          <w:tcPr>
            <w:tcW w:w="0" w:type="auto"/>
          </w:tcPr>
          <w:p w14:paraId="0EB8F8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92718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BEE2711" w14:textId="77777777" w:rsidR="00000000" w:rsidRPr="00BE00C7" w:rsidRDefault="00000000" w:rsidP="00BE00C7">
            <w:pPr>
              <w:pStyle w:val="OutcomeDescription"/>
              <w:spacing w:before="120" w:after="120"/>
              <w:rPr>
                <w:rFonts w:cs="Arial"/>
                <w:lang w:eastAsia="en-NZ"/>
              </w:rPr>
            </w:pPr>
          </w:p>
        </w:tc>
        <w:tc>
          <w:tcPr>
            <w:tcW w:w="0" w:type="auto"/>
          </w:tcPr>
          <w:p w14:paraId="1A5D87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2128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planned and coordinated in a timely and safe manner. Interview with staff confirmed residents and their family/whānau were involved for all discharges to and </w:t>
            </w:r>
            <w:r w:rsidRPr="00BE00C7">
              <w:rPr>
                <w:rFonts w:cs="Arial"/>
                <w:lang w:eastAsia="en-NZ"/>
              </w:rPr>
              <w:lastRenderedPageBreak/>
              <w:t xml:space="preserve">from the service. Discharge notes are kept on file and discharge instructions are incorporated into the care plan. </w:t>
            </w:r>
          </w:p>
          <w:p w14:paraId="40226B03" w14:textId="77777777" w:rsidR="00000000" w:rsidRPr="00BE00C7" w:rsidRDefault="00000000" w:rsidP="00BE00C7">
            <w:pPr>
              <w:pStyle w:val="OutcomeDescription"/>
              <w:spacing w:before="120" w:after="120"/>
              <w:rPr>
                <w:rFonts w:cs="Arial"/>
                <w:lang w:eastAsia="en-NZ"/>
              </w:rPr>
            </w:pPr>
          </w:p>
        </w:tc>
      </w:tr>
      <w:tr w:rsidR="00412A85" w14:paraId="7838EE47" w14:textId="77777777">
        <w:tc>
          <w:tcPr>
            <w:tcW w:w="0" w:type="auto"/>
          </w:tcPr>
          <w:p w14:paraId="7E249F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E10B1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17D5E04" w14:textId="77777777" w:rsidR="00000000" w:rsidRPr="00BE00C7" w:rsidRDefault="00000000" w:rsidP="00BE00C7">
            <w:pPr>
              <w:pStyle w:val="OutcomeDescription"/>
              <w:spacing w:before="120" w:after="120"/>
              <w:rPr>
                <w:rFonts w:cs="Arial"/>
                <w:lang w:eastAsia="en-NZ"/>
              </w:rPr>
            </w:pPr>
          </w:p>
        </w:tc>
        <w:tc>
          <w:tcPr>
            <w:tcW w:w="0" w:type="auto"/>
          </w:tcPr>
          <w:p w14:paraId="018C98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BC45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21 May 2026. Maintenance requests are logged and followed up in a timely manner. There is an annual maintenance plan that includes electrical testing and tagging,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HCAs interviewed stated they have adequate equipment to safely deliver care for residents.</w:t>
            </w:r>
          </w:p>
          <w:p w14:paraId="16C6E7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679FCAEE" w14:textId="77777777" w:rsidR="00000000" w:rsidRPr="00BE00C7" w:rsidRDefault="00000000" w:rsidP="00BE00C7">
            <w:pPr>
              <w:pStyle w:val="OutcomeDescription"/>
              <w:spacing w:before="120" w:after="120"/>
              <w:rPr>
                <w:rFonts w:cs="Arial"/>
                <w:lang w:eastAsia="en-NZ"/>
              </w:rPr>
            </w:pPr>
          </w:p>
        </w:tc>
      </w:tr>
      <w:tr w:rsidR="00412A85" w14:paraId="33BED51C" w14:textId="77777777">
        <w:tc>
          <w:tcPr>
            <w:tcW w:w="0" w:type="auto"/>
          </w:tcPr>
          <w:p w14:paraId="3B1A0B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144D5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CECB7E" w14:textId="77777777" w:rsidR="00000000" w:rsidRPr="00BE00C7" w:rsidRDefault="00000000" w:rsidP="00BE00C7">
            <w:pPr>
              <w:pStyle w:val="OutcomeDescription"/>
              <w:spacing w:before="120" w:after="120"/>
              <w:rPr>
                <w:rFonts w:cs="Arial"/>
                <w:lang w:eastAsia="en-NZ"/>
              </w:rPr>
            </w:pPr>
          </w:p>
        </w:tc>
        <w:tc>
          <w:tcPr>
            <w:tcW w:w="0" w:type="auto"/>
          </w:tcPr>
          <w:p w14:paraId="306193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5880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A registered nurse is the infection control coordinator. Staff interviews confirmed that infections are managed appropriately, reflecting adherence to established protocols.</w:t>
            </w:r>
          </w:p>
          <w:p w14:paraId="204147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training was up to date, with a high number of staff attending. Staff have received education in infection control at orientation </w:t>
            </w:r>
            <w:r w:rsidRPr="00BE00C7">
              <w:rPr>
                <w:rFonts w:cs="Arial"/>
                <w:lang w:eastAsia="en-NZ"/>
              </w:rPr>
              <w:lastRenderedPageBreak/>
              <w:t>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03537512" w14:textId="77777777" w:rsidR="00000000" w:rsidRPr="00BE00C7" w:rsidRDefault="00000000" w:rsidP="00BE00C7">
            <w:pPr>
              <w:pStyle w:val="OutcomeDescription"/>
              <w:spacing w:before="120" w:after="120"/>
              <w:rPr>
                <w:rFonts w:cs="Arial"/>
                <w:lang w:eastAsia="en-NZ"/>
              </w:rPr>
            </w:pPr>
          </w:p>
        </w:tc>
      </w:tr>
      <w:tr w:rsidR="00412A85" w14:paraId="7D5201AD" w14:textId="77777777">
        <w:tc>
          <w:tcPr>
            <w:tcW w:w="0" w:type="auto"/>
          </w:tcPr>
          <w:p w14:paraId="3B0255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3851E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4E27685" w14:textId="77777777" w:rsidR="00000000" w:rsidRPr="00BE00C7" w:rsidRDefault="00000000" w:rsidP="00BE00C7">
            <w:pPr>
              <w:pStyle w:val="OutcomeDescription"/>
              <w:spacing w:before="120" w:after="120"/>
              <w:rPr>
                <w:rFonts w:cs="Arial"/>
                <w:lang w:eastAsia="en-NZ"/>
              </w:rPr>
            </w:pPr>
          </w:p>
        </w:tc>
        <w:tc>
          <w:tcPr>
            <w:tcW w:w="0" w:type="auto"/>
          </w:tcPr>
          <w:p w14:paraId="7EE970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827B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online infection control manual (incorporated in the electronic resident management system) is used as reference for best practice around infection control. Advice around infection control matters is also sought from the local infection control specialist in Regional Public Health and by liaising with the NP. </w:t>
            </w:r>
          </w:p>
          <w:p w14:paraId="14C1B928"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implemented, which is also analysed monthly and annually for trend identification. Infection control data captures information on ethnicity.</w:t>
            </w:r>
          </w:p>
          <w:p w14:paraId="66E8E821"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101E27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since the previous audit. </w:t>
            </w:r>
          </w:p>
          <w:p w14:paraId="6FDC9BCD" w14:textId="77777777" w:rsidR="00000000" w:rsidRPr="00BE00C7" w:rsidRDefault="00000000" w:rsidP="00BE00C7">
            <w:pPr>
              <w:pStyle w:val="OutcomeDescription"/>
              <w:spacing w:before="120" w:after="120"/>
              <w:rPr>
                <w:rFonts w:cs="Arial"/>
                <w:lang w:eastAsia="en-NZ"/>
              </w:rPr>
            </w:pPr>
          </w:p>
        </w:tc>
      </w:tr>
      <w:tr w:rsidR="00412A85" w14:paraId="4CA009E2" w14:textId="77777777">
        <w:tc>
          <w:tcPr>
            <w:tcW w:w="0" w:type="auto"/>
          </w:tcPr>
          <w:p w14:paraId="4E1753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FFC15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4CDC385" w14:textId="77777777" w:rsidR="00000000" w:rsidRPr="00BE00C7" w:rsidRDefault="00000000" w:rsidP="00BE00C7">
            <w:pPr>
              <w:pStyle w:val="OutcomeDescription"/>
              <w:spacing w:before="120" w:after="120"/>
              <w:rPr>
                <w:rFonts w:cs="Arial"/>
                <w:lang w:eastAsia="en-NZ"/>
              </w:rPr>
            </w:pPr>
          </w:p>
        </w:tc>
        <w:tc>
          <w:tcPr>
            <w:tcW w:w="0" w:type="auto"/>
          </w:tcPr>
          <w:p w14:paraId="54D29A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841A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w:t>
            </w:r>
            <w:r w:rsidRPr="00BE00C7">
              <w:rPr>
                <w:rFonts w:cs="Arial"/>
                <w:lang w:eastAsia="en-NZ"/>
              </w:rPr>
              <w:lastRenderedPageBreak/>
              <w:t xml:space="preserve">registered nurse is the restraint coordinator and provides support and oversight for restraint management in the facility. The restraint coordinator is conversant with restraint policies and procedures. </w:t>
            </w:r>
          </w:p>
          <w:p w14:paraId="1D0B39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CEO includes restraint data that is gathered and analysed monthly. </w:t>
            </w:r>
          </w:p>
          <w:p w14:paraId="52B6CB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two residents utilising physical restraints (one bed rail, one lap belt). The use of restraint is reported monthly at the facility staff, registered nurse meetings, and to the trustees via the CEO. </w:t>
            </w:r>
          </w:p>
          <w:p w14:paraId="499EDC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This includes a competency assessment. </w:t>
            </w:r>
          </w:p>
          <w:p w14:paraId="6E72FEA6" w14:textId="77777777" w:rsidR="00000000" w:rsidRPr="00BE00C7" w:rsidRDefault="00000000" w:rsidP="00BE00C7">
            <w:pPr>
              <w:pStyle w:val="OutcomeDescription"/>
              <w:spacing w:before="120" w:after="120"/>
              <w:rPr>
                <w:rFonts w:cs="Arial"/>
                <w:lang w:eastAsia="en-NZ"/>
              </w:rPr>
            </w:pPr>
          </w:p>
        </w:tc>
      </w:tr>
    </w:tbl>
    <w:p w14:paraId="32A80C6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3EFA094" w14:textId="77777777" w:rsidR="00000000" w:rsidRDefault="00000000">
      <w:pPr>
        <w:pStyle w:val="Heading1"/>
        <w:rPr>
          <w:rFonts w:cs="Arial"/>
        </w:rPr>
      </w:pPr>
      <w:r>
        <w:rPr>
          <w:rFonts w:cs="Arial"/>
        </w:rPr>
        <w:lastRenderedPageBreak/>
        <w:t>Specific results for criterion where corrective actions are required</w:t>
      </w:r>
    </w:p>
    <w:p w14:paraId="4AF0489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F1CFE2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64EF45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330"/>
        <w:gridCol w:w="4693"/>
        <w:gridCol w:w="2785"/>
        <w:gridCol w:w="2213"/>
      </w:tblGrid>
      <w:tr w:rsidR="00412A85" w14:paraId="7C813F16" w14:textId="77777777">
        <w:tc>
          <w:tcPr>
            <w:tcW w:w="0" w:type="auto"/>
          </w:tcPr>
          <w:p w14:paraId="6E005CE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EF83B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111D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FAABD6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430BA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12A85" w14:paraId="3CB18265" w14:textId="77777777">
        <w:tc>
          <w:tcPr>
            <w:tcW w:w="0" w:type="auto"/>
          </w:tcPr>
          <w:p w14:paraId="055E396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0ACC515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B58A62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2EA3D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significant shortage of registered nurses (RNs) in the service, and this is evidenced in the backlog of interRAI reassessments.</w:t>
            </w:r>
          </w:p>
          <w:p w14:paraId="1F34AE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per the ARRC contract with Health New Zealand, an aged care facility providing hospital level care is required to have at least one registered nurse on duty at all times; however, Whangaroa Heath Services has been unable to provide a registered nurse on site for a number of shifts in April and September of this year. Section 31 notifications have been made. </w:t>
            </w:r>
          </w:p>
          <w:p w14:paraId="4326C0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noted that the service has attempted to mitigate the risk of this situation by utilising internationally qualified nurses, acting as night shift duty lead on site and having comprehensive on-call cover. This is a continuation of the partial attainment identified at the previous audit, and </w:t>
            </w:r>
            <w:r w:rsidRPr="00BE00C7">
              <w:rPr>
                <w:rFonts w:cs="Arial"/>
                <w:lang w:eastAsia="en-NZ"/>
              </w:rPr>
              <w:lastRenderedPageBreak/>
              <w:t>therefore the risk level has been increased from low to moderate.</w:t>
            </w:r>
          </w:p>
          <w:p w14:paraId="40C49C0B" w14:textId="77777777" w:rsidR="00000000" w:rsidRPr="00BE00C7" w:rsidRDefault="00000000" w:rsidP="00BE00C7">
            <w:pPr>
              <w:pStyle w:val="OutcomeDescription"/>
              <w:spacing w:before="120" w:after="120"/>
              <w:rPr>
                <w:rFonts w:cs="Arial"/>
                <w:lang w:eastAsia="en-NZ"/>
              </w:rPr>
            </w:pPr>
          </w:p>
        </w:tc>
        <w:tc>
          <w:tcPr>
            <w:tcW w:w="0" w:type="auto"/>
          </w:tcPr>
          <w:p w14:paraId="51A318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does not have sufficient numbers of registered nurses available to provide for a RN on duty at all times as per the ARC contract D17.4 a. i.</w:t>
            </w:r>
          </w:p>
          <w:p w14:paraId="78E4644B" w14:textId="77777777" w:rsidR="00000000" w:rsidRPr="00BE00C7" w:rsidRDefault="00000000" w:rsidP="00BE00C7">
            <w:pPr>
              <w:pStyle w:val="OutcomeDescription"/>
              <w:spacing w:before="120" w:after="120"/>
              <w:rPr>
                <w:rFonts w:cs="Arial"/>
                <w:lang w:eastAsia="en-NZ"/>
              </w:rPr>
            </w:pPr>
          </w:p>
        </w:tc>
        <w:tc>
          <w:tcPr>
            <w:tcW w:w="0" w:type="auto"/>
          </w:tcPr>
          <w:p w14:paraId="6CE8968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registered nurse is on duty at all times to meet the requirements of the ARC contract D17.4 a. i.</w:t>
            </w:r>
          </w:p>
          <w:p w14:paraId="31E431BB" w14:textId="77777777" w:rsidR="00000000" w:rsidRPr="00BE00C7" w:rsidRDefault="00000000" w:rsidP="00BE00C7">
            <w:pPr>
              <w:pStyle w:val="OutcomeDescription"/>
              <w:spacing w:before="120" w:after="120"/>
              <w:rPr>
                <w:rFonts w:cs="Arial"/>
                <w:lang w:eastAsia="en-NZ"/>
              </w:rPr>
            </w:pPr>
          </w:p>
          <w:p w14:paraId="1A54A7A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412A85" w14:paraId="424A00EE" w14:textId="77777777">
        <w:tc>
          <w:tcPr>
            <w:tcW w:w="0" w:type="auto"/>
          </w:tcPr>
          <w:p w14:paraId="00E441C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4FBBFDA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79FFD14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60B9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completing the interRAI assessments. There are two RNs that are interRAI trained. Initial care plans and long-term care plans were developed within the required timeframes and are reviewed and evaluated six-monthly. Progression towards goals is documented. Care plans were updated when the needs of the residents changed. A review of the interRAI system was completed.  Six residents requiring interRAI reassessments were not completed on time. The initial interRAI assessments were all completed within the required timeframe. This is a continuation of the partial attainment identified at the previous audit. </w:t>
            </w:r>
          </w:p>
          <w:p w14:paraId="658B895D" w14:textId="77777777" w:rsidR="00000000" w:rsidRPr="00BE00C7" w:rsidRDefault="00000000" w:rsidP="00BE00C7">
            <w:pPr>
              <w:pStyle w:val="OutcomeDescription"/>
              <w:spacing w:before="120" w:after="120"/>
              <w:rPr>
                <w:rFonts w:cs="Arial"/>
                <w:lang w:eastAsia="en-NZ"/>
              </w:rPr>
            </w:pPr>
          </w:p>
        </w:tc>
        <w:tc>
          <w:tcPr>
            <w:tcW w:w="0" w:type="auto"/>
          </w:tcPr>
          <w:p w14:paraId="3521AE0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reassessments for six residents were not completed within the six-month timeframe.</w:t>
            </w:r>
          </w:p>
          <w:p w14:paraId="681DCB9B" w14:textId="77777777" w:rsidR="00000000" w:rsidRPr="00BE00C7" w:rsidRDefault="00000000" w:rsidP="00BE00C7">
            <w:pPr>
              <w:pStyle w:val="OutcomeDescription"/>
              <w:spacing w:before="120" w:after="120"/>
              <w:rPr>
                <w:rFonts w:cs="Arial"/>
                <w:lang w:eastAsia="en-NZ"/>
              </w:rPr>
            </w:pPr>
          </w:p>
        </w:tc>
        <w:tc>
          <w:tcPr>
            <w:tcW w:w="0" w:type="auto"/>
          </w:tcPr>
          <w:p w14:paraId="5A18F8A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interRAI assessments are reassessed at least six-monthly.</w:t>
            </w:r>
          </w:p>
          <w:p w14:paraId="0B0949B0" w14:textId="77777777" w:rsidR="00000000" w:rsidRPr="00BE00C7" w:rsidRDefault="00000000" w:rsidP="00BE00C7">
            <w:pPr>
              <w:pStyle w:val="OutcomeDescription"/>
              <w:spacing w:before="120" w:after="120"/>
              <w:rPr>
                <w:rFonts w:cs="Arial"/>
                <w:lang w:eastAsia="en-NZ"/>
              </w:rPr>
            </w:pPr>
          </w:p>
          <w:p w14:paraId="7E5C9EE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2C1276A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B5F272E" w14:textId="77777777" w:rsidR="00000000" w:rsidRDefault="00000000">
      <w:pPr>
        <w:pStyle w:val="Heading1"/>
        <w:rPr>
          <w:rFonts w:cs="Arial"/>
        </w:rPr>
      </w:pPr>
      <w:r>
        <w:rPr>
          <w:rFonts w:cs="Arial"/>
        </w:rPr>
        <w:lastRenderedPageBreak/>
        <w:t>Specific results for criterion where a continuous improvement has been recorded</w:t>
      </w:r>
    </w:p>
    <w:p w14:paraId="6C6EFE3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1BF43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0742F8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12A85" w14:paraId="78F09B4E" w14:textId="77777777">
        <w:tc>
          <w:tcPr>
            <w:tcW w:w="0" w:type="auto"/>
          </w:tcPr>
          <w:p w14:paraId="44512B2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182E50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59890A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7BE5" w14:textId="77777777" w:rsidR="001144B2" w:rsidRDefault="001144B2">
      <w:r>
        <w:separator/>
      </w:r>
    </w:p>
  </w:endnote>
  <w:endnote w:type="continuationSeparator" w:id="0">
    <w:p w14:paraId="5B81717E" w14:textId="77777777" w:rsidR="001144B2" w:rsidRDefault="001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F35B" w14:textId="77777777" w:rsidR="00000000" w:rsidRDefault="00000000">
    <w:pPr>
      <w:pStyle w:val="Footer"/>
    </w:pPr>
  </w:p>
  <w:p w14:paraId="24C6DFB3" w14:textId="77777777" w:rsidR="00000000" w:rsidRDefault="00000000"/>
  <w:p w14:paraId="7C80903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FA5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Whangaroa</w:t>
    </w:r>
    <w:proofErr w:type="spellEnd"/>
    <w:r>
      <w:rPr>
        <w:rFonts w:cs="Arial"/>
        <w:sz w:val="16"/>
        <w:szCs w:val="20"/>
      </w:rPr>
      <w:t xml:space="preserve"> Health Services Trust - </w:t>
    </w:r>
    <w:proofErr w:type="spellStart"/>
    <w:r>
      <w:rPr>
        <w:rFonts w:cs="Arial"/>
        <w:sz w:val="16"/>
        <w:szCs w:val="20"/>
      </w:rPr>
      <w:t>Whangaroa</w:t>
    </w:r>
    <w:proofErr w:type="spellEnd"/>
    <w:r>
      <w:rPr>
        <w:rFonts w:cs="Arial"/>
        <w:sz w:val="16"/>
        <w:szCs w:val="20"/>
      </w:rPr>
      <w:t xml:space="preserve"> Health Services</w:t>
    </w:r>
    <w:bookmarkEnd w:id="59"/>
    <w:r>
      <w:rPr>
        <w:rFonts w:cs="Arial"/>
        <w:sz w:val="16"/>
        <w:szCs w:val="20"/>
      </w:rPr>
      <w:tab/>
      <w:t xml:space="preserve">Date of Audit: </w:t>
    </w:r>
    <w:bookmarkStart w:id="60" w:name="AuditStartDate1"/>
    <w:r>
      <w:rPr>
        <w:rFonts w:cs="Arial"/>
        <w:sz w:val="16"/>
        <w:szCs w:val="20"/>
      </w:rPr>
      <w:t>9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A43E57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E67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ADED" w14:textId="77777777" w:rsidR="001144B2" w:rsidRDefault="001144B2">
      <w:r>
        <w:separator/>
      </w:r>
    </w:p>
  </w:footnote>
  <w:footnote w:type="continuationSeparator" w:id="0">
    <w:p w14:paraId="529BD5AD" w14:textId="77777777" w:rsidR="001144B2" w:rsidRDefault="0011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474C" w14:textId="77777777" w:rsidR="00000000" w:rsidRDefault="00000000">
    <w:pPr>
      <w:pStyle w:val="Header"/>
    </w:pPr>
  </w:p>
  <w:p w14:paraId="51FA13F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C955" w14:textId="77777777" w:rsidR="00000000" w:rsidRDefault="00000000">
    <w:pPr>
      <w:pStyle w:val="Header"/>
    </w:pPr>
  </w:p>
  <w:p w14:paraId="1D5A7D1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ECE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2F48C88">
      <w:start w:val="1"/>
      <w:numFmt w:val="decimal"/>
      <w:lvlText w:val="%1."/>
      <w:lvlJc w:val="left"/>
      <w:pPr>
        <w:ind w:left="360" w:hanging="360"/>
      </w:pPr>
    </w:lvl>
    <w:lvl w:ilvl="1" w:tplc="B1FA6680" w:tentative="1">
      <w:start w:val="1"/>
      <w:numFmt w:val="lowerLetter"/>
      <w:lvlText w:val="%2."/>
      <w:lvlJc w:val="left"/>
      <w:pPr>
        <w:ind w:left="1080" w:hanging="360"/>
      </w:pPr>
    </w:lvl>
    <w:lvl w:ilvl="2" w:tplc="BE4CEE80" w:tentative="1">
      <w:start w:val="1"/>
      <w:numFmt w:val="lowerRoman"/>
      <w:lvlText w:val="%3."/>
      <w:lvlJc w:val="right"/>
      <w:pPr>
        <w:ind w:left="1800" w:hanging="180"/>
      </w:pPr>
    </w:lvl>
    <w:lvl w:ilvl="3" w:tplc="3E162B8C" w:tentative="1">
      <w:start w:val="1"/>
      <w:numFmt w:val="decimal"/>
      <w:lvlText w:val="%4."/>
      <w:lvlJc w:val="left"/>
      <w:pPr>
        <w:ind w:left="2520" w:hanging="360"/>
      </w:pPr>
    </w:lvl>
    <w:lvl w:ilvl="4" w:tplc="EC066B2C" w:tentative="1">
      <w:start w:val="1"/>
      <w:numFmt w:val="lowerLetter"/>
      <w:lvlText w:val="%5."/>
      <w:lvlJc w:val="left"/>
      <w:pPr>
        <w:ind w:left="3240" w:hanging="360"/>
      </w:pPr>
    </w:lvl>
    <w:lvl w:ilvl="5" w:tplc="DF94DECA" w:tentative="1">
      <w:start w:val="1"/>
      <w:numFmt w:val="lowerRoman"/>
      <w:lvlText w:val="%6."/>
      <w:lvlJc w:val="right"/>
      <w:pPr>
        <w:ind w:left="3960" w:hanging="180"/>
      </w:pPr>
    </w:lvl>
    <w:lvl w:ilvl="6" w:tplc="98F46056" w:tentative="1">
      <w:start w:val="1"/>
      <w:numFmt w:val="decimal"/>
      <w:lvlText w:val="%7."/>
      <w:lvlJc w:val="left"/>
      <w:pPr>
        <w:ind w:left="4680" w:hanging="360"/>
      </w:pPr>
    </w:lvl>
    <w:lvl w:ilvl="7" w:tplc="45DA2C78" w:tentative="1">
      <w:start w:val="1"/>
      <w:numFmt w:val="lowerLetter"/>
      <w:lvlText w:val="%8."/>
      <w:lvlJc w:val="left"/>
      <w:pPr>
        <w:ind w:left="5400" w:hanging="360"/>
      </w:pPr>
    </w:lvl>
    <w:lvl w:ilvl="8" w:tplc="416A0E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69CB096">
      <w:start w:val="1"/>
      <w:numFmt w:val="bullet"/>
      <w:lvlText w:val=""/>
      <w:lvlJc w:val="left"/>
      <w:pPr>
        <w:ind w:left="720" w:hanging="360"/>
      </w:pPr>
      <w:rPr>
        <w:rFonts w:ascii="Symbol" w:hAnsi="Symbol" w:hint="default"/>
      </w:rPr>
    </w:lvl>
    <w:lvl w:ilvl="1" w:tplc="EFDA2AB0" w:tentative="1">
      <w:start w:val="1"/>
      <w:numFmt w:val="bullet"/>
      <w:lvlText w:val="o"/>
      <w:lvlJc w:val="left"/>
      <w:pPr>
        <w:ind w:left="1440" w:hanging="360"/>
      </w:pPr>
      <w:rPr>
        <w:rFonts w:ascii="Courier New" w:hAnsi="Courier New" w:cs="Courier New" w:hint="default"/>
      </w:rPr>
    </w:lvl>
    <w:lvl w:ilvl="2" w:tplc="0FD2349C" w:tentative="1">
      <w:start w:val="1"/>
      <w:numFmt w:val="bullet"/>
      <w:lvlText w:val=""/>
      <w:lvlJc w:val="left"/>
      <w:pPr>
        <w:ind w:left="2160" w:hanging="360"/>
      </w:pPr>
      <w:rPr>
        <w:rFonts w:ascii="Wingdings" w:hAnsi="Wingdings" w:hint="default"/>
      </w:rPr>
    </w:lvl>
    <w:lvl w:ilvl="3" w:tplc="CD28F570" w:tentative="1">
      <w:start w:val="1"/>
      <w:numFmt w:val="bullet"/>
      <w:lvlText w:val=""/>
      <w:lvlJc w:val="left"/>
      <w:pPr>
        <w:ind w:left="2880" w:hanging="360"/>
      </w:pPr>
      <w:rPr>
        <w:rFonts w:ascii="Symbol" w:hAnsi="Symbol" w:hint="default"/>
      </w:rPr>
    </w:lvl>
    <w:lvl w:ilvl="4" w:tplc="7C985A6E" w:tentative="1">
      <w:start w:val="1"/>
      <w:numFmt w:val="bullet"/>
      <w:lvlText w:val="o"/>
      <w:lvlJc w:val="left"/>
      <w:pPr>
        <w:ind w:left="3600" w:hanging="360"/>
      </w:pPr>
      <w:rPr>
        <w:rFonts w:ascii="Courier New" w:hAnsi="Courier New" w:cs="Courier New" w:hint="default"/>
      </w:rPr>
    </w:lvl>
    <w:lvl w:ilvl="5" w:tplc="B1CC681E" w:tentative="1">
      <w:start w:val="1"/>
      <w:numFmt w:val="bullet"/>
      <w:lvlText w:val=""/>
      <w:lvlJc w:val="left"/>
      <w:pPr>
        <w:ind w:left="4320" w:hanging="360"/>
      </w:pPr>
      <w:rPr>
        <w:rFonts w:ascii="Wingdings" w:hAnsi="Wingdings" w:hint="default"/>
      </w:rPr>
    </w:lvl>
    <w:lvl w:ilvl="6" w:tplc="DA8A8906" w:tentative="1">
      <w:start w:val="1"/>
      <w:numFmt w:val="bullet"/>
      <w:lvlText w:val=""/>
      <w:lvlJc w:val="left"/>
      <w:pPr>
        <w:ind w:left="5040" w:hanging="360"/>
      </w:pPr>
      <w:rPr>
        <w:rFonts w:ascii="Symbol" w:hAnsi="Symbol" w:hint="default"/>
      </w:rPr>
    </w:lvl>
    <w:lvl w:ilvl="7" w:tplc="0C86D420" w:tentative="1">
      <w:start w:val="1"/>
      <w:numFmt w:val="bullet"/>
      <w:lvlText w:val="o"/>
      <w:lvlJc w:val="left"/>
      <w:pPr>
        <w:ind w:left="5760" w:hanging="360"/>
      </w:pPr>
      <w:rPr>
        <w:rFonts w:ascii="Courier New" w:hAnsi="Courier New" w:cs="Courier New" w:hint="default"/>
      </w:rPr>
    </w:lvl>
    <w:lvl w:ilvl="8" w:tplc="88CED244" w:tentative="1">
      <w:start w:val="1"/>
      <w:numFmt w:val="bullet"/>
      <w:lvlText w:val=""/>
      <w:lvlJc w:val="left"/>
      <w:pPr>
        <w:ind w:left="6480" w:hanging="360"/>
      </w:pPr>
      <w:rPr>
        <w:rFonts w:ascii="Wingdings" w:hAnsi="Wingdings" w:hint="default"/>
      </w:rPr>
    </w:lvl>
  </w:abstractNum>
  <w:num w:numId="1" w16cid:durableId="1120538294">
    <w:abstractNumId w:val="1"/>
  </w:num>
  <w:num w:numId="2" w16cid:durableId="202435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85"/>
    <w:rsid w:val="001144B2"/>
    <w:rsid w:val="00142D3D"/>
    <w:rsid w:val="00412A85"/>
    <w:rsid w:val="00483F91"/>
    <w:rsid w:val="00BD53C4"/>
    <w:rsid w:val="00F041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1238"/>
  <w15:docId w15:val="{A0C63B15-18AD-4DD9-828E-EBB9A568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8068</Words>
  <Characters>45347</Characters>
  <Application>Microsoft Office Word</Application>
  <DocSecurity>0</DocSecurity>
  <Lines>1007</Lines>
  <Paragraphs>847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2025-12-02T01:32:00Z</dcterms:created>
  <dcterms:modified xsi:type="dcterms:W3CDTF">2025-12-02T01:35:00Z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