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8A83" w14:textId="77777777" w:rsidR="00000000" w:rsidRDefault="00000000">
      <w:pPr>
        <w:pStyle w:val="Heading1"/>
        <w:rPr>
          <w:rFonts w:cs="Arial"/>
        </w:rPr>
      </w:pPr>
      <w:bookmarkStart w:id="0" w:name="PRMS_RIName"/>
      <w:r>
        <w:rPr>
          <w:rFonts w:cs="Arial"/>
        </w:rPr>
        <w:t>Residential Management Limited - Terence Kennedy House</w:t>
      </w:r>
      <w:bookmarkEnd w:id="0"/>
    </w:p>
    <w:p w14:paraId="5F9DADD7" w14:textId="77777777" w:rsidR="00000000" w:rsidRDefault="00000000">
      <w:pPr>
        <w:pStyle w:val="Heading2"/>
        <w:spacing w:after="0"/>
        <w:rPr>
          <w:rFonts w:cs="Arial"/>
        </w:rPr>
      </w:pPr>
      <w:r>
        <w:rPr>
          <w:rFonts w:cs="Arial"/>
        </w:rPr>
        <w:t>Introduction</w:t>
      </w:r>
    </w:p>
    <w:p w14:paraId="3F22F16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A934C7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FE9417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281D3C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9A5D600" w14:textId="77777777" w:rsidR="00000000" w:rsidRDefault="00000000">
      <w:pPr>
        <w:spacing w:before="240" w:after="240"/>
        <w:rPr>
          <w:rFonts w:cs="Arial"/>
          <w:lang w:eastAsia="en-NZ"/>
        </w:rPr>
      </w:pPr>
      <w:r>
        <w:rPr>
          <w:rFonts w:cs="Arial"/>
          <w:lang w:eastAsia="en-NZ"/>
        </w:rPr>
        <w:t>The specifics of this audit included:</w:t>
      </w:r>
    </w:p>
    <w:p w14:paraId="6A0FA91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D6071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Residential Management Limited</w:t>
      </w:r>
      <w:bookmarkEnd w:id="4"/>
    </w:p>
    <w:p w14:paraId="2EDB82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Terence Kennedy House</w:t>
      </w:r>
      <w:bookmarkEnd w:id="5"/>
    </w:p>
    <w:p w14:paraId="3626A3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354954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October 2025</w:t>
      </w:r>
      <w:bookmarkEnd w:id="7"/>
      <w:r w:rsidRPr="009418D4">
        <w:rPr>
          <w:rFonts w:cs="Arial"/>
        </w:rPr>
        <w:tab/>
        <w:t xml:space="preserve">End date: </w:t>
      </w:r>
      <w:bookmarkStart w:id="8" w:name="AuditEndDate"/>
      <w:r>
        <w:rPr>
          <w:rFonts w:cs="Arial"/>
        </w:rPr>
        <w:t>10 October 2025</w:t>
      </w:r>
      <w:bookmarkEnd w:id="8"/>
    </w:p>
    <w:p w14:paraId="5EF05EE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67572AD" w14:textId="77777777" w:rsidR="004C2DB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22BD2E8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EAE455C" w14:textId="77777777" w:rsidR="00000000" w:rsidRDefault="00000000">
      <w:pPr>
        <w:pStyle w:val="Heading1"/>
        <w:rPr>
          <w:rFonts w:cs="Arial"/>
        </w:rPr>
      </w:pPr>
      <w:r>
        <w:rPr>
          <w:rFonts w:cs="Arial"/>
        </w:rPr>
        <w:lastRenderedPageBreak/>
        <w:t>Executive summary of the audit</w:t>
      </w:r>
    </w:p>
    <w:p w14:paraId="0EA7B83C" w14:textId="77777777" w:rsidR="00000000" w:rsidRDefault="00000000">
      <w:pPr>
        <w:pStyle w:val="Heading2"/>
        <w:rPr>
          <w:rFonts w:cs="Arial"/>
        </w:rPr>
      </w:pPr>
      <w:r>
        <w:rPr>
          <w:rFonts w:cs="Arial"/>
        </w:rPr>
        <w:t>Introduction</w:t>
      </w:r>
    </w:p>
    <w:p w14:paraId="5353992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92778A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4DB3A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F204F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CB4E5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2C4DAF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51170D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9223DD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1AB769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C2DB1" w14:paraId="3880C631" w14:textId="77777777">
        <w:trPr>
          <w:cantSplit/>
          <w:tblHeader/>
        </w:trPr>
        <w:tc>
          <w:tcPr>
            <w:tcW w:w="1260" w:type="dxa"/>
            <w:tcBorders>
              <w:bottom w:val="single" w:sz="4" w:space="0" w:color="000000"/>
            </w:tcBorders>
            <w:vAlign w:val="center"/>
          </w:tcPr>
          <w:p w14:paraId="19F140B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74C9FB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983D9F" w14:textId="77777777" w:rsidR="00000000" w:rsidRDefault="00000000">
            <w:pPr>
              <w:spacing w:before="60" w:after="60"/>
              <w:rPr>
                <w:rFonts w:eastAsia="Calibri"/>
                <w:b/>
                <w:szCs w:val="24"/>
              </w:rPr>
            </w:pPr>
            <w:r>
              <w:rPr>
                <w:rFonts w:eastAsia="Calibri"/>
                <w:b/>
                <w:szCs w:val="24"/>
              </w:rPr>
              <w:t>Definition</w:t>
            </w:r>
          </w:p>
        </w:tc>
      </w:tr>
      <w:tr w:rsidR="004C2DB1" w14:paraId="7C833A9C" w14:textId="77777777">
        <w:trPr>
          <w:cantSplit/>
          <w:trHeight w:val="964"/>
        </w:trPr>
        <w:tc>
          <w:tcPr>
            <w:tcW w:w="1260" w:type="dxa"/>
            <w:tcBorders>
              <w:bottom w:val="single" w:sz="4" w:space="0" w:color="000000"/>
            </w:tcBorders>
            <w:shd w:val="clear" w:color="0066FF" w:fill="0000FF"/>
            <w:vAlign w:val="center"/>
          </w:tcPr>
          <w:p w14:paraId="3F401F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A1627B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EFF203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C2DB1" w14:paraId="047B7F72" w14:textId="77777777">
        <w:trPr>
          <w:cantSplit/>
          <w:trHeight w:val="964"/>
        </w:trPr>
        <w:tc>
          <w:tcPr>
            <w:tcW w:w="1260" w:type="dxa"/>
            <w:shd w:val="clear" w:color="33CC33" w:fill="00FF00"/>
            <w:vAlign w:val="center"/>
          </w:tcPr>
          <w:p w14:paraId="516C7D10" w14:textId="77777777" w:rsidR="00000000" w:rsidRDefault="00000000">
            <w:pPr>
              <w:spacing w:before="60" w:after="60"/>
              <w:rPr>
                <w:rFonts w:eastAsia="Calibri"/>
                <w:szCs w:val="24"/>
              </w:rPr>
            </w:pPr>
          </w:p>
        </w:tc>
        <w:tc>
          <w:tcPr>
            <w:tcW w:w="7095" w:type="dxa"/>
            <w:shd w:val="clear" w:color="auto" w:fill="auto"/>
            <w:vAlign w:val="center"/>
          </w:tcPr>
          <w:p w14:paraId="4A06BB8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F553FB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C2DB1" w14:paraId="2DFDA7AE" w14:textId="77777777">
        <w:trPr>
          <w:cantSplit/>
          <w:trHeight w:val="964"/>
        </w:trPr>
        <w:tc>
          <w:tcPr>
            <w:tcW w:w="1260" w:type="dxa"/>
            <w:tcBorders>
              <w:bottom w:val="single" w:sz="4" w:space="0" w:color="000000"/>
            </w:tcBorders>
            <w:shd w:val="clear" w:color="auto" w:fill="FFFF00"/>
            <w:vAlign w:val="center"/>
          </w:tcPr>
          <w:p w14:paraId="10D4F20A" w14:textId="77777777" w:rsidR="00000000" w:rsidRDefault="00000000">
            <w:pPr>
              <w:spacing w:before="60" w:after="60"/>
              <w:rPr>
                <w:rFonts w:eastAsia="Calibri"/>
                <w:szCs w:val="24"/>
              </w:rPr>
            </w:pPr>
          </w:p>
        </w:tc>
        <w:tc>
          <w:tcPr>
            <w:tcW w:w="7095" w:type="dxa"/>
            <w:shd w:val="clear" w:color="auto" w:fill="auto"/>
            <w:vAlign w:val="center"/>
          </w:tcPr>
          <w:p w14:paraId="545610E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4D301E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C2DB1" w14:paraId="713846CD" w14:textId="77777777">
        <w:trPr>
          <w:cantSplit/>
          <w:trHeight w:val="964"/>
        </w:trPr>
        <w:tc>
          <w:tcPr>
            <w:tcW w:w="1260" w:type="dxa"/>
            <w:tcBorders>
              <w:bottom w:val="single" w:sz="4" w:space="0" w:color="000000"/>
            </w:tcBorders>
            <w:shd w:val="clear" w:color="auto" w:fill="FFC800"/>
            <w:vAlign w:val="center"/>
          </w:tcPr>
          <w:p w14:paraId="77169C1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96F356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A60DE2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C2DB1" w14:paraId="7D642D9D" w14:textId="77777777">
        <w:trPr>
          <w:cantSplit/>
          <w:trHeight w:val="964"/>
        </w:trPr>
        <w:tc>
          <w:tcPr>
            <w:tcW w:w="1260" w:type="dxa"/>
            <w:shd w:val="clear" w:color="auto" w:fill="FF0000"/>
            <w:vAlign w:val="center"/>
          </w:tcPr>
          <w:p w14:paraId="17011A64" w14:textId="77777777" w:rsidR="00000000" w:rsidRDefault="00000000">
            <w:pPr>
              <w:spacing w:before="60" w:after="60"/>
              <w:rPr>
                <w:rFonts w:eastAsia="Calibri"/>
                <w:szCs w:val="24"/>
              </w:rPr>
            </w:pPr>
          </w:p>
        </w:tc>
        <w:tc>
          <w:tcPr>
            <w:tcW w:w="7095" w:type="dxa"/>
            <w:shd w:val="clear" w:color="auto" w:fill="auto"/>
            <w:vAlign w:val="center"/>
          </w:tcPr>
          <w:p w14:paraId="205E21C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643AD8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736D4A1" w14:textId="77777777" w:rsidR="00000000" w:rsidRDefault="00000000">
      <w:pPr>
        <w:pStyle w:val="Heading2"/>
        <w:spacing w:after="0"/>
        <w:rPr>
          <w:rFonts w:cs="Arial"/>
        </w:rPr>
      </w:pPr>
      <w:r>
        <w:rPr>
          <w:rFonts w:cs="Arial"/>
        </w:rPr>
        <w:t>General overview of the audit</w:t>
      </w:r>
    </w:p>
    <w:p w14:paraId="5D87C9E0" w14:textId="77777777" w:rsidR="00000000" w:rsidRDefault="00000000">
      <w:pPr>
        <w:spacing w:before="240" w:line="276" w:lineRule="auto"/>
        <w:rPr>
          <w:rFonts w:eastAsia="Calibri"/>
        </w:rPr>
      </w:pPr>
      <w:bookmarkStart w:id="13" w:name="GeneralOverview"/>
      <w:r w:rsidRPr="00A4268A">
        <w:rPr>
          <w:rFonts w:eastAsia="Calibri"/>
        </w:rPr>
        <w:t xml:space="preserve">Terence Kennedy House is certified to provide hospital (geriatric and medical), and rest home levels of care for up to 45 residents. There were 45 residents on the days of audit. </w:t>
      </w:r>
    </w:p>
    <w:p w14:paraId="3D5888B7" w14:textId="77777777" w:rsidR="004C2DB1"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the general practitioner, and management. </w:t>
      </w:r>
    </w:p>
    <w:p w14:paraId="0881B55E" w14:textId="77777777" w:rsidR="004C2DB1" w:rsidRPr="00A4268A" w:rsidRDefault="00000000">
      <w:pPr>
        <w:spacing w:before="240" w:line="276" w:lineRule="auto"/>
        <w:rPr>
          <w:rFonts w:eastAsia="Calibri"/>
        </w:rPr>
      </w:pPr>
      <w:r w:rsidRPr="00A4268A">
        <w:rPr>
          <w:rFonts w:eastAsia="Calibri"/>
        </w:rPr>
        <w:t>The hospital manager is experienced in their role and is supported by the directors, general manager and wider team. Residents and family/whānau interviewed spoke positively about the service provided.</w:t>
      </w:r>
    </w:p>
    <w:p w14:paraId="7317854D" w14:textId="77777777" w:rsidR="004C2DB1" w:rsidRPr="00A4268A" w:rsidRDefault="00000000">
      <w:pPr>
        <w:spacing w:before="240" w:line="276" w:lineRule="auto"/>
        <w:rPr>
          <w:rFonts w:eastAsia="Calibri"/>
        </w:rPr>
      </w:pPr>
      <w:r w:rsidRPr="00A4268A">
        <w:rPr>
          <w:rFonts w:eastAsia="Calibri"/>
        </w:rPr>
        <w:t>The shortfalls identified at the previous audit around quality meetings, medication documentation, kitchen management, maintenance process, and data collection have all been rectified.</w:t>
      </w:r>
    </w:p>
    <w:p w14:paraId="6861D6FA" w14:textId="77777777" w:rsidR="004C2DB1"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0C812657" w14:textId="77777777" w:rsidR="004C2DB1" w:rsidRPr="00A4268A" w:rsidRDefault="004C2DB1">
      <w:pPr>
        <w:spacing w:before="240" w:line="276" w:lineRule="auto"/>
        <w:rPr>
          <w:rFonts w:eastAsia="Calibri"/>
        </w:rPr>
      </w:pPr>
    </w:p>
    <w:p w14:paraId="51A8923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2DB1" w14:paraId="77C3D780" w14:textId="77777777" w:rsidTr="00A4268A">
        <w:trPr>
          <w:cantSplit/>
        </w:trPr>
        <w:tc>
          <w:tcPr>
            <w:tcW w:w="10206" w:type="dxa"/>
            <w:vAlign w:val="center"/>
          </w:tcPr>
          <w:p w14:paraId="4AFD8A0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BA48CF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C11E4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5B339F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F2F45CF" w14:textId="77777777" w:rsidR="00000000" w:rsidRDefault="00000000">
      <w:pPr>
        <w:spacing w:before="240" w:line="276" w:lineRule="auto"/>
        <w:rPr>
          <w:rFonts w:eastAsia="Calibri"/>
        </w:rPr>
      </w:pPr>
      <w:bookmarkStart w:id="16" w:name="ConsumerRights"/>
      <w:r w:rsidRPr="00A4268A">
        <w:rPr>
          <w:rFonts w:eastAsia="Calibri"/>
        </w:rPr>
        <w:t>Terence Kennedy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4395D6DD" w14:textId="77777777" w:rsidR="004C2DB1" w:rsidRPr="00A4268A" w:rsidRDefault="00000000">
      <w:pPr>
        <w:spacing w:before="240" w:line="276" w:lineRule="auto"/>
        <w:rPr>
          <w:rFonts w:eastAsia="Calibri"/>
        </w:rPr>
      </w:pPr>
      <w:r w:rsidRPr="00A4268A">
        <w:rPr>
          <w:rFonts w:eastAsia="Calibri"/>
        </w:rPr>
        <w:t>Residents receive services in a manner that considers their dignity, privacy, and independence. Terence Kennedy House provides services and support to people in a way that is inclusive and respects their identity and their experiences. Care plans accommodate the choices of residents and/or their family/whānau. The rights of the resident and/or their family/whānau to make a complaint is understood, respected, and upheld by the service. Complaints processes are implemented, and complaints and concerns are actively managed and well-documented.</w:t>
      </w:r>
    </w:p>
    <w:bookmarkEnd w:id="16"/>
    <w:p w14:paraId="6660ACC2" w14:textId="77777777" w:rsidR="004C2DB1" w:rsidRPr="00A4268A" w:rsidRDefault="004C2DB1">
      <w:pPr>
        <w:spacing w:before="240" w:line="276" w:lineRule="auto"/>
        <w:rPr>
          <w:rFonts w:eastAsia="Calibri"/>
        </w:rPr>
      </w:pPr>
    </w:p>
    <w:p w14:paraId="25D06B7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2DB1" w14:paraId="3A756553" w14:textId="77777777" w:rsidTr="00A4268A">
        <w:trPr>
          <w:cantSplit/>
        </w:trPr>
        <w:tc>
          <w:tcPr>
            <w:tcW w:w="10206" w:type="dxa"/>
            <w:vAlign w:val="center"/>
          </w:tcPr>
          <w:p w14:paraId="47B777A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476A0E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06B5B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4BCFE10"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216B8EA5" w14:textId="77777777" w:rsidR="004C2DB1" w:rsidRPr="00A4268A" w:rsidRDefault="00000000">
      <w:pPr>
        <w:spacing w:before="240" w:line="276" w:lineRule="auto"/>
        <w:rPr>
          <w:rFonts w:eastAsia="Calibri"/>
        </w:rPr>
      </w:pPr>
      <w:r w:rsidRPr="00A4268A">
        <w:rPr>
          <w:rFonts w:eastAsia="Calibri"/>
        </w:rPr>
        <w:lastRenderedPageBreak/>
        <w:t xml:space="preserve">Health and safety processes are implemented, with this itemised as a regular agenda item at all meetings. Contractors and staff are orientated to health and safety processes. </w:t>
      </w:r>
    </w:p>
    <w:p w14:paraId="364C19D2" w14:textId="77777777" w:rsidR="004C2DB1"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0876AE0" w14:textId="77777777" w:rsidR="004C2DB1" w:rsidRPr="00A4268A" w:rsidRDefault="004C2DB1">
      <w:pPr>
        <w:spacing w:before="240" w:line="276" w:lineRule="auto"/>
        <w:rPr>
          <w:rFonts w:eastAsia="Calibri"/>
        </w:rPr>
      </w:pPr>
    </w:p>
    <w:p w14:paraId="061BE83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2DB1" w14:paraId="07DF7BB3" w14:textId="77777777" w:rsidTr="00A4268A">
        <w:trPr>
          <w:cantSplit/>
        </w:trPr>
        <w:tc>
          <w:tcPr>
            <w:tcW w:w="10206" w:type="dxa"/>
            <w:vAlign w:val="center"/>
          </w:tcPr>
          <w:p w14:paraId="77A791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27EB16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167D83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39925D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InterRAI assessments and risk assessments are used to identify residents’ needs, and long-term care plans are developed and implemented. Resident files included medical notes by the general practitioner and visiting allied health professionals. </w:t>
      </w:r>
    </w:p>
    <w:p w14:paraId="454DAE11" w14:textId="77777777" w:rsidR="004C2DB1" w:rsidRPr="00A4268A" w:rsidRDefault="00000000" w:rsidP="00621629">
      <w:pPr>
        <w:spacing w:before="240" w:line="276" w:lineRule="auto"/>
        <w:rPr>
          <w:rFonts w:eastAsia="Calibri"/>
        </w:rPr>
      </w:pPr>
      <w:r w:rsidRPr="00A4268A">
        <w:rPr>
          <w:rFonts w:eastAsia="Calibri"/>
        </w:rPr>
        <w:t xml:space="preserve">Food, fluid, and nutritional needs of residents are provided in line with recognised nutritional guidelines and additional requirements/modified needs were being met. The service has a current food control plan. </w:t>
      </w:r>
    </w:p>
    <w:p w14:paraId="501B9529" w14:textId="77777777" w:rsidR="004C2DB1" w:rsidRPr="00A4268A" w:rsidRDefault="00000000" w:rsidP="00621629">
      <w:pPr>
        <w:spacing w:before="240" w:line="276" w:lineRule="auto"/>
        <w:rPr>
          <w:rFonts w:eastAsia="Calibri"/>
        </w:rPr>
      </w:pPr>
      <w:r w:rsidRPr="00A4268A">
        <w:rPr>
          <w:rFonts w:eastAsia="Calibri"/>
        </w:rPr>
        <w:t>Medication policies reflect legislative requirements and guidelines. The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4D3612EC" w14:textId="77777777" w:rsidR="004C2DB1"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2E80B716" w14:textId="77777777" w:rsidR="004C2DB1" w:rsidRPr="00A4268A" w:rsidRDefault="004C2DB1" w:rsidP="00621629">
      <w:pPr>
        <w:spacing w:before="240" w:line="276" w:lineRule="auto"/>
        <w:rPr>
          <w:rFonts w:eastAsia="Calibri"/>
        </w:rPr>
      </w:pPr>
    </w:p>
    <w:p w14:paraId="1AFC882F"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2DB1" w14:paraId="45B48745" w14:textId="77777777" w:rsidTr="00A4268A">
        <w:trPr>
          <w:cantSplit/>
        </w:trPr>
        <w:tc>
          <w:tcPr>
            <w:tcW w:w="10206" w:type="dxa"/>
            <w:vAlign w:val="center"/>
          </w:tcPr>
          <w:p w14:paraId="6501279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858FF1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93EB50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9B629D9"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1C704420" w14:textId="77777777" w:rsidR="004C2DB1" w:rsidRPr="00A4268A" w:rsidRDefault="004C2DB1">
      <w:pPr>
        <w:spacing w:before="240" w:line="276" w:lineRule="auto"/>
        <w:rPr>
          <w:rFonts w:eastAsia="Calibri"/>
        </w:rPr>
      </w:pPr>
    </w:p>
    <w:p w14:paraId="19F22E6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2DB1" w14:paraId="00503C6C" w14:textId="77777777" w:rsidTr="00A4268A">
        <w:trPr>
          <w:cantSplit/>
        </w:trPr>
        <w:tc>
          <w:tcPr>
            <w:tcW w:w="10206" w:type="dxa"/>
            <w:vAlign w:val="center"/>
          </w:tcPr>
          <w:p w14:paraId="7AEA26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3CACF2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7ACE7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12AB8C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owners. Staff complete training as scheduled in the education plan. </w:t>
      </w:r>
    </w:p>
    <w:p w14:paraId="7EFE7C75" w14:textId="77777777" w:rsidR="004C2DB1"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There have been no outbreaks since the previous audit. </w:t>
      </w:r>
    </w:p>
    <w:bookmarkEnd w:id="28"/>
    <w:p w14:paraId="03F99383" w14:textId="77777777" w:rsidR="004C2DB1" w:rsidRPr="00A4268A" w:rsidRDefault="004C2DB1">
      <w:pPr>
        <w:spacing w:before="240" w:line="276" w:lineRule="auto"/>
        <w:rPr>
          <w:rFonts w:eastAsia="Calibri"/>
        </w:rPr>
      </w:pPr>
    </w:p>
    <w:p w14:paraId="189CB79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2DB1" w14:paraId="5CE2356F" w14:textId="77777777" w:rsidTr="00A4268A">
        <w:trPr>
          <w:cantSplit/>
        </w:trPr>
        <w:tc>
          <w:tcPr>
            <w:tcW w:w="10206" w:type="dxa"/>
            <w:vAlign w:val="center"/>
          </w:tcPr>
          <w:p w14:paraId="4F3B31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CEAF1C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4A63C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D28DE5B"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facility manager. At the time of the audit, there were no residents using physical restraints. Staff demonstrated a sound knowledge and understanding of providing the least restrictive practice, de-escalation techniques, and alternative interventions.</w:t>
      </w:r>
    </w:p>
    <w:bookmarkEnd w:id="31"/>
    <w:p w14:paraId="53E72CA3" w14:textId="77777777" w:rsidR="004C2DB1" w:rsidRPr="00A4268A" w:rsidRDefault="004C2DB1">
      <w:pPr>
        <w:spacing w:before="240" w:line="276" w:lineRule="auto"/>
        <w:rPr>
          <w:rFonts w:eastAsia="Calibri"/>
        </w:rPr>
      </w:pPr>
    </w:p>
    <w:p w14:paraId="66A8527D" w14:textId="77777777" w:rsidR="00000000" w:rsidRDefault="00000000" w:rsidP="000E6E02">
      <w:pPr>
        <w:pStyle w:val="Heading2"/>
        <w:spacing w:before="0"/>
        <w:rPr>
          <w:rFonts w:cs="Arial"/>
        </w:rPr>
      </w:pPr>
      <w:r>
        <w:rPr>
          <w:rFonts w:cs="Arial"/>
        </w:rPr>
        <w:t>Summary of attainment</w:t>
      </w:r>
    </w:p>
    <w:p w14:paraId="6271671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C2DB1" w14:paraId="5E4A6224" w14:textId="77777777">
        <w:tc>
          <w:tcPr>
            <w:tcW w:w="1384" w:type="dxa"/>
            <w:vAlign w:val="center"/>
          </w:tcPr>
          <w:p w14:paraId="338DBE5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FCC04A4" w14:textId="77777777" w:rsidR="00000000" w:rsidRDefault="00000000">
            <w:pPr>
              <w:keepNext/>
              <w:spacing w:before="60" w:after="60"/>
              <w:jc w:val="center"/>
              <w:rPr>
                <w:rFonts w:cs="Arial"/>
                <w:b/>
                <w:sz w:val="20"/>
                <w:szCs w:val="20"/>
              </w:rPr>
            </w:pPr>
            <w:r>
              <w:rPr>
                <w:rFonts w:cs="Arial"/>
                <w:b/>
                <w:sz w:val="20"/>
                <w:szCs w:val="20"/>
              </w:rPr>
              <w:t>Continuous Improvement</w:t>
            </w:r>
          </w:p>
          <w:p w14:paraId="30DAFD2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C2E27B1" w14:textId="77777777" w:rsidR="00000000" w:rsidRDefault="00000000">
            <w:pPr>
              <w:keepNext/>
              <w:spacing w:before="60" w:after="60"/>
              <w:jc w:val="center"/>
              <w:rPr>
                <w:rFonts w:cs="Arial"/>
                <w:b/>
                <w:sz w:val="20"/>
                <w:szCs w:val="20"/>
              </w:rPr>
            </w:pPr>
            <w:r>
              <w:rPr>
                <w:rFonts w:cs="Arial"/>
                <w:b/>
                <w:sz w:val="20"/>
                <w:szCs w:val="20"/>
              </w:rPr>
              <w:t>Fully Attained</w:t>
            </w:r>
          </w:p>
          <w:p w14:paraId="71B5946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E0C25B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30FAAB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B15AC3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97B889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3353E2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C9DA0A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628FBA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D4A757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C88C9D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6B5249D" w14:textId="77777777" w:rsidR="00000000" w:rsidRDefault="00000000">
            <w:pPr>
              <w:keepNext/>
              <w:spacing w:before="60" w:after="60"/>
              <w:jc w:val="center"/>
              <w:rPr>
                <w:rFonts w:cs="Arial"/>
                <w:b/>
                <w:sz w:val="20"/>
                <w:szCs w:val="20"/>
              </w:rPr>
            </w:pPr>
            <w:r>
              <w:rPr>
                <w:rFonts w:cs="Arial"/>
                <w:b/>
                <w:sz w:val="20"/>
                <w:szCs w:val="20"/>
              </w:rPr>
              <w:t>(PA Critical)</w:t>
            </w:r>
          </w:p>
        </w:tc>
      </w:tr>
      <w:tr w:rsidR="004C2DB1" w14:paraId="7D798E91" w14:textId="77777777">
        <w:tc>
          <w:tcPr>
            <w:tcW w:w="1384" w:type="dxa"/>
            <w:vAlign w:val="center"/>
          </w:tcPr>
          <w:p w14:paraId="66A3E76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8F0481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50A314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311875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28151D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62DAB6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1146EE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7EF2C0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C2DB1" w14:paraId="728A2B72" w14:textId="77777777">
        <w:tc>
          <w:tcPr>
            <w:tcW w:w="1384" w:type="dxa"/>
            <w:vAlign w:val="center"/>
          </w:tcPr>
          <w:p w14:paraId="3B5F3D9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FCA6AC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36E17A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18D20B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E2D63F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E61309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19197E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97D2F3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B1B10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C2DB1" w14:paraId="39944F25" w14:textId="77777777">
        <w:tc>
          <w:tcPr>
            <w:tcW w:w="1384" w:type="dxa"/>
            <w:vAlign w:val="center"/>
          </w:tcPr>
          <w:p w14:paraId="70E0E95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65080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1F292F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1FE0400" w14:textId="77777777" w:rsidR="00000000" w:rsidRDefault="00000000">
            <w:pPr>
              <w:keepNext/>
              <w:spacing w:before="60" w:after="60"/>
              <w:jc w:val="center"/>
              <w:rPr>
                <w:rFonts w:cs="Arial"/>
                <w:b/>
                <w:sz w:val="20"/>
                <w:szCs w:val="20"/>
              </w:rPr>
            </w:pPr>
            <w:r>
              <w:rPr>
                <w:rFonts w:cs="Arial"/>
                <w:b/>
                <w:sz w:val="20"/>
                <w:szCs w:val="20"/>
              </w:rPr>
              <w:t>Unattained Low Risk</w:t>
            </w:r>
          </w:p>
          <w:p w14:paraId="78EC32C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8655177" w14:textId="77777777" w:rsidR="00000000" w:rsidRDefault="00000000">
            <w:pPr>
              <w:keepNext/>
              <w:spacing w:before="60" w:after="60"/>
              <w:jc w:val="center"/>
              <w:rPr>
                <w:rFonts w:cs="Arial"/>
                <w:b/>
                <w:sz w:val="20"/>
                <w:szCs w:val="20"/>
              </w:rPr>
            </w:pPr>
            <w:r>
              <w:rPr>
                <w:rFonts w:cs="Arial"/>
                <w:b/>
                <w:sz w:val="20"/>
                <w:szCs w:val="20"/>
              </w:rPr>
              <w:t>Unattained Moderate Risk</w:t>
            </w:r>
          </w:p>
          <w:p w14:paraId="01F3133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5357F78" w14:textId="77777777" w:rsidR="00000000" w:rsidRDefault="00000000">
            <w:pPr>
              <w:keepNext/>
              <w:spacing w:before="60" w:after="60"/>
              <w:jc w:val="center"/>
              <w:rPr>
                <w:rFonts w:cs="Arial"/>
                <w:b/>
                <w:sz w:val="20"/>
                <w:szCs w:val="20"/>
              </w:rPr>
            </w:pPr>
            <w:r>
              <w:rPr>
                <w:rFonts w:cs="Arial"/>
                <w:b/>
                <w:sz w:val="20"/>
                <w:szCs w:val="20"/>
              </w:rPr>
              <w:t>Unattained High Risk</w:t>
            </w:r>
          </w:p>
          <w:p w14:paraId="506811E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383F707" w14:textId="77777777" w:rsidR="00000000" w:rsidRDefault="00000000">
            <w:pPr>
              <w:keepNext/>
              <w:spacing w:before="60" w:after="60"/>
              <w:jc w:val="center"/>
              <w:rPr>
                <w:rFonts w:cs="Arial"/>
                <w:b/>
                <w:sz w:val="20"/>
                <w:szCs w:val="20"/>
              </w:rPr>
            </w:pPr>
            <w:r>
              <w:rPr>
                <w:rFonts w:cs="Arial"/>
                <w:b/>
                <w:sz w:val="20"/>
                <w:szCs w:val="20"/>
              </w:rPr>
              <w:t>Unattained Critical Risk</w:t>
            </w:r>
          </w:p>
          <w:p w14:paraId="38A8AA26" w14:textId="77777777" w:rsidR="00000000" w:rsidRDefault="00000000">
            <w:pPr>
              <w:keepNext/>
              <w:spacing w:before="60" w:after="60"/>
              <w:jc w:val="center"/>
              <w:rPr>
                <w:rFonts w:cs="Arial"/>
                <w:b/>
                <w:sz w:val="20"/>
                <w:szCs w:val="20"/>
              </w:rPr>
            </w:pPr>
            <w:r>
              <w:rPr>
                <w:rFonts w:cs="Arial"/>
                <w:b/>
                <w:sz w:val="20"/>
                <w:szCs w:val="20"/>
              </w:rPr>
              <w:t>(UA Critical)</w:t>
            </w:r>
          </w:p>
        </w:tc>
      </w:tr>
      <w:tr w:rsidR="004C2DB1" w14:paraId="73C9F966" w14:textId="77777777">
        <w:tc>
          <w:tcPr>
            <w:tcW w:w="1384" w:type="dxa"/>
            <w:vAlign w:val="center"/>
          </w:tcPr>
          <w:p w14:paraId="09AD020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D339A3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B0EBE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155E8C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7D03CE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ABCB07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C2DB1" w14:paraId="5247EDF4" w14:textId="77777777">
        <w:tc>
          <w:tcPr>
            <w:tcW w:w="1384" w:type="dxa"/>
            <w:vAlign w:val="center"/>
          </w:tcPr>
          <w:p w14:paraId="2671C52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5A52FD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D28968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22BF9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1CA67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72B46C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C808E9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EA443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847CF4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E7430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4C2DB1" w14:paraId="7E9DE41D" w14:textId="77777777">
        <w:tc>
          <w:tcPr>
            <w:tcW w:w="0" w:type="auto"/>
          </w:tcPr>
          <w:p w14:paraId="3402A5B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49CB00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19E6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C2DB1" w14:paraId="0B218E64" w14:textId="77777777">
        <w:tc>
          <w:tcPr>
            <w:tcW w:w="0" w:type="auto"/>
          </w:tcPr>
          <w:p w14:paraId="0A4516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78AC62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1E14E11" w14:textId="77777777" w:rsidR="00000000" w:rsidRPr="00BE00C7" w:rsidRDefault="00000000" w:rsidP="00BE00C7">
            <w:pPr>
              <w:pStyle w:val="OutcomeDescription"/>
              <w:spacing w:before="120" w:after="120"/>
              <w:rPr>
                <w:rFonts w:cs="Arial"/>
                <w:lang w:eastAsia="en-NZ"/>
              </w:rPr>
            </w:pPr>
          </w:p>
        </w:tc>
        <w:tc>
          <w:tcPr>
            <w:tcW w:w="0" w:type="auto"/>
          </w:tcPr>
          <w:p w14:paraId="7B7CB1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C48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policy are documented for the service that acknowledges Te Tiriti o Waitangi as a founding document for New Zealand. At the time of the audit there were residents and staff members who identified as Māori. Terence Kennedy House is committed to respecting the self-determination, cultural values, and beliefs of Māori residents and family/whānau and these are documented in the resident care plan where required. </w:t>
            </w:r>
          </w:p>
          <w:p w14:paraId="03B3B2A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staff (three caregivers, the chef, the maintenance person, a housekeeper, and the activity coordinator) and the management team (the hospital manager, the charge nurse, the general manager and the clinical nurse manager from a sister site) demonstrated a knowledge of implementing the principles of Te Tiriti O Waitangi to all aspects of the service.</w:t>
            </w:r>
          </w:p>
          <w:p w14:paraId="1FDA0C96" w14:textId="77777777" w:rsidR="00000000" w:rsidRPr="00BE00C7" w:rsidRDefault="00000000" w:rsidP="00BE00C7">
            <w:pPr>
              <w:pStyle w:val="OutcomeDescription"/>
              <w:spacing w:before="120" w:after="120"/>
              <w:rPr>
                <w:rFonts w:cs="Arial"/>
                <w:lang w:eastAsia="en-NZ"/>
              </w:rPr>
            </w:pPr>
          </w:p>
        </w:tc>
      </w:tr>
      <w:tr w:rsidR="004C2DB1" w14:paraId="572CBF77" w14:textId="77777777">
        <w:tc>
          <w:tcPr>
            <w:tcW w:w="0" w:type="auto"/>
          </w:tcPr>
          <w:p w14:paraId="216059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84860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w:t>
            </w:r>
            <w:r w:rsidRPr="00BE00C7">
              <w:rPr>
                <w:rFonts w:cs="Arial"/>
                <w:lang w:eastAsia="en-NZ"/>
              </w:rPr>
              <w:lastRenderedPageBreak/>
              <w:t>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9D2968" w14:textId="77777777" w:rsidR="00000000" w:rsidRPr="00BE00C7" w:rsidRDefault="00000000" w:rsidP="00BE00C7">
            <w:pPr>
              <w:pStyle w:val="OutcomeDescription"/>
              <w:spacing w:before="120" w:after="120"/>
              <w:rPr>
                <w:rFonts w:cs="Arial"/>
                <w:lang w:eastAsia="en-NZ"/>
              </w:rPr>
            </w:pPr>
          </w:p>
        </w:tc>
        <w:tc>
          <w:tcPr>
            <w:tcW w:w="0" w:type="auto"/>
          </w:tcPr>
          <w:p w14:paraId="374A5C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DC3B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cultural, Samoan, Tongan and Cook Island policies and procedures commit to treating people equally, regardless of their difference in culture; of treating the whole person by sharing respect, meaning, knowledge and experience; and of providing specific cultural support for Pacific people as per their individual cultural needs. There were residents who identified as </w:t>
            </w:r>
            <w:r w:rsidRPr="00BE00C7">
              <w:rPr>
                <w:rFonts w:cs="Arial"/>
                <w:lang w:eastAsia="en-NZ"/>
              </w:rPr>
              <w:lastRenderedPageBreak/>
              <w:t xml:space="preserve">Pasifika at the time of the audit. Files of residents who identify as Pasifika include individualised cultural needs that reflect the Pacific Island they come from. </w:t>
            </w:r>
          </w:p>
          <w:p w14:paraId="2DD34A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residents and staff who identified as Pasifika. There are predominantly long serving Pacific team members who are connected within the local community, and they are available for guidance if required. When interviewed, the Pacific staff confirmed that they can also get support from other providers and churches in the community if required. </w:t>
            </w:r>
          </w:p>
          <w:p w14:paraId="1DE0E137" w14:textId="77777777" w:rsidR="00000000" w:rsidRPr="00BE00C7" w:rsidRDefault="00000000" w:rsidP="00BE00C7">
            <w:pPr>
              <w:pStyle w:val="OutcomeDescription"/>
              <w:spacing w:before="120" w:after="120"/>
              <w:rPr>
                <w:rFonts w:cs="Arial"/>
                <w:lang w:eastAsia="en-NZ"/>
              </w:rPr>
            </w:pPr>
          </w:p>
        </w:tc>
      </w:tr>
      <w:tr w:rsidR="004C2DB1" w14:paraId="6704CF7B" w14:textId="77777777">
        <w:tc>
          <w:tcPr>
            <w:tcW w:w="0" w:type="auto"/>
          </w:tcPr>
          <w:p w14:paraId="6ABA12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F70CC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7229EA" w14:textId="77777777" w:rsidR="00000000" w:rsidRPr="00BE00C7" w:rsidRDefault="00000000" w:rsidP="00BE00C7">
            <w:pPr>
              <w:pStyle w:val="OutcomeDescription"/>
              <w:spacing w:before="120" w:after="120"/>
              <w:rPr>
                <w:rFonts w:cs="Arial"/>
                <w:lang w:eastAsia="en-NZ"/>
              </w:rPr>
            </w:pPr>
          </w:p>
        </w:tc>
        <w:tc>
          <w:tcPr>
            <w:tcW w:w="0" w:type="auto"/>
          </w:tcPr>
          <w:p w14:paraId="27BEC8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0D96F4"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Code of Rights are included in the information that is provided to new residents and their family/whānau. The hospital manager or charge nurse discusses aspects of the Code with residents and their family/whānau on admission. The Code is displayed in multiple locations in English and te reo Māori.</w:t>
            </w:r>
          </w:p>
          <w:p w14:paraId="6D64EE9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(five hospital level and two rest home) and family/whānau (two hospital) confirmed that individual choices, independence and cultural beliefs are respected. Interactions observed between staff and residents during the audit were respectful.</w:t>
            </w:r>
          </w:p>
          <w:p w14:paraId="54233DC0" w14:textId="77777777" w:rsidR="00000000" w:rsidRPr="00BE00C7" w:rsidRDefault="00000000" w:rsidP="00BE00C7">
            <w:pPr>
              <w:pStyle w:val="OutcomeDescription"/>
              <w:spacing w:before="120" w:after="120"/>
              <w:rPr>
                <w:rFonts w:cs="Arial"/>
                <w:lang w:eastAsia="en-NZ"/>
              </w:rPr>
            </w:pPr>
          </w:p>
        </w:tc>
      </w:tr>
      <w:tr w:rsidR="004C2DB1" w14:paraId="0830C8AA" w14:textId="77777777">
        <w:tc>
          <w:tcPr>
            <w:tcW w:w="0" w:type="auto"/>
          </w:tcPr>
          <w:p w14:paraId="3E988E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DA49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DCF135" w14:textId="77777777" w:rsidR="00000000" w:rsidRPr="00BE00C7" w:rsidRDefault="00000000" w:rsidP="00BE00C7">
            <w:pPr>
              <w:pStyle w:val="OutcomeDescription"/>
              <w:spacing w:before="120" w:after="120"/>
              <w:rPr>
                <w:rFonts w:cs="Arial"/>
                <w:lang w:eastAsia="en-NZ"/>
              </w:rPr>
            </w:pPr>
          </w:p>
        </w:tc>
        <w:tc>
          <w:tcPr>
            <w:tcW w:w="0" w:type="auto"/>
          </w:tcPr>
          <w:p w14:paraId="101E38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7A9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Terence Kennedy policies prevent any form of institutional racism, discrimination, coercion, harassment, or any other exploitation.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642D5D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management and staff confirmed their understanding of professional </w:t>
            </w:r>
            <w:r w:rsidRPr="00BE00C7">
              <w:rPr>
                <w:rFonts w:cs="Arial"/>
                <w:lang w:eastAsia="en-NZ"/>
              </w:rPr>
              <w:lastRenderedPageBreak/>
              <w:t>boundaries, including the boundaries of their role and responsibilities. Professional boundaries are covered as part of orientation.</w:t>
            </w:r>
          </w:p>
          <w:p w14:paraId="3B5D5FCB" w14:textId="77777777" w:rsidR="00000000" w:rsidRPr="00BE00C7" w:rsidRDefault="00000000" w:rsidP="00BE00C7">
            <w:pPr>
              <w:pStyle w:val="OutcomeDescription"/>
              <w:spacing w:before="120" w:after="120"/>
              <w:rPr>
                <w:rFonts w:cs="Arial"/>
                <w:lang w:eastAsia="en-NZ"/>
              </w:rPr>
            </w:pPr>
          </w:p>
        </w:tc>
      </w:tr>
      <w:tr w:rsidR="004C2DB1" w14:paraId="2FE698C9" w14:textId="77777777">
        <w:tc>
          <w:tcPr>
            <w:tcW w:w="0" w:type="auto"/>
          </w:tcPr>
          <w:p w14:paraId="528ED4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C693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AC4A6BB" w14:textId="77777777" w:rsidR="00000000" w:rsidRPr="00BE00C7" w:rsidRDefault="00000000" w:rsidP="00BE00C7">
            <w:pPr>
              <w:pStyle w:val="OutcomeDescription"/>
              <w:spacing w:before="120" w:after="120"/>
              <w:rPr>
                <w:rFonts w:cs="Arial"/>
                <w:lang w:eastAsia="en-NZ"/>
              </w:rPr>
            </w:pPr>
          </w:p>
        </w:tc>
        <w:tc>
          <w:tcPr>
            <w:tcW w:w="0" w:type="auto"/>
          </w:tcPr>
          <w:p w14:paraId="653D42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2E12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54933F0C" w14:textId="77777777" w:rsidR="00000000" w:rsidRPr="00BE00C7" w:rsidRDefault="00000000" w:rsidP="00BE00C7">
            <w:pPr>
              <w:pStyle w:val="OutcomeDescription"/>
              <w:spacing w:before="120" w:after="120"/>
              <w:rPr>
                <w:rFonts w:cs="Arial"/>
                <w:lang w:eastAsia="en-NZ"/>
              </w:rPr>
            </w:pPr>
          </w:p>
        </w:tc>
      </w:tr>
      <w:tr w:rsidR="004C2DB1" w14:paraId="1B6D4B09" w14:textId="77777777">
        <w:tc>
          <w:tcPr>
            <w:tcW w:w="0" w:type="auto"/>
          </w:tcPr>
          <w:p w14:paraId="3C8020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A63F6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7E7EBC7" w14:textId="77777777" w:rsidR="00000000" w:rsidRPr="00BE00C7" w:rsidRDefault="00000000" w:rsidP="00BE00C7">
            <w:pPr>
              <w:pStyle w:val="OutcomeDescription"/>
              <w:spacing w:before="120" w:after="120"/>
              <w:rPr>
                <w:rFonts w:cs="Arial"/>
                <w:lang w:eastAsia="en-NZ"/>
              </w:rPr>
            </w:pPr>
          </w:p>
        </w:tc>
        <w:tc>
          <w:tcPr>
            <w:tcW w:w="0" w:type="auto"/>
          </w:tcPr>
          <w:p w14:paraId="674CD3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4AC9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hospital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152AFE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Two complaints have been received since the previous audit. The complaint reviewed had been resolved and closed off. Documentation including follow-up letters and resolution demonstrated that complaints are being managed in accordance with guidelines set by the Health and Disability Commissioner. </w:t>
            </w:r>
          </w:p>
          <w:p w14:paraId="2D6CAB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Health and Disability Commissioner complaint has been resolved. An email dated 9th October 2025 requested follow up of aspects of a complaint. There were no issues identified in relation to the complaint during this audit. </w:t>
            </w:r>
          </w:p>
          <w:p w14:paraId="3CFFCB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Code of Health and Disability Services Consumers’ Rights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hospital manager acknowledged the understanding that for Māori, there is a preference for face-to-face communication, and confirmed that this would be encouraged for any complainant. </w:t>
            </w:r>
          </w:p>
          <w:p w14:paraId="3C2CBD77" w14:textId="77777777" w:rsidR="00000000" w:rsidRPr="00BE00C7" w:rsidRDefault="00000000" w:rsidP="00BE00C7">
            <w:pPr>
              <w:pStyle w:val="OutcomeDescription"/>
              <w:spacing w:before="120" w:after="120"/>
              <w:rPr>
                <w:rFonts w:cs="Arial"/>
                <w:lang w:eastAsia="en-NZ"/>
              </w:rPr>
            </w:pPr>
          </w:p>
        </w:tc>
      </w:tr>
      <w:tr w:rsidR="004C2DB1" w14:paraId="4BB87A63" w14:textId="77777777">
        <w:tc>
          <w:tcPr>
            <w:tcW w:w="0" w:type="auto"/>
          </w:tcPr>
          <w:p w14:paraId="4AE452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4460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D1580AB" w14:textId="77777777" w:rsidR="00000000" w:rsidRPr="00BE00C7" w:rsidRDefault="00000000" w:rsidP="00BE00C7">
            <w:pPr>
              <w:pStyle w:val="OutcomeDescription"/>
              <w:spacing w:before="120" w:after="120"/>
              <w:rPr>
                <w:rFonts w:cs="Arial"/>
                <w:lang w:eastAsia="en-NZ"/>
              </w:rPr>
            </w:pPr>
          </w:p>
        </w:tc>
        <w:tc>
          <w:tcPr>
            <w:tcW w:w="0" w:type="auto"/>
          </w:tcPr>
          <w:p w14:paraId="3CF611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FE3C06" w14:textId="77777777" w:rsidR="00000000" w:rsidRPr="00BE00C7" w:rsidRDefault="00000000" w:rsidP="00BE00C7">
            <w:pPr>
              <w:pStyle w:val="OutcomeDescription"/>
              <w:spacing w:before="120" w:after="120"/>
              <w:rPr>
                <w:rFonts w:cs="Arial"/>
                <w:lang w:eastAsia="en-NZ"/>
              </w:rPr>
            </w:pPr>
            <w:r w:rsidRPr="00BE00C7">
              <w:rPr>
                <w:rFonts w:cs="Arial"/>
                <w:lang w:eastAsia="en-NZ"/>
              </w:rPr>
              <w:t>Terence Kennedy House is certified to provide hospital (geriatric and medical), and rest home levels of care for up to 45 residents. All beds are dual purpose beds. There were 45 residents on the days of audit, including five residents using rest home level of care and 40 at hospital level, including two residents funded though the younger persons with a disability (YPD) contract. All other residents were under the aged related residential care (ARRC) contract.</w:t>
            </w:r>
          </w:p>
          <w:p w14:paraId="225187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team has four directors, one of whom being the general manager (GM). The GM has 18 years’ experience in aged care and attends continual training via external organisations to keep up to date with legislation and requirements. The clinical governance structure in place is appropriate to the size and complexity of the service provision. </w:t>
            </w:r>
          </w:p>
          <w:p w14:paraId="2CB4D6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management meetings include the general manager, the directors, the accountant and legal counsel, along with the hospital manager. The charge nurse is invited to attend as required. These include operations, mitigation of risks, and a focus on continuous quality improvement. All members have the required skills to support effective governance over operational, clinical services and quality of resident care. </w:t>
            </w:r>
          </w:p>
          <w:p w14:paraId="308877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business, quality and risk management plan and programme documented which is reviewed at regular intervals and includes the service philosophy and goals. Policies and plans reflect a leadership commitment to collaborate with Māori, with strategies and addresses barriers to equitable service delivery. Cultural safety is embedded within the business and quality plan and staff training. </w:t>
            </w:r>
          </w:p>
          <w:p w14:paraId="7E4EE2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governance group and management team provide leadership for ensuring the business, quality and risk management plan is implemented and for leadership for the quality programme. </w:t>
            </w:r>
          </w:p>
          <w:p w14:paraId="334544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hospital manager (non-clinical) has been in the role at this service for five years, with 15 years’ experience in aged care in Australia and New Zealand. They attend relevant conferences and training related to their role and to aged care. The hospital manager is supported by the charge nurse. All managers have completed the required training hours related to the management of a care facility.</w:t>
            </w:r>
          </w:p>
          <w:p w14:paraId="0350BEE8" w14:textId="77777777" w:rsidR="00000000" w:rsidRPr="00BE00C7" w:rsidRDefault="00000000" w:rsidP="00BE00C7">
            <w:pPr>
              <w:pStyle w:val="OutcomeDescription"/>
              <w:spacing w:before="120" w:after="120"/>
              <w:rPr>
                <w:rFonts w:cs="Arial"/>
                <w:lang w:eastAsia="en-NZ"/>
              </w:rPr>
            </w:pPr>
          </w:p>
        </w:tc>
      </w:tr>
      <w:tr w:rsidR="004C2DB1" w14:paraId="1D82D6DD" w14:textId="77777777">
        <w:tc>
          <w:tcPr>
            <w:tcW w:w="0" w:type="auto"/>
          </w:tcPr>
          <w:p w14:paraId="7F3BF2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9E4FE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F59FA4" w14:textId="77777777" w:rsidR="00000000" w:rsidRPr="00BE00C7" w:rsidRDefault="00000000" w:rsidP="00BE00C7">
            <w:pPr>
              <w:pStyle w:val="OutcomeDescription"/>
              <w:spacing w:before="120" w:after="120"/>
              <w:rPr>
                <w:rFonts w:cs="Arial"/>
                <w:lang w:eastAsia="en-NZ"/>
              </w:rPr>
            </w:pPr>
          </w:p>
        </w:tc>
        <w:tc>
          <w:tcPr>
            <w:tcW w:w="0" w:type="auto"/>
          </w:tcPr>
          <w:p w14:paraId="09FA08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2FAE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fully implementing the documented quality and risk management system. This includes performance monitoring through internal audits and through the collection of data. The monthly staff meeting includes all staff and managers and covers all aspects of the quality and risk programme. Data is tabled, with evidence of discussion about the data, evaluation of progress against quality outcomes, and use of trend analysis to improve services; this is an improvement from the previous audit. RN/clinical and staff meetings provide an avenue for discussions in relation to (but not limited to): quality goals; quality data; health and safety; infection control/pandemic strategies; complaints received (if any); cultural compliance; staffing; and education. Meeting minutes are documented and include collation of data. Corrective actions are documented where indicated to address service improvements, with evidence of progress and sign off when achieved. Corrective actions are discussed at quality improvement meetings to ensure any outstanding matters are addressed. There are procedures to guide staff in managing clinical and non-clinical emergencies. </w:t>
            </w:r>
          </w:p>
          <w:p w14:paraId="3857BF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and family/whānau satisfaction survey was completed in May 2025. The survey evidenced a high level of overall satisfaction related to the areas surveyed. A summary of the data is recorded, with evidence that data was used to improve service delivery; this is an improvement from the previous audit. </w:t>
            </w:r>
          </w:p>
          <w:p w14:paraId="19630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discussed at the staff meeting, and a summary of health and safety is reported to the management meeting for discussion. Staff representatives attend the </w:t>
            </w:r>
            <w:r w:rsidRPr="00BE00C7">
              <w:rPr>
                <w:rFonts w:cs="Arial"/>
                <w:lang w:eastAsia="en-NZ"/>
              </w:rPr>
              <w:lastRenderedPageBreak/>
              <w:t xml:space="preserve">meeting and can raise issues from other staff if required. Hazard identification forms are completed electronically, and an up-to-date hazard register was reviewed. Health and safety policies are implemented and monitored by the health and safety committee (staff meeting). </w:t>
            </w:r>
          </w:p>
          <w:p w14:paraId="0793D8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actions are documented with any follow-up action(s) required, as evidenced in the eight accident/incident forms reviewed. Results are confirmed by staff and managers interviewed, as being discussed in the staff meetings and at handover. Staff document adverse and near-miss events in accordance with the National Adverse Event Reporting Policy. The Severity Assessment Code (SAC) has been implemented for all rating of risk for adverse events. </w:t>
            </w:r>
          </w:p>
          <w:p w14:paraId="4DF31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managers evidenced awareness of their requirement to notify relevant authorities in relation to essential notifications. There have been Section 31 notifications completed related to: three for staff shortages January 2025, and one water outage January 2025 (for which there was plenty of stored water). </w:t>
            </w:r>
          </w:p>
          <w:p w14:paraId="024EA0FE" w14:textId="77777777" w:rsidR="00000000" w:rsidRPr="00BE00C7" w:rsidRDefault="00000000" w:rsidP="00BE00C7">
            <w:pPr>
              <w:pStyle w:val="OutcomeDescription"/>
              <w:spacing w:before="120" w:after="120"/>
              <w:rPr>
                <w:rFonts w:cs="Arial"/>
                <w:lang w:eastAsia="en-NZ"/>
              </w:rPr>
            </w:pPr>
          </w:p>
        </w:tc>
      </w:tr>
      <w:tr w:rsidR="004C2DB1" w14:paraId="7EB0255A" w14:textId="77777777">
        <w:tc>
          <w:tcPr>
            <w:tcW w:w="0" w:type="auto"/>
          </w:tcPr>
          <w:p w14:paraId="3F79A4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8AF10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1643C6" w14:textId="77777777" w:rsidR="00000000" w:rsidRPr="00BE00C7" w:rsidRDefault="00000000" w:rsidP="00BE00C7">
            <w:pPr>
              <w:pStyle w:val="OutcomeDescription"/>
              <w:spacing w:before="120" w:after="120"/>
              <w:rPr>
                <w:rFonts w:cs="Arial"/>
                <w:lang w:eastAsia="en-NZ"/>
              </w:rPr>
            </w:pPr>
          </w:p>
        </w:tc>
        <w:tc>
          <w:tcPr>
            <w:tcW w:w="0" w:type="auto"/>
          </w:tcPr>
          <w:p w14:paraId="0432C7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1908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hospital and rest home level care residents. There is a first aid trained staff member on duty 24/7. The hospital and charge nurse are available Monday to Friday and cover the on-call roster. </w:t>
            </w:r>
          </w:p>
          <w:p w14:paraId="7A5871B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healthcare assistants and the charge nurse confirmed that their workload is manageable. Staff and residents are informed when there are changes to staffing levels, evidenced in staff interviews, staff meetings and resident meetings.</w:t>
            </w:r>
          </w:p>
          <w:p w14:paraId="2E0F2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The service supports and encourages caregivers to obtain a New Zealand Qualification Authority (NZQA) qualification. Eight of thirteen healthcare assistants have either level three or four Certificate in Health and </w:t>
            </w:r>
            <w:r w:rsidRPr="00BE00C7">
              <w:rPr>
                <w:rFonts w:cs="Arial"/>
                <w:lang w:eastAsia="en-NZ"/>
              </w:rPr>
              <w:lastRenderedPageBreak/>
              <w:t>Wellness.</w:t>
            </w:r>
          </w:p>
          <w:p w14:paraId="16BE0A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Registered competencies include syringe driver and interRAI assessment competency. </w:t>
            </w:r>
          </w:p>
          <w:p w14:paraId="13A366EC" w14:textId="77777777" w:rsidR="00000000" w:rsidRPr="00BE00C7" w:rsidRDefault="00000000" w:rsidP="00BE00C7">
            <w:pPr>
              <w:pStyle w:val="OutcomeDescription"/>
              <w:spacing w:before="120" w:after="120"/>
              <w:rPr>
                <w:rFonts w:cs="Arial"/>
                <w:lang w:eastAsia="en-NZ"/>
              </w:rPr>
            </w:pPr>
          </w:p>
        </w:tc>
      </w:tr>
      <w:tr w:rsidR="004C2DB1" w14:paraId="73ED3F8B" w14:textId="77777777">
        <w:tc>
          <w:tcPr>
            <w:tcW w:w="0" w:type="auto"/>
          </w:tcPr>
          <w:p w14:paraId="4695E1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EFFD7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7F3B848" w14:textId="77777777" w:rsidR="00000000" w:rsidRPr="00BE00C7" w:rsidRDefault="00000000" w:rsidP="00BE00C7">
            <w:pPr>
              <w:pStyle w:val="OutcomeDescription"/>
              <w:spacing w:before="120" w:after="120"/>
              <w:rPr>
                <w:rFonts w:cs="Arial"/>
                <w:lang w:eastAsia="en-NZ"/>
              </w:rPr>
            </w:pPr>
          </w:p>
        </w:tc>
        <w:tc>
          <w:tcPr>
            <w:tcW w:w="0" w:type="auto"/>
          </w:tcPr>
          <w:p w14:paraId="1BF180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CFB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 The practising certificates for the facility manager, and other health practitioners are retained to provide evidence of their registration. </w:t>
            </w:r>
          </w:p>
          <w:p w14:paraId="2CA254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6AA26AEF" w14:textId="77777777" w:rsidR="00000000" w:rsidRPr="00BE00C7" w:rsidRDefault="00000000" w:rsidP="00BE00C7">
            <w:pPr>
              <w:pStyle w:val="OutcomeDescription"/>
              <w:spacing w:before="120" w:after="120"/>
              <w:rPr>
                <w:rFonts w:cs="Arial"/>
                <w:lang w:eastAsia="en-NZ"/>
              </w:rPr>
            </w:pPr>
          </w:p>
        </w:tc>
      </w:tr>
      <w:tr w:rsidR="004C2DB1" w14:paraId="5CECED4E" w14:textId="77777777">
        <w:tc>
          <w:tcPr>
            <w:tcW w:w="0" w:type="auto"/>
          </w:tcPr>
          <w:p w14:paraId="6FABA6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72C5C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6BF69DD5" w14:textId="77777777" w:rsidR="00000000" w:rsidRPr="00BE00C7" w:rsidRDefault="00000000" w:rsidP="00BE00C7">
            <w:pPr>
              <w:pStyle w:val="OutcomeDescription"/>
              <w:spacing w:before="120" w:after="120"/>
              <w:rPr>
                <w:rFonts w:cs="Arial"/>
                <w:lang w:eastAsia="en-NZ"/>
              </w:rPr>
            </w:pPr>
          </w:p>
        </w:tc>
        <w:tc>
          <w:tcPr>
            <w:tcW w:w="0" w:type="auto"/>
          </w:tcPr>
          <w:p w14:paraId="6F11E0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D00D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three hospital residents (including one resident funder thought the YPD contract), and two rest home residents. The charge nurse and the registered nurses are responsible for conducting all assessments and for the development of care plans. Residents and family/whānau interviewed report they are involved in the assessment, care planning and review process, as evidenced in the electronic files reviewed. </w:t>
            </w:r>
          </w:p>
          <w:p w14:paraId="17996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w:t>
            </w:r>
            <w:r w:rsidRPr="00BE00C7">
              <w:rPr>
                <w:rFonts w:cs="Arial"/>
                <w:lang w:eastAsia="en-NZ"/>
              </w:rPr>
              <w:lastRenderedPageBreak/>
              <w:t xml:space="preserve">gathered during the initial assessments and the interRAI assessment (competed for all residents). The long-term care plans and interRAI sampled had been completed within three weeks of the residents’ admission to the facility. Documented interventions and early warning signs meet the residents’ assessed needs. Short-term care plans are developed for short-term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73989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from a contracted local practice ensures residents are assessed within five working days of admission. The GP reviews each resident at least three-monthly. The GP provides on-call service for after hours until 10pm and visits the facility twice a week for clinics. When interviewed, the GP expressed satisfaction with the standard of care and quality of nursing proficiency at Terence Kennedy House. The GP was complimentary of the clinical assessment skills, as well as quality of referrals received from the registered nurses after hours. Specialist referrals are initiated as needed. Allied health interventions were documented and integrated into care plans. The service has contracted a physiotherapist for three hours a week. </w:t>
            </w:r>
          </w:p>
          <w:p w14:paraId="3FDE4DE7"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clinical file. Resident records evidenced that family are informed where there is a change in health status.</w:t>
            </w:r>
          </w:p>
          <w:p w14:paraId="4E5F74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are taken where required. Wounds included skin tears, lesions, chronic ulcers, and abrasions. There was evidence that if wounds required additional specialist input, this was initiated, and a wound nurse specialist consulted.</w:t>
            </w:r>
          </w:p>
          <w:p w14:paraId="3F054D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and registered nurses. When changes occur with the residents’ health, these are reflected in the progress notes to provide an evolving picture of the resident journey. When a resident’s </w:t>
            </w:r>
            <w:r w:rsidRPr="00BE00C7">
              <w:rPr>
                <w:rFonts w:cs="Arial"/>
                <w:lang w:eastAsia="en-NZ"/>
              </w:rPr>
              <w:lastRenderedPageBreak/>
              <w:t xml:space="preserve">condition alters, the facility manager initiates a review with the GP. There was evidence registered nurses had added to the progress notes when there was an incident and/or change in health status. </w:t>
            </w:r>
          </w:p>
          <w:p w14:paraId="4981FDBA"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are available for staff to utilise. Monitoring charts reviewed were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1AEFA98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F196964" w14:textId="77777777" w:rsidR="00000000" w:rsidRPr="00BE00C7" w:rsidRDefault="00000000" w:rsidP="0088764B">
            <w:pPr>
              <w:pStyle w:val="OutcomeDescription"/>
              <w:spacing w:before="120" w:after="120"/>
              <w:rPr>
                <w:rFonts w:cs="Arial"/>
                <w:lang w:eastAsia="en-NZ"/>
              </w:rPr>
            </w:pPr>
          </w:p>
        </w:tc>
      </w:tr>
      <w:tr w:rsidR="004C2DB1" w14:paraId="07795427" w14:textId="77777777">
        <w:tc>
          <w:tcPr>
            <w:tcW w:w="0" w:type="auto"/>
          </w:tcPr>
          <w:p w14:paraId="0858AA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C86FA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152C5ED" w14:textId="77777777" w:rsidR="00000000" w:rsidRPr="00BE00C7" w:rsidRDefault="00000000" w:rsidP="00BE00C7">
            <w:pPr>
              <w:pStyle w:val="OutcomeDescription"/>
              <w:spacing w:before="120" w:after="120"/>
              <w:rPr>
                <w:rFonts w:cs="Arial"/>
                <w:lang w:eastAsia="en-NZ"/>
              </w:rPr>
            </w:pPr>
          </w:p>
        </w:tc>
        <w:tc>
          <w:tcPr>
            <w:tcW w:w="0" w:type="auto"/>
          </w:tcPr>
          <w:p w14:paraId="0F8006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87B6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1A686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facility manager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319BE9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A review of the use of ‘as needed’ medication evidence that documentation is made regarding effectiveness; this is an improvement from the previous audit. Current medication competencies were evident in staff files.</w:t>
            </w:r>
          </w:p>
          <w:p w14:paraId="456A9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w:t>
            </w:r>
            <w:r w:rsidRPr="00BE00C7">
              <w:rPr>
                <w:rFonts w:cs="Arial"/>
                <w:lang w:eastAsia="en-NZ"/>
              </w:rPr>
              <w:lastRenderedPageBreak/>
              <w:t xml:space="preserve">audit. Policy and procedures including assessment, review, and the provision of safe storage were in place where required. Standing orders are not used, and vaccines are not kept on site. </w:t>
            </w:r>
          </w:p>
          <w:p w14:paraId="247A6B76" w14:textId="77777777" w:rsidR="00000000" w:rsidRPr="00BE00C7" w:rsidRDefault="00000000" w:rsidP="00BE00C7">
            <w:pPr>
              <w:pStyle w:val="OutcomeDescription"/>
              <w:spacing w:before="120" w:after="120"/>
              <w:rPr>
                <w:rFonts w:cs="Arial"/>
                <w:lang w:eastAsia="en-NZ"/>
              </w:rPr>
            </w:pPr>
          </w:p>
        </w:tc>
      </w:tr>
      <w:tr w:rsidR="004C2DB1" w14:paraId="71AAA6B5" w14:textId="77777777">
        <w:tc>
          <w:tcPr>
            <w:tcW w:w="0" w:type="auto"/>
          </w:tcPr>
          <w:p w14:paraId="549E1E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0F8A5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F2E536" w14:textId="77777777" w:rsidR="00000000" w:rsidRPr="00BE00C7" w:rsidRDefault="00000000" w:rsidP="00BE00C7">
            <w:pPr>
              <w:pStyle w:val="OutcomeDescription"/>
              <w:spacing w:before="120" w:after="120"/>
              <w:rPr>
                <w:rFonts w:cs="Arial"/>
                <w:lang w:eastAsia="en-NZ"/>
              </w:rPr>
            </w:pPr>
          </w:p>
        </w:tc>
        <w:tc>
          <w:tcPr>
            <w:tcW w:w="0" w:type="auto"/>
          </w:tcPr>
          <w:p w14:paraId="1A5039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ADAD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an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2BD8105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and in the annual residents’ survey. Residents and families/whānau interviewed stated that they were satisfied with the meals provided. Dry ingredients were decanted into containers for ease of access, and all included an expiry date. All food stored in the chiller had dates of opening / expiry on the containers. This is an improvement from the previous audit.</w:t>
            </w:r>
          </w:p>
          <w:p w14:paraId="1AF81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April 2028. </w:t>
            </w:r>
          </w:p>
          <w:p w14:paraId="39B50C6E" w14:textId="77777777" w:rsidR="00000000" w:rsidRPr="00BE00C7" w:rsidRDefault="00000000" w:rsidP="00BE00C7">
            <w:pPr>
              <w:pStyle w:val="OutcomeDescription"/>
              <w:spacing w:before="120" w:after="120"/>
              <w:rPr>
                <w:rFonts w:cs="Arial"/>
                <w:lang w:eastAsia="en-NZ"/>
              </w:rPr>
            </w:pPr>
          </w:p>
        </w:tc>
      </w:tr>
      <w:tr w:rsidR="004C2DB1" w14:paraId="7F7F6FB7" w14:textId="77777777">
        <w:tc>
          <w:tcPr>
            <w:tcW w:w="0" w:type="auto"/>
          </w:tcPr>
          <w:p w14:paraId="3ACA6A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25C48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493E56" w14:textId="77777777" w:rsidR="00000000" w:rsidRPr="00BE00C7" w:rsidRDefault="00000000" w:rsidP="00BE00C7">
            <w:pPr>
              <w:pStyle w:val="OutcomeDescription"/>
              <w:spacing w:before="120" w:after="120"/>
              <w:rPr>
                <w:rFonts w:cs="Arial"/>
                <w:lang w:eastAsia="en-NZ"/>
              </w:rPr>
            </w:pPr>
          </w:p>
        </w:tc>
        <w:tc>
          <w:tcPr>
            <w:tcW w:w="0" w:type="auto"/>
          </w:tcPr>
          <w:p w14:paraId="79E943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C52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1A2B0585" w14:textId="77777777" w:rsidR="00000000" w:rsidRPr="00BE00C7" w:rsidRDefault="00000000" w:rsidP="00BE00C7">
            <w:pPr>
              <w:pStyle w:val="OutcomeDescription"/>
              <w:spacing w:before="120" w:after="120"/>
              <w:rPr>
                <w:rFonts w:cs="Arial"/>
                <w:lang w:eastAsia="en-NZ"/>
              </w:rPr>
            </w:pPr>
          </w:p>
        </w:tc>
      </w:tr>
      <w:tr w:rsidR="004C2DB1" w14:paraId="078A98F6" w14:textId="77777777">
        <w:tc>
          <w:tcPr>
            <w:tcW w:w="0" w:type="auto"/>
          </w:tcPr>
          <w:p w14:paraId="56EDCC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BD397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F74191E" w14:textId="77777777" w:rsidR="00000000" w:rsidRPr="00BE00C7" w:rsidRDefault="00000000" w:rsidP="00BE00C7">
            <w:pPr>
              <w:pStyle w:val="OutcomeDescription"/>
              <w:spacing w:before="120" w:after="120"/>
              <w:rPr>
                <w:rFonts w:cs="Arial"/>
                <w:lang w:eastAsia="en-NZ"/>
              </w:rPr>
            </w:pPr>
          </w:p>
        </w:tc>
        <w:tc>
          <w:tcPr>
            <w:tcW w:w="0" w:type="auto"/>
          </w:tcPr>
          <w:p w14:paraId="23F49F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8BE8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end of November 2025. Maintenance requests are logged and followed up in a timely manner. There is an implemented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w:t>
            </w:r>
          </w:p>
          <w:p w14:paraId="64521E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shortfalls around the maintenance plan and corrective actions for high water temperatures have been rectified.</w:t>
            </w:r>
          </w:p>
          <w:p w14:paraId="3D7B38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3B2640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45848261" w14:textId="77777777" w:rsidR="00000000" w:rsidRPr="00BE00C7" w:rsidRDefault="00000000" w:rsidP="00BE00C7">
            <w:pPr>
              <w:pStyle w:val="OutcomeDescription"/>
              <w:spacing w:before="120" w:after="120"/>
              <w:rPr>
                <w:rFonts w:cs="Arial"/>
                <w:lang w:eastAsia="en-NZ"/>
              </w:rPr>
            </w:pPr>
          </w:p>
        </w:tc>
      </w:tr>
      <w:tr w:rsidR="004C2DB1" w14:paraId="3DE493E1" w14:textId="77777777">
        <w:tc>
          <w:tcPr>
            <w:tcW w:w="0" w:type="auto"/>
          </w:tcPr>
          <w:p w14:paraId="6B1AC1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C6CE5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B0B1FC" w14:textId="77777777" w:rsidR="00000000" w:rsidRPr="00BE00C7" w:rsidRDefault="00000000" w:rsidP="00BE00C7">
            <w:pPr>
              <w:pStyle w:val="OutcomeDescription"/>
              <w:spacing w:before="120" w:after="120"/>
              <w:rPr>
                <w:rFonts w:cs="Arial"/>
                <w:lang w:eastAsia="en-NZ"/>
              </w:rPr>
            </w:pPr>
          </w:p>
        </w:tc>
        <w:tc>
          <w:tcPr>
            <w:tcW w:w="0" w:type="auto"/>
          </w:tcPr>
          <w:p w14:paraId="2DA912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3964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documented infection prevention and control programme implemented that was developed initially with input from external infection prevention and control services. The programme was approved by the GM, with an external consultant supporting the development of policies. Policies comply with relevant legislation and accepted best practice, reflect the requirements of the infection prevention and control standards, and include appropriate referencing. The infection prevention and control programme is linked to the quality system and is reviewed annually. </w:t>
            </w:r>
          </w:p>
          <w:p w14:paraId="16CD40E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that infections are managed appropriately, reflecting adherence to established protocols.</w:t>
            </w:r>
          </w:p>
          <w:p w14:paraId="5B3E7E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w:t>
            </w:r>
            <w:r w:rsidRPr="00BE00C7">
              <w:rPr>
                <w:rFonts w:cs="Arial"/>
                <w:lang w:eastAsia="en-NZ"/>
              </w:rPr>
              <w:lastRenderedPageBreak/>
              <w:t>residents about remaining in their room if they are unwell. Staff who were interviewed demonstrated a good understanding of infection control and prevention measures.</w:t>
            </w:r>
          </w:p>
          <w:p w14:paraId="0778BC83" w14:textId="77777777" w:rsidR="00000000" w:rsidRPr="00BE00C7" w:rsidRDefault="00000000" w:rsidP="00BE00C7">
            <w:pPr>
              <w:pStyle w:val="OutcomeDescription"/>
              <w:spacing w:before="120" w:after="120"/>
              <w:rPr>
                <w:rFonts w:cs="Arial"/>
                <w:lang w:eastAsia="en-NZ"/>
              </w:rPr>
            </w:pPr>
          </w:p>
        </w:tc>
      </w:tr>
      <w:tr w:rsidR="004C2DB1" w14:paraId="627D8FA2" w14:textId="77777777">
        <w:tc>
          <w:tcPr>
            <w:tcW w:w="0" w:type="auto"/>
          </w:tcPr>
          <w:p w14:paraId="0509F1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986C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05853E" w14:textId="77777777" w:rsidR="00000000" w:rsidRPr="00BE00C7" w:rsidRDefault="00000000" w:rsidP="00BE00C7">
            <w:pPr>
              <w:pStyle w:val="OutcomeDescription"/>
              <w:spacing w:before="120" w:after="120"/>
              <w:rPr>
                <w:rFonts w:cs="Arial"/>
                <w:lang w:eastAsia="en-NZ"/>
              </w:rPr>
            </w:pPr>
          </w:p>
        </w:tc>
        <w:tc>
          <w:tcPr>
            <w:tcW w:w="0" w:type="auto"/>
          </w:tcPr>
          <w:p w14:paraId="58D593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8D8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15985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Additionally, the infection control data captures information on ethnicity; this is an improvement from the previous audit. Infection control data is included in reports to the governance and management team. </w:t>
            </w:r>
          </w:p>
          <w:p w14:paraId="10652A3A"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1411B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reported outbreaks since the previous audit.</w:t>
            </w:r>
          </w:p>
          <w:p w14:paraId="076255AD" w14:textId="77777777" w:rsidR="00000000" w:rsidRPr="00BE00C7" w:rsidRDefault="00000000" w:rsidP="00BE00C7">
            <w:pPr>
              <w:pStyle w:val="OutcomeDescription"/>
              <w:spacing w:before="120" w:after="120"/>
              <w:rPr>
                <w:rFonts w:cs="Arial"/>
                <w:lang w:eastAsia="en-NZ"/>
              </w:rPr>
            </w:pPr>
          </w:p>
        </w:tc>
      </w:tr>
      <w:tr w:rsidR="004C2DB1" w14:paraId="130130E1" w14:textId="77777777">
        <w:tc>
          <w:tcPr>
            <w:tcW w:w="0" w:type="auto"/>
          </w:tcPr>
          <w:p w14:paraId="05FC26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54F5F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410270F3" w14:textId="77777777" w:rsidR="00000000" w:rsidRPr="00BE00C7" w:rsidRDefault="00000000" w:rsidP="00BE00C7">
            <w:pPr>
              <w:pStyle w:val="OutcomeDescription"/>
              <w:spacing w:before="120" w:after="120"/>
              <w:rPr>
                <w:rFonts w:cs="Arial"/>
                <w:lang w:eastAsia="en-NZ"/>
              </w:rPr>
            </w:pPr>
          </w:p>
        </w:tc>
        <w:tc>
          <w:tcPr>
            <w:tcW w:w="0" w:type="auto"/>
          </w:tcPr>
          <w:p w14:paraId="15B3F7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3B8D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charge nurse (RN) is the restraint coordinator and provides support and oversight for restraint management in the facility. The restraint coordinator is conversant with restraint policies and procedures. Interview with the restraint coordinator described the organisation’s commitment to restraint </w:t>
            </w:r>
            <w:r w:rsidRPr="00BE00C7">
              <w:rPr>
                <w:rFonts w:cs="Arial"/>
                <w:lang w:eastAsia="en-NZ"/>
              </w:rPr>
              <w:lastRenderedPageBreak/>
              <w:t xml:space="preserve">elimination and implementation across the organisation. </w:t>
            </w:r>
          </w:p>
          <w:p w14:paraId="6BC27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restraints. The use of restraint (if any) would be reported monthly at the facility meetings, and to the owners/directors as part of monthly management meetings. </w:t>
            </w:r>
          </w:p>
          <w:p w14:paraId="1E566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74419515" w14:textId="77777777" w:rsidR="00000000" w:rsidRPr="00BE00C7" w:rsidRDefault="00000000" w:rsidP="00BE00C7">
            <w:pPr>
              <w:pStyle w:val="OutcomeDescription"/>
              <w:spacing w:before="120" w:after="120"/>
              <w:rPr>
                <w:rFonts w:cs="Arial"/>
                <w:lang w:eastAsia="en-NZ"/>
              </w:rPr>
            </w:pPr>
          </w:p>
        </w:tc>
      </w:tr>
    </w:tbl>
    <w:p w14:paraId="2FBCF11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E79F8E3" w14:textId="77777777" w:rsidR="00000000" w:rsidRDefault="00000000">
      <w:pPr>
        <w:pStyle w:val="Heading1"/>
        <w:rPr>
          <w:rFonts w:cs="Arial"/>
        </w:rPr>
      </w:pPr>
      <w:r>
        <w:rPr>
          <w:rFonts w:cs="Arial"/>
        </w:rPr>
        <w:lastRenderedPageBreak/>
        <w:t>Specific results for criterion where corrective actions are required</w:t>
      </w:r>
    </w:p>
    <w:p w14:paraId="284E0E2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580F6F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F8EEF3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C2DB1" w14:paraId="65EB9DEB" w14:textId="77777777">
        <w:tc>
          <w:tcPr>
            <w:tcW w:w="0" w:type="auto"/>
          </w:tcPr>
          <w:p w14:paraId="397C057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1636D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E4269E3" w14:textId="77777777" w:rsidR="00000000" w:rsidRDefault="00000000">
      <w:pPr>
        <w:pStyle w:val="Heading1"/>
        <w:rPr>
          <w:rFonts w:cs="Arial"/>
        </w:rPr>
      </w:pPr>
      <w:r>
        <w:rPr>
          <w:rFonts w:cs="Arial"/>
        </w:rPr>
        <w:lastRenderedPageBreak/>
        <w:t>Specific results for criterion where a continuous improvement has been recorded</w:t>
      </w:r>
    </w:p>
    <w:p w14:paraId="14E5018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0779C1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7ACCDB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C2DB1" w14:paraId="154C3286" w14:textId="77777777">
        <w:tc>
          <w:tcPr>
            <w:tcW w:w="0" w:type="auto"/>
          </w:tcPr>
          <w:p w14:paraId="3B5DB74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73B067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E73B72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D6A2" w14:textId="77777777" w:rsidR="00640ADB" w:rsidRDefault="00640ADB">
      <w:r>
        <w:separator/>
      </w:r>
    </w:p>
  </w:endnote>
  <w:endnote w:type="continuationSeparator" w:id="0">
    <w:p w14:paraId="7CD7D68B" w14:textId="77777777" w:rsidR="00640ADB" w:rsidRDefault="0064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1E20" w14:textId="77777777" w:rsidR="00000000" w:rsidRDefault="00000000">
    <w:pPr>
      <w:pStyle w:val="Footer"/>
    </w:pPr>
  </w:p>
  <w:p w14:paraId="7A2C8B9C" w14:textId="77777777" w:rsidR="00000000" w:rsidRDefault="00000000"/>
  <w:p w14:paraId="19F4E5A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D5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Residential Management Limited - Terence Kennedy House</w:t>
    </w:r>
    <w:bookmarkEnd w:id="59"/>
    <w:r>
      <w:rPr>
        <w:rFonts w:cs="Arial"/>
        <w:sz w:val="16"/>
        <w:szCs w:val="20"/>
      </w:rPr>
      <w:tab/>
      <w:t xml:space="preserve">Date of Audit: </w:t>
    </w:r>
    <w:bookmarkStart w:id="60" w:name="AuditStartDate1"/>
    <w:r>
      <w:rPr>
        <w:rFonts w:cs="Arial"/>
        <w:sz w:val="16"/>
        <w:szCs w:val="20"/>
      </w:rPr>
      <w:t>9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70BA9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ADD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1B74" w14:textId="77777777" w:rsidR="00640ADB" w:rsidRDefault="00640ADB">
      <w:r>
        <w:separator/>
      </w:r>
    </w:p>
  </w:footnote>
  <w:footnote w:type="continuationSeparator" w:id="0">
    <w:p w14:paraId="21F55D88" w14:textId="77777777" w:rsidR="00640ADB" w:rsidRDefault="0064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6305" w14:textId="77777777" w:rsidR="00000000" w:rsidRDefault="00000000">
    <w:pPr>
      <w:pStyle w:val="Header"/>
    </w:pPr>
  </w:p>
  <w:p w14:paraId="1178829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6556" w14:textId="77777777" w:rsidR="00000000" w:rsidRDefault="00000000">
    <w:pPr>
      <w:pStyle w:val="Header"/>
    </w:pPr>
  </w:p>
  <w:p w14:paraId="0CF868C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D72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148D402">
      <w:start w:val="1"/>
      <w:numFmt w:val="decimal"/>
      <w:lvlText w:val="%1."/>
      <w:lvlJc w:val="left"/>
      <w:pPr>
        <w:ind w:left="360" w:hanging="360"/>
      </w:pPr>
    </w:lvl>
    <w:lvl w:ilvl="1" w:tplc="ED6E4F9A" w:tentative="1">
      <w:start w:val="1"/>
      <w:numFmt w:val="lowerLetter"/>
      <w:lvlText w:val="%2."/>
      <w:lvlJc w:val="left"/>
      <w:pPr>
        <w:ind w:left="1080" w:hanging="360"/>
      </w:pPr>
    </w:lvl>
    <w:lvl w:ilvl="2" w:tplc="541ADA94" w:tentative="1">
      <w:start w:val="1"/>
      <w:numFmt w:val="lowerRoman"/>
      <w:lvlText w:val="%3."/>
      <w:lvlJc w:val="right"/>
      <w:pPr>
        <w:ind w:left="1800" w:hanging="180"/>
      </w:pPr>
    </w:lvl>
    <w:lvl w:ilvl="3" w:tplc="E40AF1F6" w:tentative="1">
      <w:start w:val="1"/>
      <w:numFmt w:val="decimal"/>
      <w:lvlText w:val="%4."/>
      <w:lvlJc w:val="left"/>
      <w:pPr>
        <w:ind w:left="2520" w:hanging="360"/>
      </w:pPr>
    </w:lvl>
    <w:lvl w:ilvl="4" w:tplc="FD3CA4E4" w:tentative="1">
      <w:start w:val="1"/>
      <w:numFmt w:val="lowerLetter"/>
      <w:lvlText w:val="%5."/>
      <w:lvlJc w:val="left"/>
      <w:pPr>
        <w:ind w:left="3240" w:hanging="360"/>
      </w:pPr>
    </w:lvl>
    <w:lvl w:ilvl="5" w:tplc="5B62272C" w:tentative="1">
      <w:start w:val="1"/>
      <w:numFmt w:val="lowerRoman"/>
      <w:lvlText w:val="%6."/>
      <w:lvlJc w:val="right"/>
      <w:pPr>
        <w:ind w:left="3960" w:hanging="180"/>
      </w:pPr>
    </w:lvl>
    <w:lvl w:ilvl="6" w:tplc="47B683C6" w:tentative="1">
      <w:start w:val="1"/>
      <w:numFmt w:val="decimal"/>
      <w:lvlText w:val="%7."/>
      <w:lvlJc w:val="left"/>
      <w:pPr>
        <w:ind w:left="4680" w:hanging="360"/>
      </w:pPr>
    </w:lvl>
    <w:lvl w:ilvl="7" w:tplc="B8FC4D1E" w:tentative="1">
      <w:start w:val="1"/>
      <w:numFmt w:val="lowerLetter"/>
      <w:lvlText w:val="%8."/>
      <w:lvlJc w:val="left"/>
      <w:pPr>
        <w:ind w:left="5400" w:hanging="360"/>
      </w:pPr>
    </w:lvl>
    <w:lvl w:ilvl="8" w:tplc="DB142B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06C63FE">
      <w:start w:val="1"/>
      <w:numFmt w:val="bullet"/>
      <w:lvlText w:val=""/>
      <w:lvlJc w:val="left"/>
      <w:pPr>
        <w:ind w:left="720" w:hanging="360"/>
      </w:pPr>
      <w:rPr>
        <w:rFonts w:ascii="Symbol" w:hAnsi="Symbol" w:hint="default"/>
      </w:rPr>
    </w:lvl>
    <w:lvl w:ilvl="1" w:tplc="8138BBC8" w:tentative="1">
      <w:start w:val="1"/>
      <w:numFmt w:val="bullet"/>
      <w:lvlText w:val="o"/>
      <w:lvlJc w:val="left"/>
      <w:pPr>
        <w:ind w:left="1440" w:hanging="360"/>
      </w:pPr>
      <w:rPr>
        <w:rFonts w:ascii="Courier New" w:hAnsi="Courier New" w:cs="Courier New" w:hint="default"/>
      </w:rPr>
    </w:lvl>
    <w:lvl w:ilvl="2" w:tplc="59C42C0A" w:tentative="1">
      <w:start w:val="1"/>
      <w:numFmt w:val="bullet"/>
      <w:lvlText w:val=""/>
      <w:lvlJc w:val="left"/>
      <w:pPr>
        <w:ind w:left="2160" w:hanging="360"/>
      </w:pPr>
      <w:rPr>
        <w:rFonts w:ascii="Wingdings" w:hAnsi="Wingdings" w:hint="default"/>
      </w:rPr>
    </w:lvl>
    <w:lvl w:ilvl="3" w:tplc="EC588D10" w:tentative="1">
      <w:start w:val="1"/>
      <w:numFmt w:val="bullet"/>
      <w:lvlText w:val=""/>
      <w:lvlJc w:val="left"/>
      <w:pPr>
        <w:ind w:left="2880" w:hanging="360"/>
      </w:pPr>
      <w:rPr>
        <w:rFonts w:ascii="Symbol" w:hAnsi="Symbol" w:hint="default"/>
      </w:rPr>
    </w:lvl>
    <w:lvl w:ilvl="4" w:tplc="4AFC1B02" w:tentative="1">
      <w:start w:val="1"/>
      <w:numFmt w:val="bullet"/>
      <w:lvlText w:val="o"/>
      <w:lvlJc w:val="left"/>
      <w:pPr>
        <w:ind w:left="3600" w:hanging="360"/>
      </w:pPr>
      <w:rPr>
        <w:rFonts w:ascii="Courier New" w:hAnsi="Courier New" w:cs="Courier New" w:hint="default"/>
      </w:rPr>
    </w:lvl>
    <w:lvl w:ilvl="5" w:tplc="89167AB4" w:tentative="1">
      <w:start w:val="1"/>
      <w:numFmt w:val="bullet"/>
      <w:lvlText w:val=""/>
      <w:lvlJc w:val="left"/>
      <w:pPr>
        <w:ind w:left="4320" w:hanging="360"/>
      </w:pPr>
      <w:rPr>
        <w:rFonts w:ascii="Wingdings" w:hAnsi="Wingdings" w:hint="default"/>
      </w:rPr>
    </w:lvl>
    <w:lvl w:ilvl="6" w:tplc="BA061154" w:tentative="1">
      <w:start w:val="1"/>
      <w:numFmt w:val="bullet"/>
      <w:lvlText w:val=""/>
      <w:lvlJc w:val="left"/>
      <w:pPr>
        <w:ind w:left="5040" w:hanging="360"/>
      </w:pPr>
      <w:rPr>
        <w:rFonts w:ascii="Symbol" w:hAnsi="Symbol" w:hint="default"/>
      </w:rPr>
    </w:lvl>
    <w:lvl w:ilvl="7" w:tplc="FFF2B0D4" w:tentative="1">
      <w:start w:val="1"/>
      <w:numFmt w:val="bullet"/>
      <w:lvlText w:val="o"/>
      <w:lvlJc w:val="left"/>
      <w:pPr>
        <w:ind w:left="5760" w:hanging="360"/>
      </w:pPr>
      <w:rPr>
        <w:rFonts w:ascii="Courier New" w:hAnsi="Courier New" w:cs="Courier New" w:hint="default"/>
      </w:rPr>
    </w:lvl>
    <w:lvl w:ilvl="8" w:tplc="366ADA18" w:tentative="1">
      <w:start w:val="1"/>
      <w:numFmt w:val="bullet"/>
      <w:lvlText w:val=""/>
      <w:lvlJc w:val="left"/>
      <w:pPr>
        <w:ind w:left="6480" w:hanging="360"/>
      </w:pPr>
      <w:rPr>
        <w:rFonts w:ascii="Wingdings" w:hAnsi="Wingdings" w:hint="default"/>
      </w:rPr>
    </w:lvl>
  </w:abstractNum>
  <w:num w:numId="1" w16cid:durableId="999507552">
    <w:abstractNumId w:val="1"/>
  </w:num>
  <w:num w:numId="2" w16cid:durableId="42739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B1"/>
    <w:rsid w:val="004C2DB1"/>
    <w:rsid w:val="00640ADB"/>
    <w:rsid w:val="0088764B"/>
    <w:rsid w:val="008E7C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3E3F"/>
  <w15:docId w15:val="{520C6061-710E-4455-95F0-3C599719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7126</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2025-11-26T20:44:00Z</dcterms:created>
  <dcterms:modified xsi:type="dcterms:W3CDTF">2025-11-26T20:44:00Z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