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10A7" w14:textId="77777777" w:rsidR="00000000" w:rsidRDefault="00000000">
      <w:pPr>
        <w:pStyle w:val="Heading1"/>
        <w:rPr>
          <w:rFonts w:cs="Arial"/>
        </w:rPr>
      </w:pPr>
      <w:bookmarkStart w:id="0" w:name="PRMS_RIName"/>
      <w:r>
        <w:rPr>
          <w:rFonts w:cs="Arial"/>
        </w:rPr>
        <w:t>Anthony Wilding Retirement Village Limited - Anthony Wilding Retirement Village</w:t>
      </w:r>
      <w:bookmarkEnd w:id="0"/>
    </w:p>
    <w:p w14:paraId="0679C1D2" w14:textId="77777777" w:rsidR="00000000" w:rsidRDefault="00000000">
      <w:pPr>
        <w:pStyle w:val="Heading2"/>
        <w:spacing w:after="0"/>
        <w:rPr>
          <w:rFonts w:cs="Arial"/>
        </w:rPr>
      </w:pPr>
      <w:r>
        <w:rPr>
          <w:rFonts w:cs="Arial"/>
        </w:rPr>
        <w:t>Introduction</w:t>
      </w:r>
    </w:p>
    <w:p w14:paraId="080D3F0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F37A9A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759CF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C140D2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849149E" w14:textId="77777777" w:rsidR="00000000" w:rsidRDefault="00000000">
      <w:pPr>
        <w:spacing w:before="240" w:after="240"/>
        <w:rPr>
          <w:rFonts w:cs="Arial"/>
          <w:lang w:eastAsia="en-NZ"/>
        </w:rPr>
      </w:pPr>
      <w:r>
        <w:rPr>
          <w:rFonts w:cs="Arial"/>
          <w:lang w:eastAsia="en-NZ"/>
        </w:rPr>
        <w:t>The specifics of this audit included:</w:t>
      </w:r>
    </w:p>
    <w:p w14:paraId="76A8B28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0D51F8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Anthony Wilding Retirement Village Limited</w:t>
      </w:r>
      <w:bookmarkEnd w:id="4"/>
    </w:p>
    <w:p w14:paraId="4B26A8D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Anthony Wilding Retirement Village</w:t>
      </w:r>
      <w:bookmarkEnd w:id="5"/>
    </w:p>
    <w:p w14:paraId="252878E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1CB226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1 October 2025</w:t>
      </w:r>
      <w:bookmarkEnd w:id="8"/>
    </w:p>
    <w:p w14:paraId="7984A95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DCBC3DC" w14:textId="35CD6E74" w:rsidR="00000000" w:rsidRDefault="00000000" w:rsidP="00B85CA4">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142</w:t>
      </w:r>
      <w:bookmarkEnd w:id="10"/>
    </w:p>
    <w:p w14:paraId="1D25B474" w14:textId="77777777" w:rsidR="00000000" w:rsidRDefault="00000000">
      <w:pPr>
        <w:pStyle w:val="Heading1"/>
        <w:rPr>
          <w:rFonts w:cs="Arial"/>
        </w:rPr>
      </w:pPr>
      <w:r>
        <w:rPr>
          <w:rFonts w:cs="Arial"/>
        </w:rPr>
        <w:lastRenderedPageBreak/>
        <w:t>Executive summary of the audit</w:t>
      </w:r>
    </w:p>
    <w:p w14:paraId="4A887E56" w14:textId="77777777" w:rsidR="00000000" w:rsidRDefault="00000000">
      <w:pPr>
        <w:pStyle w:val="Heading2"/>
        <w:rPr>
          <w:rFonts w:cs="Arial"/>
        </w:rPr>
      </w:pPr>
      <w:r>
        <w:rPr>
          <w:rFonts w:cs="Arial"/>
        </w:rPr>
        <w:t>Introduction</w:t>
      </w:r>
    </w:p>
    <w:p w14:paraId="71638BE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2FBBF0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EDCC87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032AF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F930B6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72892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85778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471E0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C58D8C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D2F7E" w14:paraId="33031473" w14:textId="77777777">
        <w:trPr>
          <w:cantSplit/>
          <w:tblHeader/>
        </w:trPr>
        <w:tc>
          <w:tcPr>
            <w:tcW w:w="1260" w:type="dxa"/>
            <w:tcBorders>
              <w:bottom w:val="single" w:sz="4" w:space="0" w:color="000000"/>
            </w:tcBorders>
            <w:vAlign w:val="center"/>
          </w:tcPr>
          <w:p w14:paraId="47810E0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04042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E20FFD2" w14:textId="77777777" w:rsidR="00000000" w:rsidRDefault="00000000">
            <w:pPr>
              <w:spacing w:before="60" w:after="60"/>
              <w:rPr>
                <w:rFonts w:eastAsia="Calibri"/>
                <w:b/>
                <w:szCs w:val="24"/>
              </w:rPr>
            </w:pPr>
            <w:r>
              <w:rPr>
                <w:rFonts w:eastAsia="Calibri"/>
                <w:b/>
                <w:szCs w:val="24"/>
              </w:rPr>
              <w:t>Definition</w:t>
            </w:r>
          </w:p>
        </w:tc>
      </w:tr>
      <w:tr w:rsidR="006D2F7E" w14:paraId="159E5DE2" w14:textId="77777777">
        <w:trPr>
          <w:cantSplit/>
          <w:trHeight w:val="964"/>
        </w:trPr>
        <w:tc>
          <w:tcPr>
            <w:tcW w:w="1260" w:type="dxa"/>
            <w:tcBorders>
              <w:bottom w:val="single" w:sz="4" w:space="0" w:color="000000"/>
            </w:tcBorders>
            <w:shd w:val="clear" w:color="0066FF" w:fill="0000FF"/>
            <w:vAlign w:val="center"/>
          </w:tcPr>
          <w:p w14:paraId="18344E9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9B8471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D8BC20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D2F7E" w14:paraId="00E5DD8C" w14:textId="77777777">
        <w:trPr>
          <w:cantSplit/>
          <w:trHeight w:val="964"/>
        </w:trPr>
        <w:tc>
          <w:tcPr>
            <w:tcW w:w="1260" w:type="dxa"/>
            <w:shd w:val="clear" w:color="33CC33" w:fill="00FF00"/>
            <w:vAlign w:val="center"/>
          </w:tcPr>
          <w:p w14:paraId="77845F72" w14:textId="77777777" w:rsidR="00000000" w:rsidRDefault="00000000">
            <w:pPr>
              <w:spacing w:before="60" w:after="60"/>
              <w:rPr>
                <w:rFonts w:eastAsia="Calibri"/>
                <w:szCs w:val="24"/>
              </w:rPr>
            </w:pPr>
          </w:p>
        </w:tc>
        <w:tc>
          <w:tcPr>
            <w:tcW w:w="7095" w:type="dxa"/>
            <w:shd w:val="clear" w:color="auto" w:fill="auto"/>
            <w:vAlign w:val="center"/>
          </w:tcPr>
          <w:p w14:paraId="2C4E890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EBD20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D2F7E" w14:paraId="56D9AEA4" w14:textId="77777777">
        <w:trPr>
          <w:cantSplit/>
          <w:trHeight w:val="964"/>
        </w:trPr>
        <w:tc>
          <w:tcPr>
            <w:tcW w:w="1260" w:type="dxa"/>
            <w:tcBorders>
              <w:bottom w:val="single" w:sz="4" w:space="0" w:color="000000"/>
            </w:tcBorders>
            <w:shd w:val="clear" w:color="auto" w:fill="FFFF00"/>
            <w:vAlign w:val="center"/>
          </w:tcPr>
          <w:p w14:paraId="0D70E668" w14:textId="77777777" w:rsidR="00000000" w:rsidRDefault="00000000">
            <w:pPr>
              <w:spacing w:before="60" w:after="60"/>
              <w:rPr>
                <w:rFonts w:eastAsia="Calibri"/>
                <w:szCs w:val="24"/>
              </w:rPr>
            </w:pPr>
          </w:p>
        </w:tc>
        <w:tc>
          <w:tcPr>
            <w:tcW w:w="7095" w:type="dxa"/>
            <w:shd w:val="clear" w:color="auto" w:fill="auto"/>
            <w:vAlign w:val="center"/>
          </w:tcPr>
          <w:p w14:paraId="3F43CD2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721CD9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D2F7E" w14:paraId="6A52E2A9" w14:textId="77777777">
        <w:trPr>
          <w:cantSplit/>
          <w:trHeight w:val="964"/>
        </w:trPr>
        <w:tc>
          <w:tcPr>
            <w:tcW w:w="1260" w:type="dxa"/>
            <w:tcBorders>
              <w:bottom w:val="single" w:sz="4" w:space="0" w:color="000000"/>
            </w:tcBorders>
            <w:shd w:val="clear" w:color="auto" w:fill="FFC800"/>
            <w:vAlign w:val="center"/>
          </w:tcPr>
          <w:p w14:paraId="780DA2A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E2652D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44B7F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D2F7E" w14:paraId="525FD907" w14:textId="77777777">
        <w:trPr>
          <w:cantSplit/>
          <w:trHeight w:val="964"/>
        </w:trPr>
        <w:tc>
          <w:tcPr>
            <w:tcW w:w="1260" w:type="dxa"/>
            <w:shd w:val="clear" w:color="auto" w:fill="FF0000"/>
            <w:vAlign w:val="center"/>
          </w:tcPr>
          <w:p w14:paraId="08CE5C5E" w14:textId="77777777" w:rsidR="00000000" w:rsidRDefault="00000000">
            <w:pPr>
              <w:spacing w:before="60" w:after="60"/>
              <w:rPr>
                <w:rFonts w:eastAsia="Calibri"/>
                <w:szCs w:val="24"/>
              </w:rPr>
            </w:pPr>
          </w:p>
        </w:tc>
        <w:tc>
          <w:tcPr>
            <w:tcW w:w="7095" w:type="dxa"/>
            <w:shd w:val="clear" w:color="auto" w:fill="auto"/>
            <w:vAlign w:val="center"/>
          </w:tcPr>
          <w:p w14:paraId="6FBA35F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B66C2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215B89C" w14:textId="77777777" w:rsidR="00000000" w:rsidRDefault="00000000">
      <w:pPr>
        <w:pStyle w:val="Heading2"/>
        <w:spacing w:after="0"/>
        <w:rPr>
          <w:rFonts w:cs="Arial"/>
        </w:rPr>
      </w:pPr>
      <w:r>
        <w:rPr>
          <w:rFonts w:cs="Arial"/>
        </w:rPr>
        <w:t>General overview of the audit</w:t>
      </w:r>
    </w:p>
    <w:p w14:paraId="5658150F" w14:textId="77777777" w:rsidR="00000000" w:rsidRDefault="00000000">
      <w:pPr>
        <w:spacing w:before="240" w:line="276" w:lineRule="auto"/>
        <w:rPr>
          <w:rFonts w:eastAsia="Calibri"/>
        </w:rPr>
      </w:pPr>
      <w:bookmarkStart w:id="13" w:name="GeneralOverview"/>
      <w:r w:rsidRPr="00A4268A">
        <w:rPr>
          <w:rFonts w:eastAsia="Calibri"/>
        </w:rPr>
        <w:t xml:space="preserve">Anthony Wilding Retirement Village is a Ryman Healthcare facility, that provides hospital (geriatric and medical), dementia and rest home levels of care for up to 148 residents in the care centre, and up to 30 (rest home level) residents in the serviced apartments. On the day of audit, there were a total of 142 residents. </w:t>
      </w:r>
    </w:p>
    <w:p w14:paraId="0C2CB8DE" w14:textId="77777777" w:rsidR="006D2F7E"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2ABCDD03" w14:textId="77777777" w:rsidR="006D2F7E"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quality manager and regional operations manager. </w:t>
      </w:r>
    </w:p>
    <w:p w14:paraId="2A77970E" w14:textId="77777777" w:rsidR="006D2F7E"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48EABB31" w14:textId="77777777" w:rsidR="006D2F7E" w:rsidRPr="00A4268A" w:rsidRDefault="00000000">
      <w:pPr>
        <w:spacing w:before="240" w:line="276" w:lineRule="auto"/>
        <w:rPr>
          <w:rFonts w:eastAsia="Calibri"/>
        </w:rPr>
      </w:pPr>
      <w:r w:rsidRPr="00A4268A">
        <w:rPr>
          <w:rFonts w:eastAsia="Calibri"/>
        </w:rPr>
        <w:t xml:space="preserve">The certification audit identified that the service meets the Standard. </w:t>
      </w:r>
    </w:p>
    <w:bookmarkEnd w:id="13"/>
    <w:p w14:paraId="701C2F19" w14:textId="77777777" w:rsidR="006D2F7E" w:rsidRPr="00A4268A" w:rsidRDefault="006D2F7E">
      <w:pPr>
        <w:spacing w:before="240" w:line="276" w:lineRule="auto"/>
        <w:rPr>
          <w:rFonts w:eastAsia="Calibri"/>
        </w:rPr>
      </w:pPr>
    </w:p>
    <w:p w14:paraId="0447CC4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6F912D70" w14:textId="77777777" w:rsidTr="00A4268A">
        <w:trPr>
          <w:cantSplit/>
        </w:trPr>
        <w:tc>
          <w:tcPr>
            <w:tcW w:w="10206" w:type="dxa"/>
            <w:vAlign w:val="center"/>
          </w:tcPr>
          <w:p w14:paraId="5175169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3F155D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75B8B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B3B5DF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F8917ED" w14:textId="77777777" w:rsidR="00000000" w:rsidRDefault="00000000">
      <w:pPr>
        <w:spacing w:before="240" w:line="276" w:lineRule="auto"/>
        <w:rPr>
          <w:rFonts w:eastAsia="Calibri"/>
        </w:rPr>
      </w:pPr>
      <w:bookmarkStart w:id="16" w:name="ConsumerRights"/>
      <w:r w:rsidRPr="00A4268A">
        <w:rPr>
          <w:rFonts w:eastAsia="Calibri"/>
        </w:rPr>
        <w:t>Anthony Wilding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w:t>
      </w:r>
    </w:p>
    <w:p w14:paraId="3967AADA" w14:textId="77777777" w:rsidR="006D2F7E"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Anthony Wilding Retirement Village provides services and support to people in a way that is inclusive and respects their identity and their experiences. Care plans accommodate the choices of residents and/or their family/whānau. There is evidence that residents and family/whānau are kept informed. </w:t>
      </w:r>
    </w:p>
    <w:p w14:paraId="5912392C" w14:textId="77777777" w:rsidR="006D2F7E"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w:t>
      </w:r>
    </w:p>
    <w:bookmarkEnd w:id="16"/>
    <w:p w14:paraId="2B282DDE" w14:textId="77777777" w:rsidR="006D2F7E" w:rsidRPr="00A4268A" w:rsidRDefault="006D2F7E">
      <w:pPr>
        <w:spacing w:before="240" w:line="276" w:lineRule="auto"/>
        <w:rPr>
          <w:rFonts w:eastAsia="Calibri"/>
        </w:rPr>
      </w:pPr>
    </w:p>
    <w:p w14:paraId="3F74722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5A072B4A" w14:textId="77777777" w:rsidTr="00A4268A">
        <w:trPr>
          <w:cantSplit/>
        </w:trPr>
        <w:tc>
          <w:tcPr>
            <w:tcW w:w="10206" w:type="dxa"/>
            <w:vAlign w:val="center"/>
          </w:tcPr>
          <w:p w14:paraId="714CB14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63948C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A9FAC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014A54D"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resident services manager and clinical manager are responsible for the day-to-day operations. The organisational strategic plan informs the site-specific operational objectives which are reviewed monthly. </w:t>
      </w:r>
    </w:p>
    <w:p w14:paraId="131658A3" w14:textId="77777777" w:rsidR="006D2F7E" w:rsidRPr="00A4268A" w:rsidRDefault="00000000">
      <w:pPr>
        <w:spacing w:before="240" w:line="276" w:lineRule="auto"/>
        <w:rPr>
          <w:rFonts w:eastAsia="Calibri"/>
        </w:rPr>
      </w:pPr>
      <w:r w:rsidRPr="00A4268A">
        <w:rPr>
          <w:rFonts w:eastAsia="Calibri"/>
        </w:rPr>
        <w:t xml:space="preserve">Anthony Wilding Retirement Village has implemented the quality and risk management system that is directed by Ryman support office. Quality and risk performance is reported across the various facility meetings and to the organisation's management team. </w:t>
      </w:r>
    </w:p>
    <w:p w14:paraId="5B531AA3" w14:textId="77777777" w:rsidR="006D2F7E"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The service ensures the collection, storage, and use of personal and health information of residents is secure, accessible, and confidential.</w:t>
      </w:r>
    </w:p>
    <w:bookmarkEnd w:id="19"/>
    <w:p w14:paraId="1E31CC9D" w14:textId="77777777" w:rsidR="006D2F7E" w:rsidRPr="00A4268A" w:rsidRDefault="006D2F7E">
      <w:pPr>
        <w:spacing w:before="240" w:line="276" w:lineRule="auto"/>
        <w:rPr>
          <w:rFonts w:eastAsia="Calibri"/>
        </w:rPr>
      </w:pPr>
    </w:p>
    <w:p w14:paraId="77835E0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579D9954" w14:textId="77777777" w:rsidTr="00A4268A">
        <w:trPr>
          <w:cantSplit/>
        </w:trPr>
        <w:tc>
          <w:tcPr>
            <w:tcW w:w="10206" w:type="dxa"/>
            <w:vAlign w:val="center"/>
          </w:tcPr>
          <w:p w14:paraId="05BA24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1108DF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322582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410035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clinical manager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w:t>
      </w:r>
    </w:p>
    <w:p w14:paraId="055CC03B" w14:textId="77777777" w:rsidR="006D2F7E" w:rsidRPr="00A4268A" w:rsidRDefault="00000000" w:rsidP="00621629">
      <w:pPr>
        <w:spacing w:before="240" w:line="276" w:lineRule="auto"/>
        <w:rPr>
          <w:rFonts w:eastAsia="Calibri"/>
        </w:rPr>
      </w:pPr>
      <w:r w:rsidRPr="00A4268A">
        <w:rPr>
          <w:rFonts w:eastAsia="Calibri"/>
        </w:rPr>
        <w:t xml:space="preserve">The activities programme meets the individual needs, preferences, and abilities of the residents, with separate activities calendars for the rest home, hospital, and dementia level of care. The activities and lifestyle team provides and implements a wide variety of </w:t>
      </w:r>
      <w:r w:rsidRPr="00A4268A">
        <w:rPr>
          <w:rFonts w:eastAsia="Calibri"/>
        </w:rPr>
        <w:lastRenderedPageBreak/>
        <w:t>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w:t>
      </w:r>
    </w:p>
    <w:p w14:paraId="52473D92" w14:textId="77777777" w:rsidR="006D2F7E"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1211F557" w14:textId="77777777" w:rsidR="006D2F7E" w:rsidRPr="00A4268A" w:rsidRDefault="00000000" w:rsidP="00621629">
      <w:pPr>
        <w:spacing w:before="240" w:line="276" w:lineRule="auto"/>
        <w:rPr>
          <w:rFonts w:eastAsia="Calibri"/>
        </w:rPr>
      </w:pPr>
      <w:r w:rsidRPr="00A4268A">
        <w:rPr>
          <w:rFonts w:eastAsia="Calibri"/>
        </w:rPr>
        <w:t xml:space="preserve">All food and baking are prepared and cooked on site.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55FDC247" w14:textId="77777777" w:rsidR="006D2F7E"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0312F610" w14:textId="77777777" w:rsidR="006D2F7E" w:rsidRPr="00A4268A" w:rsidRDefault="006D2F7E" w:rsidP="00621629">
      <w:pPr>
        <w:spacing w:before="240" w:line="276" w:lineRule="auto"/>
        <w:rPr>
          <w:rFonts w:eastAsia="Calibri"/>
        </w:rPr>
      </w:pPr>
    </w:p>
    <w:p w14:paraId="0976763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56273C20" w14:textId="77777777" w:rsidTr="00A4268A">
        <w:trPr>
          <w:cantSplit/>
        </w:trPr>
        <w:tc>
          <w:tcPr>
            <w:tcW w:w="10206" w:type="dxa"/>
            <w:vAlign w:val="center"/>
          </w:tcPr>
          <w:p w14:paraId="20A2E55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446248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1F3198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A3A8549" w14:textId="77777777" w:rsidR="00000000" w:rsidRDefault="00000000">
      <w:pPr>
        <w:spacing w:before="240" w:line="276" w:lineRule="auto"/>
        <w:rPr>
          <w:rFonts w:eastAsia="Calibri"/>
        </w:rPr>
      </w:pPr>
      <w:bookmarkStart w:id="25" w:name="SafeAndAppropriateEnvironment"/>
      <w:r w:rsidRPr="00A4268A">
        <w:rPr>
          <w:rFonts w:eastAsia="Calibri"/>
        </w:rPr>
        <w:t>The two buildings have a current building warrant of fitness. There is an annual preventative maintenance plan. Rooms are spacious to provide personal cares. Residents can freely mobilise within the communal areas, with safe access to the outdoors, seating and shade. The dementia unit (special care unit) is secure. There is adequate space throughout the facility for residents to move around freely with mobility aids. All resident rooms are single with full ensuite facilities. There is lift access to all floors. All communal areas and resident rooms have natural light.</w:t>
      </w:r>
    </w:p>
    <w:p w14:paraId="721801A8" w14:textId="77777777" w:rsidR="006D2F7E"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At least one staff member trained in resuscitation skills and first aid is always on duty. The appropriate security measures are undertaken.</w:t>
      </w:r>
    </w:p>
    <w:bookmarkEnd w:id="25"/>
    <w:p w14:paraId="1E047674" w14:textId="77777777" w:rsidR="006D2F7E" w:rsidRPr="00A4268A" w:rsidRDefault="006D2F7E">
      <w:pPr>
        <w:spacing w:before="240" w:line="276" w:lineRule="auto"/>
        <w:rPr>
          <w:rFonts w:eastAsia="Calibri"/>
        </w:rPr>
      </w:pPr>
    </w:p>
    <w:p w14:paraId="2C4113B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0B07D6A0" w14:textId="77777777" w:rsidTr="00A4268A">
        <w:trPr>
          <w:cantSplit/>
        </w:trPr>
        <w:tc>
          <w:tcPr>
            <w:tcW w:w="10206" w:type="dxa"/>
            <w:vAlign w:val="center"/>
          </w:tcPr>
          <w:p w14:paraId="579D0E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F4A832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895847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6C1623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03E274C9" w14:textId="77777777" w:rsidR="006D2F7E"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21A70675" w14:textId="77777777" w:rsidR="006D2F7E" w:rsidRPr="00A4268A" w:rsidRDefault="00000000">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Covid-19 outbreaks and scabies outbreaks reported since the last audit were managed effectively. </w:t>
      </w:r>
    </w:p>
    <w:p w14:paraId="1FAF7C44" w14:textId="77777777" w:rsidR="006D2F7E"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2A3EF44D" w14:textId="77777777" w:rsidR="006D2F7E" w:rsidRPr="00A4268A" w:rsidRDefault="006D2F7E">
      <w:pPr>
        <w:spacing w:before="240" w:line="276" w:lineRule="auto"/>
        <w:rPr>
          <w:rFonts w:eastAsia="Calibri"/>
        </w:rPr>
      </w:pPr>
    </w:p>
    <w:p w14:paraId="4C2EFF4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D2F7E" w14:paraId="2D3E7772" w14:textId="77777777" w:rsidTr="00A4268A">
        <w:trPr>
          <w:cantSplit/>
        </w:trPr>
        <w:tc>
          <w:tcPr>
            <w:tcW w:w="10206" w:type="dxa"/>
            <w:vAlign w:val="center"/>
          </w:tcPr>
          <w:p w14:paraId="4203D6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85B17A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A72B8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079253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coordinators are registered nurses.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529639F3" w14:textId="77777777" w:rsidR="006D2F7E" w:rsidRPr="00A4268A" w:rsidRDefault="006D2F7E">
      <w:pPr>
        <w:spacing w:before="240" w:line="276" w:lineRule="auto"/>
        <w:rPr>
          <w:rFonts w:eastAsia="Calibri"/>
        </w:rPr>
      </w:pPr>
    </w:p>
    <w:p w14:paraId="683A003C" w14:textId="77777777" w:rsidR="00000000" w:rsidRDefault="00000000" w:rsidP="000E6E02">
      <w:pPr>
        <w:pStyle w:val="Heading2"/>
        <w:spacing w:before="0"/>
        <w:rPr>
          <w:rFonts w:cs="Arial"/>
        </w:rPr>
      </w:pPr>
      <w:r>
        <w:rPr>
          <w:rFonts w:cs="Arial"/>
        </w:rPr>
        <w:lastRenderedPageBreak/>
        <w:t>Summary of attainment</w:t>
      </w:r>
    </w:p>
    <w:p w14:paraId="1427D94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D2F7E" w14:paraId="2F936F6D" w14:textId="77777777">
        <w:tc>
          <w:tcPr>
            <w:tcW w:w="1384" w:type="dxa"/>
            <w:vAlign w:val="center"/>
          </w:tcPr>
          <w:p w14:paraId="57C7970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EFA4C74" w14:textId="77777777" w:rsidR="00000000" w:rsidRDefault="00000000">
            <w:pPr>
              <w:keepNext/>
              <w:spacing w:before="60" w:after="60"/>
              <w:jc w:val="center"/>
              <w:rPr>
                <w:rFonts w:cs="Arial"/>
                <w:b/>
                <w:sz w:val="20"/>
                <w:szCs w:val="20"/>
              </w:rPr>
            </w:pPr>
            <w:r>
              <w:rPr>
                <w:rFonts w:cs="Arial"/>
                <w:b/>
                <w:sz w:val="20"/>
                <w:szCs w:val="20"/>
              </w:rPr>
              <w:t>Continuous Improvement</w:t>
            </w:r>
          </w:p>
          <w:p w14:paraId="0353AE4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5071E4" w14:textId="77777777" w:rsidR="00000000" w:rsidRDefault="00000000">
            <w:pPr>
              <w:keepNext/>
              <w:spacing w:before="60" w:after="60"/>
              <w:jc w:val="center"/>
              <w:rPr>
                <w:rFonts w:cs="Arial"/>
                <w:b/>
                <w:sz w:val="20"/>
                <w:szCs w:val="20"/>
              </w:rPr>
            </w:pPr>
            <w:r>
              <w:rPr>
                <w:rFonts w:cs="Arial"/>
                <w:b/>
                <w:sz w:val="20"/>
                <w:szCs w:val="20"/>
              </w:rPr>
              <w:t>Fully Attained</w:t>
            </w:r>
          </w:p>
          <w:p w14:paraId="752E0AD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263219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00B7F8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42865A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CD112C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BC97AC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B794B5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74C10E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C319F5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6BAF7F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DC7A861" w14:textId="77777777" w:rsidR="00000000" w:rsidRDefault="00000000">
            <w:pPr>
              <w:keepNext/>
              <w:spacing w:before="60" w:after="60"/>
              <w:jc w:val="center"/>
              <w:rPr>
                <w:rFonts w:cs="Arial"/>
                <w:b/>
                <w:sz w:val="20"/>
                <w:szCs w:val="20"/>
              </w:rPr>
            </w:pPr>
            <w:r>
              <w:rPr>
                <w:rFonts w:cs="Arial"/>
                <w:b/>
                <w:sz w:val="20"/>
                <w:szCs w:val="20"/>
              </w:rPr>
              <w:t>(PA Critical)</w:t>
            </w:r>
          </w:p>
        </w:tc>
      </w:tr>
      <w:tr w:rsidR="006D2F7E" w14:paraId="5B9C3B0E" w14:textId="77777777">
        <w:tc>
          <w:tcPr>
            <w:tcW w:w="1384" w:type="dxa"/>
            <w:vAlign w:val="center"/>
          </w:tcPr>
          <w:p w14:paraId="4626687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A81613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7C1EC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4B4916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3BEF1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C50462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EA04FA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1CEC2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D2F7E" w14:paraId="38901860" w14:textId="77777777">
        <w:tc>
          <w:tcPr>
            <w:tcW w:w="1384" w:type="dxa"/>
            <w:vAlign w:val="center"/>
          </w:tcPr>
          <w:p w14:paraId="13926C5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35320C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71DE7C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3150D96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5B18C7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766FD6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5147DD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2D3D2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B03E37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D2F7E" w14:paraId="5E8062D2" w14:textId="77777777">
        <w:tc>
          <w:tcPr>
            <w:tcW w:w="1384" w:type="dxa"/>
            <w:vAlign w:val="center"/>
          </w:tcPr>
          <w:p w14:paraId="2F3ABF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BE0A8B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4B4EC8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BE33A61" w14:textId="77777777" w:rsidR="00000000" w:rsidRDefault="00000000">
            <w:pPr>
              <w:keepNext/>
              <w:spacing w:before="60" w:after="60"/>
              <w:jc w:val="center"/>
              <w:rPr>
                <w:rFonts w:cs="Arial"/>
                <w:b/>
                <w:sz w:val="20"/>
                <w:szCs w:val="20"/>
              </w:rPr>
            </w:pPr>
            <w:r>
              <w:rPr>
                <w:rFonts w:cs="Arial"/>
                <w:b/>
                <w:sz w:val="20"/>
                <w:szCs w:val="20"/>
              </w:rPr>
              <w:t>Unattained Low Risk</w:t>
            </w:r>
          </w:p>
          <w:p w14:paraId="374389C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08AE3F" w14:textId="77777777" w:rsidR="00000000" w:rsidRDefault="00000000">
            <w:pPr>
              <w:keepNext/>
              <w:spacing w:before="60" w:after="60"/>
              <w:jc w:val="center"/>
              <w:rPr>
                <w:rFonts w:cs="Arial"/>
                <w:b/>
                <w:sz w:val="20"/>
                <w:szCs w:val="20"/>
              </w:rPr>
            </w:pPr>
            <w:r>
              <w:rPr>
                <w:rFonts w:cs="Arial"/>
                <w:b/>
                <w:sz w:val="20"/>
                <w:szCs w:val="20"/>
              </w:rPr>
              <w:t>Unattained Moderate Risk</w:t>
            </w:r>
          </w:p>
          <w:p w14:paraId="2911676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BB89CF5" w14:textId="77777777" w:rsidR="00000000" w:rsidRDefault="00000000">
            <w:pPr>
              <w:keepNext/>
              <w:spacing w:before="60" w:after="60"/>
              <w:jc w:val="center"/>
              <w:rPr>
                <w:rFonts w:cs="Arial"/>
                <w:b/>
                <w:sz w:val="20"/>
                <w:szCs w:val="20"/>
              </w:rPr>
            </w:pPr>
            <w:r>
              <w:rPr>
                <w:rFonts w:cs="Arial"/>
                <w:b/>
                <w:sz w:val="20"/>
                <w:szCs w:val="20"/>
              </w:rPr>
              <w:t>Unattained High Risk</w:t>
            </w:r>
          </w:p>
          <w:p w14:paraId="146A21D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6A22AB3" w14:textId="77777777" w:rsidR="00000000" w:rsidRDefault="00000000">
            <w:pPr>
              <w:keepNext/>
              <w:spacing w:before="60" w:after="60"/>
              <w:jc w:val="center"/>
              <w:rPr>
                <w:rFonts w:cs="Arial"/>
                <w:b/>
                <w:sz w:val="20"/>
                <w:szCs w:val="20"/>
              </w:rPr>
            </w:pPr>
            <w:r>
              <w:rPr>
                <w:rFonts w:cs="Arial"/>
                <w:b/>
                <w:sz w:val="20"/>
                <w:szCs w:val="20"/>
              </w:rPr>
              <w:t>Unattained Critical Risk</w:t>
            </w:r>
          </w:p>
          <w:p w14:paraId="564CE1D4" w14:textId="77777777" w:rsidR="00000000" w:rsidRDefault="00000000">
            <w:pPr>
              <w:keepNext/>
              <w:spacing w:before="60" w:after="60"/>
              <w:jc w:val="center"/>
              <w:rPr>
                <w:rFonts w:cs="Arial"/>
                <w:b/>
                <w:sz w:val="20"/>
                <w:szCs w:val="20"/>
              </w:rPr>
            </w:pPr>
            <w:r>
              <w:rPr>
                <w:rFonts w:cs="Arial"/>
                <w:b/>
                <w:sz w:val="20"/>
                <w:szCs w:val="20"/>
              </w:rPr>
              <w:t>(UA Critical)</w:t>
            </w:r>
          </w:p>
        </w:tc>
      </w:tr>
      <w:tr w:rsidR="006D2F7E" w14:paraId="0943CBF6" w14:textId="77777777">
        <w:tc>
          <w:tcPr>
            <w:tcW w:w="1384" w:type="dxa"/>
            <w:vAlign w:val="center"/>
          </w:tcPr>
          <w:p w14:paraId="7E5C06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66D2A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AC41E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568668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32F4D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E75F6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D2F7E" w14:paraId="0F499921" w14:textId="77777777">
        <w:tc>
          <w:tcPr>
            <w:tcW w:w="1384" w:type="dxa"/>
            <w:vAlign w:val="center"/>
          </w:tcPr>
          <w:p w14:paraId="08F4522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000FF2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48881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699411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0637A7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35E9A1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58452B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0670F0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CB753E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19D9A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6D2F7E" w14:paraId="383B7588" w14:textId="77777777">
        <w:tc>
          <w:tcPr>
            <w:tcW w:w="0" w:type="auto"/>
          </w:tcPr>
          <w:p w14:paraId="7ABE7E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90426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53AD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D2F7E" w14:paraId="3935218E" w14:textId="77777777">
        <w:tc>
          <w:tcPr>
            <w:tcW w:w="0" w:type="auto"/>
          </w:tcPr>
          <w:p w14:paraId="5C18C3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D11620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E9FCBB" w14:textId="77777777" w:rsidR="00000000" w:rsidRPr="00BE00C7" w:rsidRDefault="00000000" w:rsidP="00BE00C7">
            <w:pPr>
              <w:pStyle w:val="OutcomeDescription"/>
              <w:spacing w:before="120" w:after="120"/>
              <w:rPr>
                <w:rFonts w:cs="Arial"/>
                <w:lang w:eastAsia="en-NZ"/>
              </w:rPr>
            </w:pPr>
          </w:p>
        </w:tc>
        <w:tc>
          <w:tcPr>
            <w:tcW w:w="0" w:type="auto"/>
          </w:tcPr>
          <w:p w14:paraId="519184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94F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The Hauora Māori Plan Partnership &amp; Te Tiriti o Waitangi policy is documented to guide practice and service provided to residents at Anthony Wilding Retirement Village. The village manager reported during interview that they can access cultural support and guidance from a cultural advisor. At the time of the audit there were both residents and staff who identified as Māori, who support the service in implementing the principles and ensuring recognition of the importance of tāngata Māori.  </w:t>
            </w:r>
          </w:p>
          <w:p w14:paraId="2B11D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Te Tiriti o Waitangi principles and enabling residents and their family/whānau to direct their care in the way they choose. The service has developed a site-specific Māori health plan. The document is based around implementing the principles of Te Whare Tapa Whā, which will ensure the wellbeing of the resident and their family/whānau are enabled. </w:t>
            </w:r>
          </w:p>
          <w:p w14:paraId="66C869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managers (the village manager, clinical manager, resident services manager and general manager operations) and thirty-one staff (thirteen registered nurses (including five unit coordinators), </w:t>
            </w:r>
            <w:r w:rsidRPr="00BE00C7">
              <w:rPr>
                <w:rFonts w:cs="Arial"/>
                <w:lang w:eastAsia="en-NZ"/>
              </w:rPr>
              <w:lastRenderedPageBreak/>
              <w:t xml:space="preserve">eight caregivers, four activities and lifestyle coordinators, one lead maintenance, one senior lead chef, two housekeepers, and two laundry staff) described examples of providing culturally safe services in relation to their role. </w:t>
            </w:r>
          </w:p>
          <w:p w14:paraId="317F951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w:t>
            </w:r>
          </w:p>
          <w:p w14:paraId="06886270" w14:textId="77777777" w:rsidR="00000000" w:rsidRPr="00BE00C7" w:rsidRDefault="00000000" w:rsidP="00BE00C7">
            <w:pPr>
              <w:pStyle w:val="OutcomeDescription"/>
              <w:spacing w:before="120" w:after="120"/>
              <w:rPr>
                <w:rFonts w:cs="Arial"/>
                <w:lang w:eastAsia="en-NZ"/>
              </w:rPr>
            </w:pPr>
          </w:p>
        </w:tc>
      </w:tr>
      <w:tr w:rsidR="006D2F7E" w14:paraId="74E3961B" w14:textId="77777777">
        <w:tc>
          <w:tcPr>
            <w:tcW w:w="0" w:type="auto"/>
          </w:tcPr>
          <w:p w14:paraId="465507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704D5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F75193E" w14:textId="77777777" w:rsidR="00000000" w:rsidRPr="00BE00C7" w:rsidRDefault="00000000" w:rsidP="00BE00C7">
            <w:pPr>
              <w:pStyle w:val="OutcomeDescription"/>
              <w:spacing w:before="120" w:after="120"/>
              <w:rPr>
                <w:rFonts w:cs="Arial"/>
                <w:lang w:eastAsia="en-NZ"/>
              </w:rPr>
            </w:pPr>
          </w:p>
        </w:tc>
        <w:tc>
          <w:tcPr>
            <w:tcW w:w="0" w:type="auto"/>
          </w:tcPr>
          <w:p w14:paraId="6A562D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0C0B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a health plan for Pacific residents. The Providing Services for Pacific Elders and Other Ethnicities policy is documented. At the time of the audit there were no residents that identified as Pasifika. On admission all residents state their ethnicity, which is recorded in their individual files. The unit coordinators and registered nurses advised that family/whānau members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 </w:t>
            </w:r>
          </w:p>
          <w:p w14:paraId="742869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confirmed how they support staff that identify as Pasifika through the employment process. Applicants who apply for positions are always provided with an opportunity to be interviewed. At the time of the audit there were staff who identified as Pasifika. The service has Pacific linkages through their Pasifika staff, with Pacific community groups relevant to residents’ preferences and needs. Pacific staff interviewed confirmed management are supportive and use their skills within the team to share worldviews of Pacific people with staff and residents.</w:t>
            </w:r>
          </w:p>
          <w:p w14:paraId="4D70A12A" w14:textId="77777777" w:rsidR="00000000" w:rsidRPr="00BE00C7" w:rsidRDefault="00000000" w:rsidP="00BE00C7">
            <w:pPr>
              <w:pStyle w:val="OutcomeDescription"/>
              <w:spacing w:before="120" w:after="120"/>
              <w:rPr>
                <w:rFonts w:cs="Arial"/>
                <w:lang w:eastAsia="en-NZ"/>
              </w:rPr>
            </w:pPr>
          </w:p>
        </w:tc>
      </w:tr>
      <w:tr w:rsidR="006D2F7E" w14:paraId="1FC3AECE" w14:textId="77777777">
        <w:tc>
          <w:tcPr>
            <w:tcW w:w="0" w:type="auto"/>
          </w:tcPr>
          <w:p w14:paraId="5A027F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CE019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318D64" w14:textId="77777777" w:rsidR="00000000" w:rsidRPr="00BE00C7" w:rsidRDefault="00000000" w:rsidP="00BE00C7">
            <w:pPr>
              <w:pStyle w:val="OutcomeDescription"/>
              <w:spacing w:before="120" w:after="120"/>
              <w:rPr>
                <w:rFonts w:cs="Arial"/>
                <w:lang w:eastAsia="en-NZ"/>
              </w:rPr>
            </w:pPr>
          </w:p>
        </w:tc>
        <w:tc>
          <w:tcPr>
            <w:tcW w:w="0" w:type="auto"/>
          </w:tcPr>
          <w:p w14:paraId="0409EC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D031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w:t>
            </w:r>
            <w:r w:rsidRPr="00BE00C7">
              <w:rPr>
                <w:rFonts w:cs="Arial"/>
                <w:lang w:eastAsia="en-NZ"/>
              </w:rPr>
              <w:lastRenderedPageBreak/>
              <w:t xml:space="preserve">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family/whānau meetings provide a forum to discuss any concerns. 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 </w:t>
            </w:r>
          </w:p>
          <w:p w14:paraId="4D08C2B6"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residents (one rest home and four hospital) and twelve family/whānau (one rest home, four hospital and seven dementia)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interviewed described how they support residents to choose what they want to do and be as independent as they are able. The service recognises Māori mana motuhake through the development of a Māori specific care plan to promote and respect independence and autonomy, as indicated for Māori residents. Clinical staff described their awareness of how to support Māori residents and their whānau by identifying what is important to them, enabling self-determination and authority in decision-making that supports health and wellbeing.</w:t>
            </w:r>
          </w:p>
          <w:p w14:paraId="6422A292" w14:textId="77777777" w:rsidR="00000000" w:rsidRPr="00BE00C7" w:rsidRDefault="00000000" w:rsidP="00BE00C7">
            <w:pPr>
              <w:pStyle w:val="OutcomeDescription"/>
              <w:spacing w:before="120" w:after="120"/>
              <w:rPr>
                <w:rFonts w:cs="Arial"/>
                <w:lang w:eastAsia="en-NZ"/>
              </w:rPr>
            </w:pPr>
          </w:p>
        </w:tc>
      </w:tr>
      <w:tr w:rsidR="006D2F7E" w14:paraId="7621D266" w14:textId="77777777">
        <w:tc>
          <w:tcPr>
            <w:tcW w:w="0" w:type="auto"/>
          </w:tcPr>
          <w:p w14:paraId="3115E0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F58AC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7E65226" w14:textId="77777777" w:rsidR="00000000" w:rsidRPr="00BE00C7" w:rsidRDefault="00000000" w:rsidP="00BE00C7">
            <w:pPr>
              <w:pStyle w:val="OutcomeDescription"/>
              <w:spacing w:before="120" w:after="120"/>
              <w:rPr>
                <w:rFonts w:cs="Arial"/>
                <w:lang w:eastAsia="en-NZ"/>
              </w:rPr>
            </w:pPr>
          </w:p>
        </w:tc>
        <w:tc>
          <w:tcPr>
            <w:tcW w:w="0" w:type="auto"/>
          </w:tcPr>
          <w:p w14:paraId="59EA77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E673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 rosters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kaumātua, tikanga Māori (Māori Culture), best practice and providing services for Pacific Elders and other ethnic groups. Ryman delivers training that is responsive to the diverse needs of people accessing services, that </w:t>
            </w:r>
            <w:r w:rsidRPr="00BE00C7">
              <w:rPr>
                <w:rFonts w:cs="Arial"/>
                <w:lang w:eastAsia="en-NZ"/>
              </w:rPr>
              <w:lastRenderedPageBreak/>
              <w:t xml:space="preserve">includes (but is not limited to): sexuality/intimacy, informed consent, the Code, intimacy and consent, abuse and neglect, advocacy, spirituality, cultural safety and tikanga Māori. </w:t>
            </w:r>
          </w:p>
          <w:p w14:paraId="2DD6F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counselling and chaplaincy policy is in place and is understood by care staff. The caregivers and registered nurses described how they implement a rights-based model of service provision through their focus on delivering a person-centred model of care. 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2AE2F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planning process is resident focused, with resident and family/whānau input. During the development of the resident’s care plan on admission, residents’ values, beliefs, and identity are captured in initial assessments, resident life experience’s identity map. This information forms the foundation of the resident’s care plan. Cultural assessments were evident on files reviewed. Electronic myRyman care plans identified resident’s preferred names. MyRyman cultural assessment information naturally weaves through care planning. There were residents who identified as Māori and the service demonstrated an understanding of how to respond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5FBD242E" w14:textId="77777777" w:rsidR="00000000" w:rsidRPr="00BE00C7" w:rsidRDefault="00000000" w:rsidP="00BE00C7">
            <w:pPr>
              <w:pStyle w:val="OutcomeDescription"/>
              <w:spacing w:before="120" w:after="120"/>
              <w:rPr>
                <w:rFonts w:cs="Arial"/>
                <w:lang w:eastAsia="en-NZ"/>
              </w:rPr>
            </w:pPr>
          </w:p>
        </w:tc>
      </w:tr>
      <w:tr w:rsidR="006D2F7E" w14:paraId="58425BA7" w14:textId="77777777">
        <w:tc>
          <w:tcPr>
            <w:tcW w:w="0" w:type="auto"/>
          </w:tcPr>
          <w:p w14:paraId="0A917D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A7B22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0F2DFF3" w14:textId="77777777" w:rsidR="00000000" w:rsidRPr="00BE00C7" w:rsidRDefault="00000000" w:rsidP="00BE00C7">
            <w:pPr>
              <w:pStyle w:val="OutcomeDescription"/>
              <w:spacing w:before="120" w:after="120"/>
              <w:rPr>
                <w:rFonts w:cs="Arial"/>
                <w:lang w:eastAsia="en-NZ"/>
              </w:rPr>
            </w:pPr>
          </w:p>
        </w:tc>
        <w:tc>
          <w:tcPr>
            <w:tcW w:w="0" w:type="auto"/>
          </w:tcPr>
          <w:p w14:paraId="708640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54E7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and follows the Ryman Code of Residents Rights which supports the </w:t>
            </w:r>
            <w:r w:rsidRPr="00BE00C7">
              <w:rPr>
                <w:rFonts w:cs="Arial"/>
                <w:lang w:eastAsia="en-NZ"/>
              </w:rPr>
              <w:lastRenderedPageBreak/>
              <w:t xml:space="preserve">consumer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w:t>
            </w:r>
          </w:p>
          <w:p w14:paraId="794AA7B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enduring power of attorney for finance and wellbeing documented in their files. Residents in the special care unit have enacted enduring power of attorney documents in their files (sighted). 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in April 2025. Staff are educated on how to value the older person, showing them respect and dignity. All residents interviewed confirmed that the staff are very caring, supportive, and respectful. Relatives interviewed confirmed that the care provided to their family members is of a high standard.</w:t>
            </w:r>
          </w:p>
          <w:p w14:paraId="40109C20" w14:textId="77777777" w:rsidR="00000000" w:rsidRPr="00BE00C7" w:rsidRDefault="00000000" w:rsidP="00BE00C7">
            <w:pPr>
              <w:pStyle w:val="OutcomeDescription"/>
              <w:spacing w:before="120" w:after="120"/>
              <w:rPr>
                <w:rFonts w:cs="Arial"/>
                <w:lang w:eastAsia="en-NZ"/>
              </w:rPr>
            </w:pPr>
          </w:p>
        </w:tc>
      </w:tr>
      <w:tr w:rsidR="006D2F7E" w14:paraId="6DC2508C" w14:textId="77777777">
        <w:tc>
          <w:tcPr>
            <w:tcW w:w="0" w:type="auto"/>
          </w:tcPr>
          <w:p w14:paraId="04C302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83C9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8BD6680" w14:textId="77777777" w:rsidR="00000000" w:rsidRPr="00BE00C7" w:rsidRDefault="00000000" w:rsidP="00BE00C7">
            <w:pPr>
              <w:pStyle w:val="OutcomeDescription"/>
              <w:spacing w:before="120" w:after="120"/>
              <w:rPr>
                <w:rFonts w:cs="Arial"/>
                <w:lang w:eastAsia="en-NZ"/>
              </w:rPr>
            </w:pPr>
          </w:p>
        </w:tc>
        <w:tc>
          <w:tcPr>
            <w:tcW w:w="0" w:type="auto"/>
          </w:tcPr>
          <w:p w14:paraId="75121C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CA4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 monthly resident meetings and six-monthly relative meetings identify feedback from residents and consequent follow up by the service. Family/whānau interviewed for </w:t>
            </w:r>
            <w:r w:rsidRPr="00BE00C7">
              <w:rPr>
                <w:rFonts w:cs="Arial"/>
                <w:lang w:eastAsia="en-NZ"/>
              </w:rPr>
              <w:lastRenderedPageBreak/>
              <w:t>residents in the special care unit explained they are very well informed. 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An interpreter policy and contact details of interpreters is available. Interpreter services are used where indicated. At the time of the audit there were residents who were unable to communicate in English. Caregivers interviewed confirmed the use of staff as interpreter’s, family members, cue cards, picture charts and online translation tools.</w:t>
            </w:r>
          </w:p>
          <w:p w14:paraId="3656C206"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unit coordinators and registered nurses described an implemented process around providing residents with time for discussion around care, time to consider decisions, and opportunity for further discussion, if required. Family/whānau interviewed stated they receive appropriate timely notification to attend.</w:t>
            </w:r>
          </w:p>
          <w:p w14:paraId="395E3274" w14:textId="77777777" w:rsidR="00000000" w:rsidRPr="00BE00C7" w:rsidRDefault="00000000" w:rsidP="00BE00C7">
            <w:pPr>
              <w:pStyle w:val="OutcomeDescription"/>
              <w:spacing w:before="120" w:after="120"/>
              <w:rPr>
                <w:rFonts w:cs="Arial"/>
                <w:lang w:eastAsia="en-NZ"/>
              </w:rPr>
            </w:pPr>
          </w:p>
        </w:tc>
      </w:tr>
      <w:tr w:rsidR="006D2F7E" w14:paraId="6AB28FA2" w14:textId="77777777">
        <w:tc>
          <w:tcPr>
            <w:tcW w:w="0" w:type="auto"/>
          </w:tcPr>
          <w:p w14:paraId="529904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35BA1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44B782" w14:textId="77777777" w:rsidR="00000000" w:rsidRPr="00BE00C7" w:rsidRDefault="00000000" w:rsidP="00BE00C7">
            <w:pPr>
              <w:pStyle w:val="OutcomeDescription"/>
              <w:spacing w:before="120" w:after="120"/>
              <w:rPr>
                <w:rFonts w:cs="Arial"/>
                <w:lang w:eastAsia="en-NZ"/>
              </w:rPr>
            </w:pPr>
          </w:p>
        </w:tc>
        <w:tc>
          <w:tcPr>
            <w:tcW w:w="0" w:type="auto"/>
          </w:tcPr>
          <w:p w14:paraId="5040F2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93F3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Twelve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and Covid-19 vaccines. Discussions with care staff confirmed </w:t>
            </w:r>
            <w:r w:rsidRPr="00BE00C7">
              <w:rPr>
                <w:rFonts w:cs="Arial"/>
                <w:lang w:eastAsia="en-NZ"/>
              </w:rPr>
              <w:lastRenderedPageBreak/>
              <w:t xml:space="preserve">that they are familiar with the requirements to obtain informed consent. </w:t>
            </w:r>
          </w:p>
          <w:p w14:paraId="54E621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as with the residents in the special care unit. </w:t>
            </w:r>
          </w:p>
          <w:p w14:paraId="1B9E39E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to staff around the HDC Code of Health and Disability Services Consumers’ Rights (the Code), informed consent, and enduring power of attorney, as part of orientation and mandatory training.</w:t>
            </w:r>
          </w:p>
          <w:p w14:paraId="201F454E" w14:textId="77777777" w:rsidR="00000000" w:rsidRPr="00BE00C7" w:rsidRDefault="00000000" w:rsidP="00BE00C7">
            <w:pPr>
              <w:pStyle w:val="OutcomeDescription"/>
              <w:spacing w:before="120" w:after="120"/>
              <w:rPr>
                <w:rFonts w:cs="Arial"/>
                <w:lang w:eastAsia="en-NZ"/>
              </w:rPr>
            </w:pPr>
          </w:p>
        </w:tc>
      </w:tr>
      <w:tr w:rsidR="006D2F7E" w14:paraId="598DA7CE" w14:textId="77777777">
        <w:tc>
          <w:tcPr>
            <w:tcW w:w="0" w:type="auto"/>
          </w:tcPr>
          <w:p w14:paraId="5F3D32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9D7E9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142C40" w14:textId="77777777" w:rsidR="00000000" w:rsidRPr="00BE00C7" w:rsidRDefault="00000000" w:rsidP="00BE00C7">
            <w:pPr>
              <w:pStyle w:val="OutcomeDescription"/>
              <w:spacing w:before="120" w:after="120"/>
              <w:rPr>
                <w:rFonts w:cs="Arial"/>
                <w:lang w:eastAsia="en-NZ"/>
              </w:rPr>
            </w:pPr>
          </w:p>
        </w:tc>
        <w:tc>
          <w:tcPr>
            <w:tcW w:w="0" w:type="auto"/>
          </w:tcPr>
          <w:p w14:paraId="4FF28A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C6A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and aligns with and reflects the principles of the Code and is in accordance with the HDC Code of Health and Disability Services Consumers’ Rights. The village manager has overall responsibility for ensuring all complaints (verbal and written) are fully documented and investigated within the required timeframes. The village manager maintains an up-to-date complaints’ register. </w:t>
            </w:r>
          </w:p>
          <w:p w14:paraId="254107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Concerns and complaints are discussed at relevant meetings. Seven complaints have been made since the last audit in November 2023, including three made in 2024 and four received in 2025 year to date. The complaints reviewed evidenced acknowledgement of the lodged complaint and an investigation and communication with the complainants. </w:t>
            </w:r>
          </w:p>
          <w:p w14:paraId="4AD22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reported that complaints and any resulting corrective actions are discussed at meetings. Interviews with residents and family/whānau confirmed they were provided with information on the </w:t>
            </w:r>
            <w:r w:rsidRPr="00BE00C7">
              <w:rPr>
                <w:rFonts w:cs="Arial"/>
                <w:lang w:eastAsia="en-NZ"/>
              </w:rPr>
              <w:lastRenderedPageBreak/>
              <w:t>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w:t>
            </w:r>
          </w:p>
          <w:p w14:paraId="7C5B670F" w14:textId="77777777" w:rsidR="00000000" w:rsidRPr="00BE00C7" w:rsidRDefault="00000000" w:rsidP="00BE00C7">
            <w:pPr>
              <w:pStyle w:val="OutcomeDescription"/>
              <w:spacing w:before="120" w:after="120"/>
              <w:rPr>
                <w:rFonts w:cs="Arial"/>
                <w:lang w:eastAsia="en-NZ"/>
              </w:rPr>
            </w:pPr>
          </w:p>
        </w:tc>
      </w:tr>
      <w:tr w:rsidR="006D2F7E" w14:paraId="58BF472B" w14:textId="77777777">
        <w:tc>
          <w:tcPr>
            <w:tcW w:w="0" w:type="auto"/>
          </w:tcPr>
          <w:p w14:paraId="2A6B5F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434FD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DB8B0C" w14:textId="77777777" w:rsidR="00000000" w:rsidRPr="00BE00C7" w:rsidRDefault="00000000" w:rsidP="00BE00C7">
            <w:pPr>
              <w:pStyle w:val="OutcomeDescription"/>
              <w:spacing w:before="120" w:after="120"/>
              <w:rPr>
                <w:rFonts w:cs="Arial"/>
                <w:lang w:eastAsia="en-NZ"/>
              </w:rPr>
            </w:pPr>
          </w:p>
        </w:tc>
        <w:tc>
          <w:tcPr>
            <w:tcW w:w="0" w:type="auto"/>
          </w:tcPr>
          <w:p w14:paraId="14722A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CD5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Anthony Wilding Retirement Village is a Ryman Healthcare retirement village, located in Christchurch. They are certified to provide rest home, hospital (geriatric and medical) and dementia levels of care for up to 178 residents. This includes 30 serviced apartments that are certified to provide rest home level care. </w:t>
            </w:r>
          </w:p>
          <w:p w14:paraId="33AB897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142 residents in total, including two residents in the serviced apartments receiving rest home level care. The Heathcote rest home unit has 35 beds, with 35 rest home residents. There are two hospital units; Canterbury unit has 40 beds with 38 hospital residents and one rest home resident. The Wimbledon unit has 40 beds with 34 hospital residents and four rest home residents, including two residents on respite care; one resident on a ‘close in age and interest’ contract; one on a long-term support chronic health conditions (LTS-CHC) contract; one on a mental health contract; and one resident on an accident compensation corporation (ACC) agreement. All 80 hospital beds are dual-purpose. The Cambridge special care (dementia) unit has 33 beds with 28 dementia residents, including one resident on respite care and one resident on a ‘close in age and interest’ contract. There are no double/shared rooms. Two married couples were all in single rooms.</w:t>
            </w:r>
          </w:p>
          <w:p w14:paraId="56C61B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general operations manager, who reports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operations </w:t>
            </w:r>
            <w:r w:rsidRPr="00BE00C7">
              <w:rPr>
                <w:rFonts w:cs="Arial"/>
                <w:lang w:eastAsia="en-NZ"/>
              </w:rPr>
              <w:lastRenderedPageBreak/>
              <w:t>manager weekly. Dashboards on the electronic systems provide a quick overview of performance measures around key performance indicators (KPIs). The village manager presents weekly reports to the general operations manager. A dedicated Nau Mai Haere Mai Māori cultural resource SharePoint page, has been developed with internal and external collaboration, including kaumātua support to the Board.</w:t>
            </w:r>
          </w:p>
          <w:p w14:paraId="09184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oversees all operations, from construction to village operations. There is a clinical governance committee focusing on the clinical aspects of operations and including members from the Board. Board members are given an orientation to their roles and to the company operations. All Board members are already skilled and trained in their role.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 Training as part of an ongoing process ensures competence with Te Tiriti o Waitangi, health equity, and cultural safety. </w:t>
            </w:r>
          </w:p>
          <w:p w14:paraId="037408C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members of the Board have completed these training sessions. Senior leadership team and Board members have received training in the mihi whakatau process. Ryman’s Māori engagement strategy also includes objectives for developing learning modules specifically designed to meet the needs of the Board and Governance team. The quality auditor incorporates cultural interactions and events to provide training on correct protocols and customs. Ryman has an initiative to improve the care plan template and has implemented consultation with residents and whānau input into reviewing care plans and assessment content to meet residents’ cultural values and needs. Resident feedback/suggestions for satisfaction and improvements for the service are captured in the annual satisfaction surveys, through feedback forms and meetings. These avenues allow tāngata whaikaha to provide feedback around how Anthony Wilding can deliver a service to improve outcomes and achieve equity for tāngata whaikaha.</w:t>
            </w:r>
          </w:p>
          <w:p w14:paraId="158074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approve the </w:t>
            </w:r>
            <w:r w:rsidRPr="00BE00C7">
              <w:rPr>
                <w:rFonts w:cs="Arial"/>
                <w:lang w:eastAsia="en-NZ"/>
              </w:rPr>
              <w:lastRenderedPageBreak/>
              <w:t xml:space="preserve">Ryman organisational annual business plan. From this, the regional teams develop objectives, and the individual villages develop their operational objectives. The Ryman business plan is based on Ryman values, including (but not limited to) excellence, teamwork, and communication. Anthony Wilding objectives for 2025-2026 (Plan on a page) include (but are not limited to); village occupancy; improvement in incident reporting and safety education; improvement in activities and housekeeping; and the reduction of resident falls and bruising. Organisational goals relate to the overall satisfaction of the service.  Anthony Wilding’s objectives are reviewed monthly, with progression towards completion and ongoing work documented at each review. </w:t>
            </w:r>
          </w:p>
          <w:p w14:paraId="7C12BD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Healthcare's key business goals are embedded throughout all processes, from the Board through to village, and construction sites. Policy, procedure, and training/education resources ensure that these are embedded in all practices and day-to-day operations. The organisation has reviewed all policies to ensure they align with the Ngā Paerewa Standard. Service performance is monitored through clinical indicators, surveys, staff incident reporting, audit results, complaints, and resident and staff input through feedback and meetings. All of this is discussed/reviewed from the Board level to the village level, with corrective actions being filtered through all committees at all levels. Ryman invites local communities to be involved in their villages around the country. </w:t>
            </w:r>
          </w:p>
          <w:p w14:paraId="76057E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has been in the role for ten years. She is supported by a clinical manager, who has also been in the role for ten years, and a resident services manager, who has worked at Anthony Wilding retirement village for over thirteen years. The management team is supported by the general manager operations and Ryman Christchurch (support office). The village manager and clinical manager have completed more than eight hours training over the last year related to management of an aged care facility, including Ryman Leadership course, Tiriti o Waitangi, and cultural safety.</w:t>
            </w:r>
          </w:p>
          <w:p w14:paraId="4BD8D70F" w14:textId="77777777" w:rsidR="00000000" w:rsidRPr="00BE00C7" w:rsidRDefault="00000000" w:rsidP="00BE00C7">
            <w:pPr>
              <w:pStyle w:val="OutcomeDescription"/>
              <w:spacing w:before="120" w:after="120"/>
              <w:rPr>
                <w:rFonts w:cs="Arial"/>
                <w:lang w:eastAsia="en-NZ"/>
              </w:rPr>
            </w:pPr>
          </w:p>
        </w:tc>
      </w:tr>
      <w:tr w:rsidR="006D2F7E" w14:paraId="60F55E76" w14:textId="77777777">
        <w:tc>
          <w:tcPr>
            <w:tcW w:w="0" w:type="auto"/>
          </w:tcPr>
          <w:p w14:paraId="3D1A2B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01579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w:t>
            </w:r>
            <w:r w:rsidRPr="00BE00C7">
              <w:rPr>
                <w:rFonts w:cs="Arial"/>
                <w:lang w:eastAsia="en-NZ"/>
              </w:rPr>
              <w:lastRenderedPageBreak/>
              <w:t>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E00425" w14:textId="77777777" w:rsidR="00000000" w:rsidRPr="00BE00C7" w:rsidRDefault="00000000" w:rsidP="00BE00C7">
            <w:pPr>
              <w:pStyle w:val="OutcomeDescription"/>
              <w:spacing w:before="120" w:after="120"/>
              <w:rPr>
                <w:rFonts w:cs="Arial"/>
                <w:lang w:eastAsia="en-NZ"/>
              </w:rPr>
            </w:pPr>
          </w:p>
        </w:tc>
        <w:tc>
          <w:tcPr>
            <w:tcW w:w="0" w:type="auto"/>
          </w:tcPr>
          <w:p w14:paraId="270BC6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BB9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Anthony Wilding Retirement Village is implementing the Ryman quality and risk management programme. A strength, weakness, opportunities, and threats (SWOT) analysis is included as part of the business plan. </w:t>
            </w:r>
            <w:r w:rsidRPr="00BE00C7">
              <w:rPr>
                <w:rFonts w:cs="Arial"/>
                <w:lang w:eastAsia="en-NZ"/>
              </w:rPr>
              <w:lastRenderedPageBreak/>
              <w:t xml:space="preserve">Quality goals are documented and progress towards quality goals has been reviewed and evaluated. There are SMART goals set for 2025 being implemented and evidence of progress reviews is documented regularly at management and full facility meetings. The quality and risk management systems include performance monitoring through internal audits and through the collection of clinical indicator data. The service actively looks for opportunities to improve through quality initiatives. Ryman have a cultural navigator/Kaitiaki who works with the Board. This person ensures that organisational practices from the Board through to village operations improve health equity for Māori. Staff at Anthony Wilding Retirement Village have received a wide range of culturally diverse training, including cultural sensitivity awareness, with resources made available on the intranet, to ensure a high-quality service is provided for Māori and other residents with diverse ethnicities. </w:t>
            </w:r>
          </w:p>
          <w:p w14:paraId="7BDA6A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management/quality, health and safety, infection control, and clinical meetings. There are weekly managers/quality meetings. Discussions include (but are not limited to): quality data; health and safety; infection prevention and control/pandemic strategies; complaints received (if any); staffing; and education. </w:t>
            </w:r>
          </w:p>
          <w:p w14:paraId="05308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documented where indicated to address service improvements, with evidence of progress and sign off when achieved. Quality data and data trends are posted in the staffroom. The corrective action log is discussed at managers/quality meetings to ensure any outstanding matters are addressed with sign-off when completed. Data is benchmarked and analysed within the organisation and at a national level. The 2025 resident and 2024 family/whānau satisfaction survey showed an overall satisfaction with the service delivery. Quality improvements were completed related to laundry and housekeeping services. The outcome of the satisfaction surveys, including areas of quality improvements, were discussed with management, staff, family/whānau and residents. </w:t>
            </w:r>
          </w:p>
          <w:p w14:paraId="31954C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Anthony Wilding Retirement Village implements a continuous quality improvement approach with service delivery, including critical review of clinical data and benchmarking and identifying opportunities for improvement. Quality improvement projects are documented for </w:t>
            </w:r>
            <w:r w:rsidRPr="00BE00C7">
              <w:rPr>
                <w:rFonts w:cs="Arial"/>
                <w:lang w:eastAsia="en-NZ"/>
              </w:rPr>
              <w:lastRenderedPageBreak/>
              <w:t xml:space="preserve">reduction in incidents related to falls, distressed behaviours, skin tears, urinary tract infections, and bruises, and these demonstrate continuous improvement with improved outcomes for the residents. 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A health and safety system is in place with identified health and safety goals. The health and safety representative interviewed maintains oversight of the health and safety and contractor management on site. Hazard identification forms and an up-to-date electronic hazard register were sighted. </w:t>
            </w:r>
          </w:p>
          <w:p w14:paraId="479214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hard copy of the current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All resident’s incidents and accidents are recorded on the myRyman resident management system, and data is collated through the electronic system. The incident forms reviewed evidenced immediate action noted and any follow-up action(s) required. Incident and accident data is collated monthly and analysed. Results are discussed in the management/quality and full facility meetings and at handover. Each event involving a resident reflected a clinical assessment and follow up by a registered nurse. </w:t>
            </w:r>
          </w:p>
          <w:p w14:paraId="4A2D9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previous audit. These include those related to fifteen resident falls resulting in a fracture, three pressure injury (stage III and above) and one missing resident with </w:t>
            </w:r>
            <w:r w:rsidRPr="00BE00C7">
              <w:rPr>
                <w:rFonts w:cs="Arial"/>
                <w:lang w:eastAsia="en-NZ"/>
              </w:rPr>
              <w:lastRenderedPageBreak/>
              <w:t>police involvement. There have been outbreaks related to Covid-19, and gastroenteritis since last audit, which were appropriately reported.</w:t>
            </w:r>
          </w:p>
          <w:p w14:paraId="52494BFF" w14:textId="77777777" w:rsidR="00000000" w:rsidRPr="00BE00C7" w:rsidRDefault="00000000" w:rsidP="00BE00C7">
            <w:pPr>
              <w:pStyle w:val="OutcomeDescription"/>
              <w:spacing w:before="120" w:after="120"/>
              <w:rPr>
                <w:rFonts w:cs="Arial"/>
                <w:lang w:eastAsia="en-NZ"/>
              </w:rPr>
            </w:pPr>
          </w:p>
        </w:tc>
      </w:tr>
      <w:tr w:rsidR="006D2F7E" w14:paraId="3D11AF54" w14:textId="77777777">
        <w:tc>
          <w:tcPr>
            <w:tcW w:w="0" w:type="auto"/>
          </w:tcPr>
          <w:p w14:paraId="4035B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725BF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3BC18A" w14:textId="77777777" w:rsidR="00000000" w:rsidRPr="00BE00C7" w:rsidRDefault="00000000" w:rsidP="00BE00C7">
            <w:pPr>
              <w:pStyle w:val="OutcomeDescription"/>
              <w:spacing w:before="120" w:after="120"/>
              <w:rPr>
                <w:rFonts w:cs="Arial"/>
                <w:lang w:eastAsia="en-NZ"/>
              </w:rPr>
            </w:pPr>
          </w:p>
        </w:tc>
        <w:tc>
          <w:tcPr>
            <w:tcW w:w="0" w:type="auto"/>
          </w:tcPr>
          <w:p w14:paraId="457C89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466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works Sunday to Thursday, and the resident services manager works Tuesday to Saturday. The roster reviewed demonstrates that unit coordinators ensure there is seven days cover, with at least one senior clinical staff on site. The unit coordinators share on call after hours for all clinical matters, with escalation to the clinical manager as indicated. The village manager is on call 24/7 for any non-clinical concerns. The maintenance lead is available for maintenance and property related calls. There are separate staff dedicated to laundry, cleaning, recreation, maintenance, and food services. Review of the previous two-week roster provides sufficient and appropriate coverage for the effective delivery of care and support to meet the needs of the service. There is a registered nurse on each shift. </w:t>
            </w:r>
          </w:p>
          <w:p w14:paraId="1EF30A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number of caregivers on each shift is sufficient for the acuity, layout of the facility, support with the workload, and to provide safe and timely care on all shifts. There is no use of agency staff. The service contacts own staff and those on the casual pool to cover short notice absences. Any absences and sick leave are covered by extending working hours through mutual agreement with staff, or use of the casual pool of staff. There were no staff shortages reported at the time of the audit and there were no vacancies reported. Staff and residents are informed when there are changes to staffing levels, evidenced in staff interviews. Residents confirm their care requirements are attended to in a timely manner. On the days of the audit, staff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 Residents and family/whānau interviewed reported that there are adequate staff numbers. </w:t>
            </w:r>
          </w:p>
          <w:p w14:paraId="6CD571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registered nurses have current medication competencies. Registered nurses, senior caregivers, caregivers, activities and lifestyle staff, and van drivers have a current first aid certificate.</w:t>
            </w:r>
          </w:p>
          <w:p w14:paraId="535E3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Anthony Wilding Retirement Village supports and encourages caregivers to obtain a New Zealand Qualification Authority (NZQA) qualification through Careerforce. There are 86 caregivers in total; 66 of whom have achieved NZQA level three and above qualification. Twenty-four staff are regularly rostered in the special care unit, fifteen caregivers have achieved the required dementia related unit standards, six are in progress of completing, and three have not yet completed. All nine caregivers are within the 18-month timeframe period. Registered nurses are supported to maintain their professional competency. </w:t>
            </w:r>
          </w:p>
          <w:p w14:paraId="608C52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implemented competencies for registered nurses and caregivers related to specialised procedures or treatments, including (but not limited to) infection prevention and control, wound management, medication, and insulin competencies. At the time of the audit there were twenty registered nurses, including the clinical manager and five unit-coordinators employed at Anthony Wilding; nine have completed interRAI training.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w:t>
            </w:r>
          </w:p>
          <w:p w14:paraId="02421AFB" w14:textId="77777777" w:rsidR="00000000" w:rsidRPr="00BE00C7" w:rsidRDefault="00000000" w:rsidP="00BE00C7">
            <w:pPr>
              <w:pStyle w:val="OutcomeDescription"/>
              <w:spacing w:before="120" w:after="120"/>
              <w:rPr>
                <w:rFonts w:cs="Arial"/>
                <w:lang w:eastAsia="en-NZ"/>
              </w:rPr>
            </w:pPr>
          </w:p>
        </w:tc>
      </w:tr>
      <w:tr w:rsidR="006D2F7E" w14:paraId="0278A04B" w14:textId="77777777">
        <w:tc>
          <w:tcPr>
            <w:tcW w:w="0" w:type="auto"/>
          </w:tcPr>
          <w:p w14:paraId="6A8000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B9D87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6EB4E2" w14:textId="77777777" w:rsidR="00000000" w:rsidRPr="00BE00C7" w:rsidRDefault="00000000" w:rsidP="00BE00C7">
            <w:pPr>
              <w:pStyle w:val="OutcomeDescription"/>
              <w:spacing w:before="120" w:after="120"/>
              <w:rPr>
                <w:rFonts w:cs="Arial"/>
                <w:lang w:eastAsia="en-NZ"/>
              </w:rPr>
            </w:pPr>
          </w:p>
        </w:tc>
        <w:tc>
          <w:tcPr>
            <w:tcW w:w="0" w:type="auto"/>
          </w:tcPr>
          <w:p w14:paraId="331E28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40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Staff files are securely stored. Fourteen staff files reviewed (one resident services manager, two unit-coordinators, two registered nurses, one activities coordinator, one lead maintenance, one senior chef lead and six caregivers) evidenced implementation of the recruitment process, employment contracts, police vetting checks,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 A register of practising certificates is maintained for all health professionals, including (but not limited to) registered nurses, general practitioner, physiotherapist, pharmacist, and podiatrist. </w:t>
            </w:r>
          </w:p>
          <w:p w14:paraId="467DF92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had been employed for more than 12 months have an annual performance appraisal completed. The service has a role-specific orientation programme in place that provides new staff with relevant information for safe work practice and includes buddying when first employed. The orientation programme is tailored specifically to each position and monitored from the e-learning platform. All staff files reviewed had completed orientation records. Competencies are completed at orientation and annually. The service demonstrates that the orientation programme supports staff to provide a culturally safe environment to Māori. Ethnicity data is identified, and an employee ethnicity database is available. Following any staff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programme (OCP).</w:t>
            </w:r>
          </w:p>
          <w:p w14:paraId="69CD4262" w14:textId="77777777" w:rsidR="00000000" w:rsidRPr="00BE00C7" w:rsidRDefault="00000000" w:rsidP="00BE00C7">
            <w:pPr>
              <w:pStyle w:val="OutcomeDescription"/>
              <w:spacing w:before="120" w:after="120"/>
              <w:rPr>
                <w:rFonts w:cs="Arial"/>
                <w:lang w:eastAsia="en-NZ"/>
              </w:rPr>
            </w:pPr>
          </w:p>
        </w:tc>
      </w:tr>
      <w:tr w:rsidR="006D2F7E" w14:paraId="65582A5A" w14:textId="77777777">
        <w:tc>
          <w:tcPr>
            <w:tcW w:w="0" w:type="auto"/>
          </w:tcPr>
          <w:p w14:paraId="68AA05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DB26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w:t>
            </w:r>
            <w:r w:rsidRPr="00BE00C7">
              <w:rPr>
                <w:rFonts w:cs="Arial"/>
                <w:lang w:eastAsia="en-NZ"/>
              </w:rPr>
              <w:lastRenderedPageBreak/>
              <w:t>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11FC9E1" w14:textId="77777777" w:rsidR="00000000" w:rsidRPr="00BE00C7" w:rsidRDefault="00000000" w:rsidP="00BE00C7">
            <w:pPr>
              <w:pStyle w:val="OutcomeDescription"/>
              <w:spacing w:before="120" w:after="120"/>
              <w:rPr>
                <w:rFonts w:cs="Arial"/>
                <w:lang w:eastAsia="en-NZ"/>
              </w:rPr>
            </w:pPr>
          </w:p>
        </w:tc>
        <w:tc>
          <w:tcPr>
            <w:tcW w:w="0" w:type="auto"/>
          </w:tcPr>
          <w:p w14:paraId="5B9072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7E3C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associated with residents and staff are retained electronically and in hard copy (kept in locked cabinets when not in use). Electronic information is regularly backed-up using cloud-based </w:t>
            </w:r>
            <w:r w:rsidRPr="00BE00C7">
              <w:rPr>
                <w:rFonts w:cs="Arial"/>
                <w:lang w:eastAsia="en-NZ"/>
              </w:rPr>
              <w:lastRenderedPageBreak/>
              <w:t>technology and password protected. There is a documented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archived files are securely stored on site for two years, then transferred to an off-site secure location to be archived for ten years. Records are easily retrievable when required. The village manager is the privacy officer at Ryman Anthony Wilding.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38D1D7FF" w14:textId="77777777" w:rsidR="00000000" w:rsidRPr="00BE00C7" w:rsidRDefault="00000000" w:rsidP="00BE00C7">
            <w:pPr>
              <w:pStyle w:val="OutcomeDescription"/>
              <w:spacing w:before="120" w:after="120"/>
              <w:rPr>
                <w:rFonts w:cs="Arial"/>
                <w:lang w:eastAsia="en-NZ"/>
              </w:rPr>
            </w:pPr>
          </w:p>
        </w:tc>
      </w:tr>
      <w:tr w:rsidR="006D2F7E" w14:paraId="73622659" w14:textId="77777777">
        <w:tc>
          <w:tcPr>
            <w:tcW w:w="0" w:type="auto"/>
          </w:tcPr>
          <w:p w14:paraId="025D9A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C0D8D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EF2B1F2" w14:textId="77777777" w:rsidR="00000000" w:rsidRPr="00BE00C7" w:rsidRDefault="00000000" w:rsidP="00BE00C7">
            <w:pPr>
              <w:pStyle w:val="OutcomeDescription"/>
              <w:spacing w:before="120" w:after="120"/>
              <w:rPr>
                <w:rFonts w:cs="Arial"/>
                <w:lang w:eastAsia="en-NZ"/>
              </w:rPr>
            </w:pPr>
          </w:p>
        </w:tc>
        <w:tc>
          <w:tcPr>
            <w:tcW w:w="0" w:type="auto"/>
          </w:tcPr>
          <w:p w14:paraId="0FA15B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4A59A7"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and coordination service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and commitment to equity, inclusion, and the wellbeing of the residents they serve.</w:t>
            </w:r>
          </w:p>
          <w:p w14:paraId="0B5E2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w:t>
            </w:r>
          </w:p>
          <w:p w14:paraId="352F7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to NASC, and this would be explained to the prospective resident and their </w:t>
            </w:r>
            <w:r w:rsidRPr="00BE00C7">
              <w:rPr>
                <w:rFonts w:cs="Arial"/>
                <w:lang w:eastAsia="en-NZ"/>
              </w:rPr>
              <w:lastRenderedPageBreak/>
              <w:t xml:space="preserve">family/whānau. The service collects ethnicity data on all referrals for entry.  </w:t>
            </w:r>
          </w:p>
          <w:p w14:paraId="7807DB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existing engagements with local Māori communities, health practitioners, and organisations to support Māori individuals and whānau. The clinical manager confirmed that Māori health practitioners and traditional Māori healers are consulted for residents and family/whānau who may benefit from these interventions, when required. At the time of the audit there were residents who identified as Māori. </w:t>
            </w:r>
          </w:p>
          <w:p w14:paraId="607B4064" w14:textId="77777777" w:rsidR="00000000" w:rsidRPr="00BE00C7" w:rsidRDefault="00000000" w:rsidP="00BE00C7">
            <w:pPr>
              <w:pStyle w:val="OutcomeDescription"/>
              <w:spacing w:before="120" w:after="120"/>
              <w:rPr>
                <w:rFonts w:cs="Arial"/>
                <w:lang w:eastAsia="en-NZ"/>
              </w:rPr>
            </w:pPr>
          </w:p>
        </w:tc>
      </w:tr>
      <w:tr w:rsidR="006D2F7E" w14:paraId="7DDE7D5E" w14:textId="77777777">
        <w:tc>
          <w:tcPr>
            <w:tcW w:w="0" w:type="auto"/>
          </w:tcPr>
          <w:p w14:paraId="176625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4B40C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A43ADFB" w14:textId="77777777" w:rsidR="00000000" w:rsidRPr="00BE00C7" w:rsidRDefault="00000000" w:rsidP="00BE00C7">
            <w:pPr>
              <w:pStyle w:val="OutcomeDescription"/>
              <w:spacing w:before="120" w:after="120"/>
              <w:rPr>
                <w:rFonts w:cs="Arial"/>
                <w:lang w:eastAsia="en-NZ"/>
              </w:rPr>
            </w:pPr>
          </w:p>
        </w:tc>
        <w:tc>
          <w:tcPr>
            <w:tcW w:w="0" w:type="auto"/>
          </w:tcPr>
          <w:p w14:paraId="217640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8D2302"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Twelve resident files were reviewed: three rest home, including one in the serviced apartments; five hospital, including one on long-term support chronic health contract (LTS-CHC), one on mental health contract, one on Accident Compensation Corporation (ACC) funding; and four dementia level care, including one on the close in age and interest contract. Initial assessments and care plans are developed with the residents or Enduring Power of Attorney (EPOA) consent and have been completed within the required timeframe. Care plans are based on data collected during the initial nursing assessments, which include (but not limited to) those related to nutrition; pain; transfer and mobility; falls; skin; continence; pressure injury risk; cultural; behaviour; social wellbeing; and information from pre-entry assessments completed by the Needs Assessment and Service Coordination (NASC) or other referral agencies. A specific cultural assessment has been implemented for all residents.</w:t>
            </w:r>
          </w:p>
          <w:p w14:paraId="5184F2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(MyRyman) are developed with information gathered during the initial assessments and the interRAI assessment. Initial interRAI assessments have been completed within three weeks of admission for all the residents, including for those on LTS-CHC, ACC, mental health, and on close in age and interest contract. The initial care plans were detailed to provide guidance to care staff in the delivery of care. All the residents in the special care unit have a behaviour assessment and behaviour care plan completed on admission, with associated risks and supports needed documented. Detailed strategies for managing/diversion of behaviours </w:t>
            </w:r>
            <w:r w:rsidRPr="00BE00C7">
              <w:rPr>
                <w:rFonts w:cs="Arial"/>
                <w:lang w:eastAsia="en-NZ"/>
              </w:rPr>
              <w:lastRenderedPageBreak/>
              <w:t>were well documented.</w:t>
            </w:r>
          </w:p>
          <w:p w14:paraId="7459B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They include sections on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Documented interventions and early warning signs meet the residents’ assessed needs and were detailed enough to direct comprehensive care delivery. The care plans for residents in the special care unit included a 24-hour reflection of close to normal routine for the resident, with interventions to assist caregivers in management of resident behaviours. There are policies and procedures for use of short-term care plans for issues such as infections, weight loss, and wounds, with sign off when resolved or updated to the long-term care plan. </w:t>
            </w:r>
          </w:p>
          <w:p w14:paraId="2FED62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and registered nurses confirmed that a Māori health care plan is completed for any residents who identified as Māori to describe the support required to meet resident’s needs, as sighted in the resident files reviewed on the day of the audit.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40D99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practitioners (GP) within the required timeframe following admission. There is documented evidence of the exemption from monthly general practitioner visits when the resident’s condition is considered stable. The service has a contract with a local medical practice that provides a team of six general practitioners who each visit the facility at least weekly and provide on call cover after hours. The general practitioners have access to the resident records including the medication system. The general practitioner interviewed stated that there was good communication with the service and the registered nurses demonstrated good assessment skills, and they were informed of concerns in a timely manner. A </w:t>
            </w:r>
            <w:r w:rsidRPr="00BE00C7">
              <w:rPr>
                <w:rFonts w:cs="Arial"/>
                <w:lang w:eastAsia="en-NZ"/>
              </w:rPr>
              <w:lastRenderedPageBreak/>
              <w:t xml:space="preserve">physiotherapist visits the service twenty hours per week, and reviews residents referred by the registered nurse and general practitioners. There is evidence of a multi-disciplinary approach in the care of residents with other specialist services, including (but not limited to) speech language therapist, wound care specialist, dietitian, and continence specialist nurse available as required through Health New Zealand. </w:t>
            </w:r>
          </w:p>
          <w:p w14:paraId="7580F843"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There is evidence of resident and family/whānau involvement in the interRAI assessments and long-term care plans. This is documented in progress notes, and all communication is linked to the electronic system (including text messages and emails) and automatically uploaded. Family/whānau interviews and resident records evidenced that family/whānau are also informed where there is a change in health, including infections, accidents/incidents, general practitioner visits, and medication changes.</w:t>
            </w:r>
          </w:p>
          <w:p w14:paraId="6FC127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Wound assessments include photos and wound measurements. There were 29 active wounds from 19 residents (six wounds in the dementia care unit; nine wounds in the rest home and fourteen in the hospital). The wounds reviewed included one stage II pressure injury, incontinence associated dermatitis, surgical wound (excised chronic SCC), lesions, skin tears, and abrasions. Referrals were completed for wound nurse specialist input as clinically indicated with recommended plans incorporated into the wound management plans. When wounds are due to be dressed, a task is automated on the registered nurse daily schedule. Wound assessment, wound management, evaluation forms, and wound monitoring occurred as planned in the sample of wounds reviewed. The wound champion follows up all wounds to ensure that all considerations to improve wound healing are considered. </w:t>
            </w:r>
          </w:p>
          <w:p w14:paraId="6025F6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w:t>
            </w:r>
            <w:r w:rsidRPr="00BE00C7">
              <w:rPr>
                <w:rFonts w:cs="Arial"/>
                <w:lang w:eastAsia="en-NZ"/>
              </w:rPr>
              <w:lastRenderedPageBreak/>
              <w:t xml:space="preserve">residents’ health, these are reflected in the progress notes to provide an evolving picture of the resident journey. When a resident’s condition alters, the registered nurse initiates a review with the general practitioners.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nurses have added to the progress notes when an incident or changes in health status occurred. </w:t>
            </w:r>
          </w:p>
          <w:p w14:paraId="2B7EF316"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interviewed stated there are adequate clinical supplies and equipment provided, including continence, wound care supplies and pressure injury prevention resources. There is access to a continence specialist as required. 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visual checks, weight; food and fluid; repositioning charts; and blood glucose levels. For residents in the special care unit, new behaviours are charted on a behaviour chart to identify new triggers and patterns. The behaviour chart entries described the behaviour and interventions to de-escalate behaviours including re-direction and activities. Monitoring charts have been completed as scheduled.</w:t>
            </w:r>
          </w:p>
          <w:p w14:paraId="404058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facility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7F96B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w:t>
            </w:r>
            <w:r w:rsidRPr="00BE00C7">
              <w:rPr>
                <w:rFonts w:cs="Arial"/>
                <w:lang w:eastAsia="en-NZ"/>
              </w:rPr>
              <w:lastRenderedPageBreak/>
              <w:t>towards meeting desired goals and outcomes.</w:t>
            </w:r>
          </w:p>
          <w:p w14:paraId="54B0FC8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563B9E0" w14:textId="77777777" w:rsidR="00000000" w:rsidRPr="00BE00C7" w:rsidRDefault="00000000" w:rsidP="001F31C5">
            <w:pPr>
              <w:pStyle w:val="OutcomeDescription"/>
              <w:spacing w:before="120" w:after="120"/>
              <w:rPr>
                <w:rFonts w:cs="Arial"/>
                <w:lang w:eastAsia="en-NZ"/>
              </w:rPr>
            </w:pPr>
          </w:p>
        </w:tc>
      </w:tr>
      <w:tr w:rsidR="006D2F7E" w14:paraId="24C77057" w14:textId="77777777">
        <w:tc>
          <w:tcPr>
            <w:tcW w:w="0" w:type="auto"/>
          </w:tcPr>
          <w:p w14:paraId="5B7C8B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0B9B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6B8642" w14:textId="77777777" w:rsidR="00000000" w:rsidRPr="00BE00C7" w:rsidRDefault="00000000" w:rsidP="00BE00C7">
            <w:pPr>
              <w:pStyle w:val="OutcomeDescription"/>
              <w:spacing w:before="120" w:after="120"/>
              <w:rPr>
                <w:rFonts w:cs="Arial"/>
                <w:lang w:eastAsia="en-NZ"/>
              </w:rPr>
            </w:pPr>
          </w:p>
        </w:tc>
        <w:tc>
          <w:tcPr>
            <w:tcW w:w="0" w:type="auto"/>
          </w:tcPr>
          <w:p w14:paraId="240A73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0D74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eight full-time and part-time activity and lifestyle coordinators and offers an activity programme over seven days. The activity and lifestyle coordinators implement the Engage programme in each unit, with variations to suit the physical and cognitive abilities of the residents within the unit. They are supported by volunteers who assist within the rest home and special care units. The serviced apartment and townhouse activity and lifestyle coordinators also run activities that the residents from the other areas can attend, for example, when entertainers are scheduled. The programme is overseen by a group diversional therapist who is based at Ryman support office. Residents’ activity needs, interests, abilities, and social requirements are assessed on admission, with input from residents and family/whānau. These plans were completed within three weeks of admission.</w:t>
            </w:r>
          </w:p>
          <w:p w14:paraId="5F402D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plan is posted on noticeboards, and the daily activities are written on the whiteboard. This was evidenced in the rest home, hospital and special care unit. The planned activities were suitable for the residents. The planned activities and community connections were suitable for the residents and was witnessed to be adapted in the different units to suit the ability of the residents residing within them. The activities included walks; exercises to music; pet therapy; happy hour; church services; news and views; bingo; floor games; table games; van outings; music; cooking; movies; art and craft. There are also celebrations for special occasions, and this was evidenced by photos and displays for the King’s birthday and planning for Matariki. </w:t>
            </w:r>
          </w:p>
          <w:p w14:paraId="3C117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weekly van outings for each service level, and the activity and lifestyle coordinators ensure that everyone who wishes to, can participate in these on a rotating basis. Resident attendance records are updated daily. Activities for residents in the special care units are tailored to meet the needs of the residents and observation of the activities showed good participation and engagement by the residents </w:t>
            </w:r>
            <w:r w:rsidRPr="00BE00C7">
              <w:rPr>
                <w:rFonts w:cs="Arial"/>
                <w:lang w:eastAsia="en-NZ"/>
              </w:rPr>
              <w:lastRenderedPageBreak/>
              <w:t xml:space="preserve">and the staff. The resident care plans showed activities over the 24-hour period relevant to the individual resident. There are residents who identify as Māori, and the activity and lifestyle coordinators have </w:t>
            </w:r>
            <w:r w:rsidRPr="00BE00C7">
              <w:rPr>
                <w:rFonts w:cs="Arial"/>
                <w:lang w:eastAsia="en-NZ"/>
              </w:rPr>
              <w:lastRenderedPageBreak/>
              <w:t>identified how they would meet the needs of Māori residents (examples are celebrating Matariki, and Māori language week), In addition, the village has links to local schools (Kapahaka groups).</w:t>
            </w:r>
          </w:p>
          <w:p w14:paraId="04B2472F"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members and residents spoke very highly of the activities offered and how welcoming the staff were for them to join in.</w:t>
            </w:r>
          </w:p>
          <w:p w14:paraId="46617B63" w14:textId="77777777" w:rsidR="00000000" w:rsidRPr="00BE00C7" w:rsidRDefault="00000000" w:rsidP="00BE00C7">
            <w:pPr>
              <w:pStyle w:val="OutcomeDescription"/>
              <w:spacing w:before="120" w:after="120"/>
              <w:rPr>
                <w:rFonts w:cs="Arial"/>
                <w:lang w:eastAsia="en-NZ"/>
              </w:rPr>
            </w:pPr>
          </w:p>
        </w:tc>
      </w:tr>
      <w:tr w:rsidR="006D2F7E" w14:paraId="5B39199D" w14:textId="77777777">
        <w:tc>
          <w:tcPr>
            <w:tcW w:w="0" w:type="auto"/>
          </w:tcPr>
          <w:p w14:paraId="122D78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56ADD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FAE5513" w14:textId="77777777" w:rsidR="00000000" w:rsidRPr="00BE00C7" w:rsidRDefault="00000000" w:rsidP="00BE00C7">
            <w:pPr>
              <w:pStyle w:val="OutcomeDescription"/>
              <w:spacing w:before="120" w:after="120"/>
              <w:rPr>
                <w:rFonts w:cs="Arial"/>
                <w:lang w:eastAsia="en-NZ"/>
              </w:rPr>
            </w:pPr>
          </w:p>
        </w:tc>
        <w:tc>
          <w:tcPr>
            <w:tcW w:w="0" w:type="auto"/>
          </w:tcPr>
          <w:p w14:paraId="7E0273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10E990" w14:textId="77777777" w:rsidR="00000000" w:rsidRPr="00BE00C7" w:rsidRDefault="00000000" w:rsidP="00BE00C7">
            <w:pPr>
              <w:pStyle w:val="OutcomeDescription"/>
              <w:spacing w:before="120" w:after="120"/>
              <w:rPr>
                <w:rFonts w:cs="Arial"/>
                <w:lang w:eastAsia="en-NZ"/>
              </w:rPr>
            </w:pPr>
            <w:r w:rsidRPr="00BE00C7">
              <w:rPr>
                <w:rFonts w:cs="Arial"/>
                <w:lang w:eastAsia="en-NZ"/>
              </w:rPr>
              <w:t>Anthony Wilding Retirement Village has policies and procedures in place to support safe medication management, all of which meet current legislative requirements. All clinical staff responsible for administering medications undergo annual competency assessments, and education on safe medication administration is provided regularly. Registered nurses have also completed training in the use of syringe drivers. During observation, staff were seen administering medications safely. Both registered nurses and caregivers interviewed demonstrated a clear understanding of their roles and responsibilities in medication administration.</w:t>
            </w:r>
          </w:p>
          <w:p w14:paraId="06DD22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an electronic medication management system, alongside blister packs for both regular, short course, and "as required" medications. Upon delivery, all medications are checked against the resident’s medication chart, and any discrepancies are promptly reported to the pharmacy.</w:t>
            </w:r>
          </w:p>
          <w:p w14:paraId="6C7EF6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three designated medication areas and in locked trolleys. A monitoring system is in place for regular medication room and fridge temperatures checks and records show this has been consistently maintained. Systems are in place to regularly check medication stock for expiry dates and quantity. Eye drops and topical creams are labelled with opening dates. Controlled drugs are stored securely, with weekly stock checks consistently completed. </w:t>
            </w:r>
          </w:p>
          <w:p w14:paraId="5DC1C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24 electronic medication charts were reviewed. These confirmed that general practitioners review each resident’s medication chart every three months, and each chart includes a photo for identification. All reviewed charts had allergy status consistently </w:t>
            </w:r>
            <w:r w:rsidRPr="00BE00C7">
              <w:rPr>
                <w:rFonts w:cs="Arial"/>
                <w:lang w:eastAsia="en-NZ"/>
              </w:rPr>
              <w:lastRenderedPageBreak/>
              <w:t>recorded. Over-the-counter medications are prescribed and charted electronically.</w:t>
            </w:r>
          </w:p>
          <w:p w14:paraId="6D69FC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Nine residents were identified as self-administering medications. Assessments, reviews, storage, and procedures relating to self-medication had been adhered to. Safe storage for these medications is provided in each resident’s room (sighted on the days of the audit).</w:t>
            </w:r>
          </w:p>
          <w:p w14:paraId="161421B0"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required” medications are administered by staff deemed competent in medication management, with effectiveness consistently documented in the electronic medication system and in residents’ progress notes. All administered medications are signed off by the responsible caregiver or registered nurse.</w:t>
            </w:r>
          </w:p>
          <w:p w14:paraId="1D5D0E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vaccines stored on site. The service does not use standing orders.</w:t>
            </w:r>
          </w:p>
          <w:p w14:paraId="161206C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kept informed of any medication changes, including reasons for the change and possible side effects. These discussions are documented in the progress notes. The clinical manager and registered nurses also described how they work collaboratively with Māori residents and their family/whānau to ensure culturally appropriate support is provided. This includes timely access to advice, prioritisation of treatment, and a focus on achieving equitable health outcomes.</w:t>
            </w:r>
          </w:p>
          <w:p w14:paraId="4C9A6C49" w14:textId="77777777" w:rsidR="00000000" w:rsidRPr="00BE00C7" w:rsidRDefault="00000000" w:rsidP="00BE00C7">
            <w:pPr>
              <w:pStyle w:val="OutcomeDescription"/>
              <w:spacing w:before="120" w:after="120"/>
              <w:rPr>
                <w:rFonts w:cs="Arial"/>
                <w:lang w:eastAsia="en-NZ"/>
              </w:rPr>
            </w:pPr>
          </w:p>
        </w:tc>
      </w:tr>
      <w:tr w:rsidR="006D2F7E" w14:paraId="3C5DB8DF" w14:textId="77777777">
        <w:tc>
          <w:tcPr>
            <w:tcW w:w="0" w:type="auto"/>
          </w:tcPr>
          <w:p w14:paraId="389887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EA0C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B2BF83" w14:textId="77777777" w:rsidR="00000000" w:rsidRPr="00BE00C7" w:rsidRDefault="00000000" w:rsidP="00BE00C7">
            <w:pPr>
              <w:pStyle w:val="OutcomeDescription"/>
              <w:spacing w:before="120" w:after="120"/>
              <w:rPr>
                <w:rFonts w:cs="Arial"/>
                <w:lang w:eastAsia="en-NZ"/>
              </w:rPr>
            </w:pPr>
          </w:p>
        </w:tc>
        <w:tc>
          <w:tcPr>
            <w:tcW w:w="0" w:type="auto"/>
          </w:tcPr>
          <w:p w14:paraId="4C69B9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0393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very well-appointed kitchen. The kitchen is managed by a senior lead chef, assisted by two chefs and ten full-time and part-time kitchen assistants. All have recognised food safety qualifications and a record of training in the food control plan was sighted. Current food handling certificates were available in staff records.</w:t>
            </w:r>
          </w:p>
          <w:p w14:paraId="17304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is prepared in line with recognised nutritional guidelines for older people. There is an up-to-date food control plan (renewal due on 1 December 2025). On the days of the audit, the kitchen was clean and well equipped with special equipment available. Kitchen staff were observed following appropriate infection prevention measures during food preparation and serving. </w:t>
            </w:r>
          </w:p>
          <w:p w14:paraId="3350B0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nutritional requirements are assessed on admission to the service in consultation with the residents and family/whānau. The </w:t>
            </w:r>
            <w:r w:rsidRPr="00BE00C7">
              <w:rPr>
                <w:rFonts w:cs="Arial"/>
                <w:lang w:eastAsia="en-NZ"/>
              </w:rPr>
              <w:lastRenderedPageBreak/>
              <w:t>nutritional assessments identify residents’ personal food preferences, allergies, intolerances, any special diets, cultural preferences, and modified texture requirements. Residents’ dietary preferences are available in a new admission form, and in the saffron application, and a summary on a whiteboard in the kitchen. 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39841654" w14:textId="77777777" w:rsidR="00000000" w:rsidRPr="00BE00C7" w:rsidRDefault="00000000" w:rsidP="00BE00C7">
            <w:pPr>
              <w:pStyle w:val="OutcomeDescription"/>
              <w:spacing w:before="120" w:after="120"/>
              <w:rPr>
                <w:rFonts w:cs="Arial"/>
                <w:lang w:eastAsia="en-NZ"/>
              </w:rPr>
            </w:pPr>
            <w:r w:rsidRPr="00BE00C7">
              <w:rPr>
                <w:rFonts w:cs="Arial"/>
                <w:lang w:eastAsia="en-NZ"/>
              </w:rPr>
              <w:t>Seasonal menu in a four-weekly cycle is utilised. The menu was last reviewed by a registered dietitian in May 2025.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1B5955C8"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placed in hotboxes and served from bain maries in the serveries in each area. All decanted food had records of use by dates recorded on the containers and no expired items were sighted. Family/whānau and residents interviewed indicated satisfaction with the food service. The senior lead chef attends resident meetings and visits residents individually if re</w:t>
            </w:r>
            <w:r w:rsidRPr="00BE00C7">
              <w:rPr>
                <w:rFonts w:cs="Arial"/>
                <w:lang w:eastAsia="en-NZ"/>
              </w:rPr>
              <w:lastRenderedPageBreak/>
              <w:t>quired to ask what food they enjoy and endeavours to provide this. Each area has a logbook for staff to record any dissatisfaction with the food, and the lead chef checks this weekly. The senior lead chef also meets with the management team weekly to discuss any feedback received.</w:t>
            </w:r>
          </w:p>
          <w:p w14:paraId="4D3C95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lead chef reported there are menu options available which includes menu options which are culturally specific to te ao Māori. There is a current resident who identifies as Māori. The lead chef reported they were able to prepare and serve food according to the dietary requirements, and requests (likes and dislikes) as stated in the resident’s nutritional assessment (document sighted in the kitchen). This is also included in the kitchen noticeboard to remind all kitchen staff.</w:t>
            </w:r>
          </w:p>
          <w:p w14:paraId="2832B530" w14:textId="77777777" w:rsidR="00000000" w:rsidRPr="00BE00C7" w:rsidRDefault="00000000" w:rsidP="00BE00C7">
            <w:pPr>
              <w:pStyle w:val="OutcomeDescription"/>
              <w:spacing w:before="120" w:after="120"/>
              <w:rPr>
                <w:rFonts w:cs="Arial"/>
                <w:lang w:eastAsia="en-NZ"/>
              </w:rPr>
            </w:pPr>
          </w:p>
        </w:tc>
      </w:tr>
      <w:tr w:rsidR="006D2F7E" w14:paraId="534EBC64" w14:textId="77777777">
        <w:tc>
          <w:tcPr>
            <w:tcW w:w="0" w:type="auto"/>
          </w:tcPr>
          <w:p w14:paraId="728A12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60639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E98C9F" w14:textId="77777777" w:rsidR="00000000" w:rsidRPr="00BE00C7" w:rsidRDefault="00000000" w:rsidP="00BE00C7">
            <w:pPr>
              <w:pStyle w:val="OutcomeDescription"/>
              <w:spacing w:before="120" w:after="120"/>
              <w:rPr>
                <w:rFonts w:cs="Arial"/>
                <w:lang w:eastAsia="en-NZ"/>
              </w:rPr>
            </w:pPr>
          </w:p>
        </w:tc>
        <w:tc>
          <w:tcPr>
            <w:tcW w:w="0" w:type="auto"/>
          </w:tcPr>
          <w:p w14:paraId="45C480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8F5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Health New Zealand ‘yellow envelope’ scheme (sighted) to ensure sufficient detail is shared with other agencies to ensure a safe transition. The residents and their family/whānau were involved for all exits or discharges to and from the service. Discharge notes are uploaded to the system and discharge instructions are incorporated into the care plan. Family/whānau are advised of options to access other health and disability services, and social support or kaupapa Māori agencies when required. </w:t>
            </w:r>
          </w:p>
          <w:p w14:paraId="7C72E3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guides staff on transfer and discharge processes. Transfers and discharges are managed efficiently in consultation with the resident, family/whānau/enduring power of attorney, and the general practitioners.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5E9193E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Referrals to seek specialist input for non-urgent services are completed by the general practitioners and registered nurses. The resident and family/whānau were kept informed of the referral process, reason for transition, transfer or discharge, as confirmed by documentation and interviews.</w:t>
            </w:r>
          </w:p>
          <w:p w14:paraId="11E32D54" w14:textId="77777777" w:rsidR="00000000" w:rsidRPr="00BE00C7" w:rsidRDefault="00000000" w:rsidP="00BE00C7">
            <w:pPr>
              <w:pStyle w:val="OutcomeDescription"/>
              <w:spacing w:before="120" w:after="120"/>
              <w:rPr>
                <w:rFonts w:cs="Arial"/>
                <w:lang w:eastAsia="en-NZ"/>
              </w:rPr>
            </w:pPr>
          </w:p>
        </w:tc>
      </w:tr>
      <w:tr w:rsidR="006D2F7E" w14:paraId="77C4CA9D" w14:textId="77777777">
        <w:tc>
          <w:tcPr>
            <w:tcW w:w="0" w:type="auto"/>
          </w:tcPr>
          <w:p w14:paraId="0E9E30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5A84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3750F4E" w14:textId="77777777" w:rsidR="00000000" w:rsidRPr="00BE00C7" w:rsidRDefault="00000000" w:rsidP="00BE00C7">
            <w:pPr>
              <w:pStyle w:val="OutcomeDescription"/>
              <w:spacing w:before="120" w:after="120"/>
              <w:rPr>
                <w:rFonts w:cs="Arial"/>
                <w:lang w:eastAsia="en-NZ"/>
              </w:rPr>
            </w:pPr>
          </w:p>
        </w:tc>
        <w:tc>
          <w:tcPr>
            <w:tcW w:w="0" w:type="auto"/>
          </w:tcPr>
          <w:p w14:paraId="3CD8C4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E9FB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two buildings have a current building warrant of fitness that expires on 1 December 2025. The lead maintenance works full time and is on call 24/7 for any maintenance issues. Compliance for the building </w:t>
            </w:r>
            <w:r w:rsidRPr="00BE00C7">
              <w:rPr>
                <w:rFonts w:cs="Arial"/>
                <w:lang w:eastAsia="en-NZ"/>
              </w:rPr>
              <w:lastRenderedPageBreak/>
              <w:t xml:space="preserve">warrant of fitness, service of the lifts and air conditioning is contracted out. The annual preventative maintenance plan is online. This comes from Ryman support office, and the lead maintenance person records a monthly check (sighted for 2025 year to date). Staff can request repairs and maintenance via an electronic system that automatically alerts the lead maintenance person. For urgent repairs, staff call the lead maintenance person 24/7, who can access essential contractors such as plumbers and electricians at any time. The lead maintenance person signs off all requests when completed. Fixtures, fittings, and flooring are appropriate. Electrical testing and tagging of all appliances was completed in December 2024. Clinical equipment was last checked and calibrated in February 2025. Hot water temperatures are checked monthly in each area, and records show a safe temperature is maintained. </w:t>
            </w:r>
          </w:p>
          <w:p w14:paraId="455FC7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Canterbury and Wimbledon hospital units and the serviced apartments are in the main village building. The Heathcote rest home unit and Cambridge special care unit are in an adjacent building from the main village. Each unit has an open plan lounge/dining area. There are other lounge areas, and seating alcoves, including a library area that is available for quiet private time or visitors. Serviced apartments also have a lounge area. The communal areas are easily and safely accessible for residents and staff. All rooms and communal areas allow for safe use of mobility equipment. There is adequate internal and external space to allow maximum freedom of movement. Resident rooms in all areas have single ensuites, access to a handbasin and flowing hand soap. There are handrails in ensuites and in hallways. The resident rooms are of sufficient size to meet the residents’ assessed needs and have external windows, providing natural light and ventilation. Residents can manoeuvre mobility aids around the bed and personal space. </w:t>
            </w:r>
          </w:p>
          <w:p w14:paraId="0671EB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rooms were seen to have personal items of significance displayed. There are adequate numbers of communal toilets located near the communal areas. Toilets have privacy locks. Residents interviewed confirmed their privacy is assured when staff are undertaking personal cares. There are separate toilets for staff and visitors in each unit. The temperature in the units is maintained by electric under floor heating. Heat pumps are installed in communal areas and medication rooms. Electric wall heaters are available in the </w:t>
            </w:r>
            <w:r w:rsidRPr="00BE00C7">
              <w:rPr>
                <w:rFonts w:cs="Arial"/>
                <w:lang w:eastAsia="en-NZ"/>
              </w:rPr>
              <w:lastRenderedPageBreak/>
              <w:t>serviced apartments. All hand washing areas have free flowing soap and paper towels in the toilet areas, sluice rooms, medication rooms, kitchenettes and main kitchen. There are lifts between floors which can accommodate ambulance stretchers. There are seating and shaded areas outdoors. There are raised gardens and vegetable gardens. Residents and family/whānau interviewed expressed a high level of satisfaction with the environment.</w:t>
            </w:r>
          </w:p>
          <w:p w14:paraId="5B57E3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doors in the special care unit are mostly kept open during the day to allow for integrated activities. Resident rooms have different coloured and styled vinyl door skins on the doors, with large room numbers and name plates. There is ample room for residents to walk freely and safely. The special care unit is accessed by security keypad. The dementia care unit has a secure courtyard with safe paving and walkways, with entry and exit points within the secure facility. The roster has been designed to ensure supervision of the lounge and the closed-circuit monitoring system also assists with supervising residents in the long hallways and outdoor area. There is plenty of natural light with large windows. The special care unit has carpet with vinyl surfaces in bathrooms/toilets and kitchen areas. The design layout enhances the resident’s freedom of movement and ensures staff can supervise and monitor residents as they go about their day in a non-intrusive manner. </w:t>
            </w:r>
          </w:p>
          <w:p w14:paraId="55C47F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village; however, consultation arranged by Ryman support office would ensure aspirations and identity of Māori would be reflected, should any build or major alterations occur.</w:t>
            </w:r>
          </w:p>
          <w:p w14:paraId="6E6A1C19" w14:textId="77777777" w:rsidR="00000000" w:rsidRPr="00BE00C7" w:rsidRDefault="00000000" w:rsidP="00BE00C7">
            <w:pPr>
              <w:pStyle w:val="OutcomeDescription"/>
              <w:spacing w:before="120" w:after="120"/>
              <w:rPr>
                <w:rFonts w:cs="Arial"/>
                <w:lang w:eastAsia="en-NZ"/>
              </w:rPr>
            </w:pPr>
          </w:p>
        </w:tc>
      </w:tr>
      <w:tr w:rsidR="006D2F7E" w14:paraId="39F5A281" w14:textId="77777777">
        <w:tc>
          <w:tcPr>
            <w:tcW w:w="0" w:type="auto"/>
          </w:tcPr>
          <w:p w14:paraId="539DD9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9B3B5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E528D62" w14:textId="77777777" w:rsidR="00000000" w:rsidRPr="00BE00C7" w:rsidRDefault="00000000" w:rsidP="00BE00C7">
            <w:pPr>
              <w:pStyle w:val="OutcomeDescription"/>
              <w:spacing w:before="120" w:after="120"/>
              <w:rPr>
                <w:rFonts w:cs="Arial"/>
                <w:lang w:eastAsia="en-NZ"/>
              </w:rPr>
            </w:pPr>
          </w:p>
        </w:tc>
        <w:tc>
          <w:tcPr>
            <w:tcW w:w="0" w:type="auto"/>
          </w:tcPr>
          <w:p w14:paraId="3006B1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D497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30 June 2021. Fire evacuation drills are conducted every six months; the latest drill was completed on 30 April 2025. The staff orientation programme includes fire and security training. Fire exit doors were clearly labelled and free from clutter. All required fire equipment is checked within the required </w:t>
            </w:r>
            <w:r w:rsidRPr="00BE00C7">
              <w:rPr>
                <w:rFonts w:cs="Arial"/>
                <w:lang w:eastAsia="en-NZ"/>
              </w:rPr>
              <w:lastRenderedPageBreak/>
              <w:t xml:space="preserve">timeframes by an external contractor. </w:t>
            </w:r>
          </w:p>
          <w:p w14:paraId="75D629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civil defence plan is in place. There are adequate supplies in the event of a civil defence emergency, including food and water supplies (total of 5,500 litres in header tanks and cylinders). This is sufficient for three litres per person, for three days. There are two large generators on site to run essential services if required. Emergency lighting is available and is regularly tested. An automated external defibrillator is located at reception and staff receive training on how to use it. </w:t>
            </w:r>
          </w:p>
          <w:p w14:paraId="33FB81F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senior caregivers, activities and lifestyle coordinators, and van drivers have a current first aid certificate. The service has a call bell system in place that is used by the residents, family/whānau, and staff members to summon assistance. All residents have access to a call bell and/or a pendant.  Call bells are checked six-monthly by the lead maintenance. Residents and family/whānau confirmed staff respond to call bells promptly. Appropriate security arrangements are in place. The special care unit is secure, with a security keypad. There is 24-hour security provided by an external provider, with scheduled checks overnight for the village, including the care centre. External doors are automatically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 Security cameras are located at the village entrance, car park and throughout the facility.</w:t>
            </w:r>
          </w:p>
          <w:p w14:paraId="52B662B5" w14:textId="77777777" w:rsidR="00000000" w:rsidRPr="00BE00C7" w:rsidRDefault="00000000" w:rsidP="00BE00C7">
            <w:pPr>
              <w:pStyle w:val="OutcomeDescription"/>
              <w:spacing w:before="120" w:after="120"/>
              <w:rPr>
                <w:rFonts w:cs="Arial"/>
                <w:lang w:eastAsia="en-NZ"/>
              </w:rPr>
            </w:pPr>
          </w:p>
        </w:tc>
      </w:tr>
      <w:tr w:rsidR="006D2F7E" w14:paraId="7BB50C8E" w14:textId="77777777">
        <w:tc>
          <w:tcPr>
            <w:tcW w:w="0" w:type="auto"/>
          </w:tcPr>
          <w:p w14:paraId="1F6806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4C0F7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29E235EC" w14:textId="77777777" w:rsidR="00000000" w:rsidRPr="00BE00C7" w:rsidRDefault="00000000" w:rsidP="00BE00C7">
            <w:pPr>
              <w:pStyle w:val="OutcomeDescription"/>
              <w:spacing w:before="120" w:after="120"/>
              <w:rPr>
                <w:rFonts w:cs="Arial"/>
                <w:lang w:eastAsia="en-NZ"/>
              </w:rPr>
            </w:pPr>
          </w:p>
        </w:tc>
        <w:tc>
          <w:tcPr>
            <w:tcW w:w="0" w:type="auto"/>
          </w:tcPr>
          <w:p w14:paraId="663B60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EA1A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4619BA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w:t>
            </w:r>
            <w:r w:rsidRPr="00BE00C7">
              <w:rPr>
                <w:rFonts w:cs="Arial"/>
                <w:lang w:eastAsia="en-NZ"/>
              </w:rPr>
              <w:lastRenderedPageBreak/>
              <w:t xml:space="preserve">antibiotic use." Advice around infection prevention and control matters are sought via Ryman’s IPAS Nurse Specialist (RN), regional operations manager and general operations manager, group clinical care manager (RN), and local infection control specialist team at Public Health, and liaising with GPs. </w:t>
            </w:r>
          </w:p>
          <w:p w14:paraId="641CEC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governance committee structure consists of organisational and village committees. The Village IPAS Committee reports to the IPAS Operational Team, which in turn reports to the IPAS Advisory Committee. The IPAS Advisory Committee report to the clinical governance committee, who are advisory to the Chief Executive Officer and Ryman Healthcare Board.</w:t>
            </w:r>
          </w:p>
          <w:p w14:paraId="44B45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5473DB68" w14:textId="77777777" w:rsidR="00000000" w:rsidRPr="00BE00C7" w:rsidRDefault="00000000" w:rsidP="00BE00C7">
            <w:pPr>
              <w:pStyle w:val="OutcomeDescription"/>
              <w:spacing w:before="120" w:after="120"/>
              <w:rPr>
                <w:rFonts w:cs="Arial"/>
                <w:lang w:eastAsia="en-NZ"/>
              </w:rPr>
            </w:pPr>
          </w:p>
        </w:tc>
      </w:tr>
      <w:tr w:rsidR="006D2F7E" w14:paraId="7585F823" w14:textId="77777777">
        <w:tc>
          <w:tcPr>
            <w:tcW w:w="0" w:type="auto"/>
          </w:tcPr>
          <w:p w14:paraId="6BAF93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9B5CA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21B27E" w14:textId="77777777" w:rsidR="00000000" w:rsidRPr="00BE00C7" w:rsidRDefault="00000000" w:rsidP="00BE00C7">
            <w:pPr>
              <w:pStyle w:val="OutcomeDescription"/>
              <w:spacing w:before="120" w:after="120"/>
              <w:rPr>
                <w:rFonts w:cs="Arial"/>
                <w:lang w:eastAsia="en-NZ"/>
              </w:rPr>
            </w:pPr>
          </w:p>
        </w:tc>
        <w:tc>
          <w:tcPr>
            <w:tcW w:w="0" w:type="auto"/>
          </w:tcPr>
          <w:p w14:paraId="4DC982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8D78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The infection prevention and control manual outlines a comprehensive range of policies, standards and guidelines, and includes defining roles, responsibilities and oversight, pandemic and outbreak management, responsibilities during construction/refurbishment, training, and education of staff. The infection prevention and control support lead (IPCL) has a signed job description. The support lead works with the clinical manager, who has completed additional training around infection control and antimicrobial use. </w:t>
            </w:r>
          </w:p>
          <w:p w14:paraId="3C5C0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Committee meets every two months and reviews the two-monthly trends; weekly management meetings review new infections and emergent issues. Service meetings discuss relevant policy and document changes, relevant education, data and analysis and audits, and any concerns. The village IPAS committee consists of village manager, clinical manager, resident service manager (who looks after </w:t>
            </w:r>
            <w:r w:rsidRPr="00BE00C7">
              <w:rPr>
                <w:rFonts w:cs="Arial"/>
                <w:lang w:eastAsia="en-NZ"/>
              </w:rPr>
              <w:lastRenderedPageBreak/>
              <w:t>laundry and housekeeping), RNs, and unit coordinators.</w:t>
            </w:r>
          </w:p>
          <w:p w14:paraId="30E09C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infection control specialist. On interview, staff were familiar with infection prevention practices and confirmed ongoing training and annual competencies for hand hygiene and correct use of personal protective clothing. The infection control audit monitors the effectiveness of education and infection control practices. The IPCL has input into the procurement of consumables and personal protective equipment (PPE). Sufficient IP resources, including PPE, were sighted and these are regularly checked against expiry dates. There are resources readily accessible to support the pandemic plan and outbreak management plan. Staff interviewed demonstrated knowledge on the requirements of standard precautions and were able to locate policies and procedures. The IPCL conducts spot audits on hand hygiene practices six-monthly. The service has infection prevention information and hand hygiene posters in te reo Māori. </w:t>
            </w:r>
          </w:p>
          <w:p w14:paraId="33E147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stated they work with Māori residents, in partnership with them and their whānau, for the protection of culturally safe practices in infection prevention, acknowledging the spirit of Te Tiriti o Waitangi.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control specialist would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strategically placed around the facility near point of care. Handbasins all have flowing soap and paper towels.</w:t>
            </w:r>
          </w:p>
          <w:p w14:paraId="648960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four (2024 – 2 and 2025 – 2) outbreaks (Covid 19 and Gastroenteritis both years) since the previous audit, which were managed well and appropriately reported.</w:t>
            </w:r>
          </w:p>
          <w:p w14:paraId="0556FF1F" w14:textId="77777777" w:rsidR="00000000" w:rsidRPr="00BE00C7" w:rsidRDefault="00000000" w:rsidP="00BE00C7">
            <w:pPr>
              <w:pStyle w:val="OutcomeDescription"/>
              <w:spacing w:before="120" w:after="120"/>
              <w:rPr>
                <w:rFonts w:cs="Arial"/>
                <w:lang w:eastAsia="en-NZ"/>
              </w:rPr>
            </w:pPr>
          </w:p>
        </w:tc>
      </w:tr>
      <w:tr w:rsidR="006D2F7E" w14:paraId="3028F84D" w14:textId="77777777">
        <w:tc>
          <w:tcPr>
            <w:tcW w:w="0" w:type="auto"/>
          </w:tcPr>
          <w:p w14:paraId="2F8D59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CB0E2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8F4844E" w14:textId="77777777" w:rsidR="00000000" w:rsidRPr="00BE00C7" w:rsidRDefault="00000000" w:rsidP="00BE00C7">
            <w:pPr>
              <w:pStyle w:val="OutcomeDescription"/>
              <w:spacing w:before="120" w:after="120"/>
              <w:rPr>
                <w:rFonts w:cs="Arial"/>
                <w:lang w:eastAsia="en-NZ"/>
              </w:rPr>
            </w:pPr>
          </w:p>
        </w:tc>
        <w:tc>
          <w:tcPr>
            <w:tcW w:w="0" w:type="auto"/>
          </w:tcPr>
          <w:p w14:paraId="278451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26E3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infection control specialist and approved by the clinical governance committee. The Village IPAS Committee reports to the IPAS Operational Team, which in turn reports to the IPAS Advisory Committee, who report to the clinical governance committee (advisory to the Chief Executive Officer (CEO) and Ryman Healthcare Board of Directors).</w:t>
            </w:r>
          </w:p>
          <w:p w14:paraId="6100D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Responsible use of antimicrobials is promoted. The Ryman Medication advisory committee (MAC) works in collaboration with the Villages’ IPCL, infection control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infection control specialist and general practitioners.</w:t>
            </w:r>
          </w:p>
          <w:p w14:paraId="77F94069" w14:textId="77777777" w:rsidR="00000000" w:rsidRPr="00BE00C7" w:rsidRDefault="00000000" w:rsidP="00BE00C7">
            <w:pPr>
              <w:pStyle w:val="OutcomeDescription"/>
              <w:spacing w:before="120" w:after="120"/>
              <w:rPr>
                <w:rFonts w:cs="Arial"/>
                <w:lang w:eastAsia="en-NZ"/>
              </w:rPr>
            </w:pPr>
          </w:p>
        </w:tc>
      </w:tr>
      <w:tr w:rsidR="006D2F7E" w14:paraId="7B892841" w14:textId="77777777">
        <w:tc>
          <w:tcPr>
            <w:tcW w:w="0" w:type="auto"/>
          </w:tcPr>
          <w:p w14:paraId="2ECA7B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DFED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A83048" w14:textId="77777777" w:rsidR="00000000" w:rsidRPr="00BE00C7" w:rsidRDefault="00000000" w:rsidP="00BE00C7">
            <w:pPr>
              <w:pStyle w:val="OutcomeDescription"/>
              <w:spacing w:before="120" w:after="120"/>
              <w:rPr>
                <w:rFonts w:cs="Arial"/>
                <w:lang w:eastAsia="en-NZ"/>
              </w:rPr>
            </w:pPr>
          </w:p>
        </w:tc>
        <w:tc>
          <w:tcPr>
            <w:tcW w:w="0" w:type="auto"/>
          </w:tcPr>
          <w:p w14:paraId="1C5104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BA9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051EB7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two-monthly infection control committee meeting and staff meetings. Infection surveillance data is reported to the governance body through clinical indicators </w:t>
            </w:r>
            <w:r w:rsidRPr="00BE00C7">
              <w:rPr>
                <w:rFonts w:cs="Arial"/>
                <w:lang w:eastAsia="en-NZ"/>
              </w:rPr>
              <w:lastRenderedPageBreak/>
              <w:t>reports. The service incorporates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06729E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specialist described the outbreak management plan in place to manage previous Covid-19, and gastrointestinal outbreaks within the facility. Outbreak management plans and post outbreak meetings were sighted for the outbreak of Covid-19 and the gastrointestinal outbreak. These included notifying Public Health and completion of daily case logs, notifying family/whānau, increased monitoring of residents, cleaning, catering, laundry, waste disposal, recovery, communication, and a summary of the successfulness of the response.</w:t>
            </w:r>
          </w:p>
          <w:p w14:paraId="7624C43C" w14:textId="77777777" w:rsidR="00000000" w:rsidRPr="00BE00C7" w:rsidRDefault="00000000" w:rsidP="00BE00C7">
            <w:pPr>
              <w:pStyle w:val="OutcomeDescription"/>
              <w:spacing w:before="120" w:after="120"/>
              <w:rPr>
                <w:rFonts w:cs="Arial"/>
                <w:lang w:eastAsia="en-NZ"/>
              </w:rPr>
            </w:pPr>
          </w:p>
        </w:tc>
      </w:tr>
      <w:tr w:rsidR="006D2F7E" w14:paraId="080E57FA" w14:textId="77777777">
        <w:tc>
          <w:tcPr>
            <w:tcW w:w="0" w:type="auto"/>
          </w:tcPr>
          <w:p w14:paraId="57DA4C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CB7E9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673C500" w14:textId="77777777" w:rsidR="00000000" w:rsidRPr="00BE00C7" w:rsidRDefault="00000000" w:rsidP="00BE00C7">
            <w:pPr>
              <w:pStyle w:val="OutcomeDescription"/>
              <w:spacing w:before="120" w:after="120"/>
              <w:rPr>
                <w:rFonts w:cs="Arial"/>
                <w:lang w:eastAsia="en-NZ"/>
              </w:rPr>
            </w:pPr>
          </w:p>
        </w:tc>
        <w:tc>
          <w:tcPr>
            <w:tcW w:w="0" w:type="auto"/>
          </w:tcPr>
          <w:p w14:paraId="02597C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166CB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on each unit when not in use. Safety data sheets and product sheets were available. Sharps containers were available and met the hazardous substances regulations for containers. Gloves, aprons, and masks were available for staff, and they were observed to be wearing these, as they performed their duties on the days of audit. Eye protection wear and other PPE were available. There is a sluice room in each unit and a sanitiser with stainless steel bench and separate handwashing facilities. Staff have completed chemical safety training. Cleaning and laundry services are monitored through the internal auditing system, and resident and family/whānau feedback.</w:t>
            </w:r>
          </w:p>
          <w:p w14:paraId="7D5670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at least two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The washing machines and dryers are checked and </w:t>
            </w:r>
            <w:r w:rsidRPr="00BE00C7">
              <w:rPr>
                <w:rFonts w:cs="Arial"/>
                <w:lang w:eastAsia="en-NZ"/>
              </w:rPr>
              <w:lastRenderedPageBreak/>
              <w:t xml:space="preserve">serviced regularly. </w:t>
            </w:r>
          </w:p>
          <w:p w14:paraId="78249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lead oversees the implementation of the cleaning and laundry audits.</w:t>
            </w:r>
          </w:p>
          <w:p w14:paraId="2DED6A28" w14:textId="77777777" w:rsidR="00000000" w:rsidRPr="00BE00C7" w:rsidRDefault="00000000" w:rsidP="00BE00C7">
            <w:pPr>
              <w:pStyle w:val="OutcomeDescription"/>
              <w:spacing w:before="120" w:after="120"/>
              <w:rPr>
                <w:rFonts w:cs="Arial"/>
                <w:lang w:eastAsia="en-NZ"/>
              </w:rPr>
            </w:pPr>
          </w:p>
        </w:tc>
      </w:tr>
      <w:tr w:rsidR="006D2F7E" w14:paraId="754E488C" w14:textId="77777777">
        <w:tc>
          <w:tcPr>
            <w:tcW w:w="0" w:type="auto"/>
          </w:tcPr>
          <w:p w14:paraId="2951C4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0E567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D230F8" w14:textId="77777777" w:rsidR="00000000" w:rsidRPr="00BE00C7" w:rsidRDefault="00000000" w:rsidP="00BE00C7">
            <w:pPr>
              <w:pStyle w:val="OutcomeDescription"/>
              <w:spacing w:before="120" w:after="120"/>
              <w:rPr>
                <w:rFonts w:cs="Arial"/>
                <w:lang w:eastAsia="en-NZ"/>
              </w:rPr>
            </w:pPr>
          </w:p>
        </w:tc>
        <w:tc>
          <w:tcPr>
            <w:tcW w:w="0" w:type="auto"/>
          </w:tcPr>
          <w:p w14:paraId="09AD63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CD0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the organisations commitment to restraint minimisation. Staff are guided to practising in a manner that ensures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there were no residents using restraints. The facility has been restraint free since August 2024. </w:t>
            </w:r>
          </w:p>
          <w:p w14:paraId="636A06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coordinators, who are four registered nurses (representative of different shifts and areas of the facility), confirmed that the service is committed to providing care to residents without use of restraint and will only consider restraint as a last resort, when all alternatives have been trialled. The service has managed to maintain a restraint-free environment through ongoing staff education; liaising with the activity coordinators for resident engagement in activities; discussions with residents and family/whānau on admission, and as needed during the multi-disciplinary team meetings; and discussions of alternatives with staff during meetings, including strategies to manage distressed behaviours and interventions to reduce falls. </w:t>
            </w:r>
          </w:p>
          <w:p w14:paraId="758B4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(if any) would be reported in the clinical, quality meetings, and in a monthly restraint summary, which is shared with Ryman support office. A restraint approval committee meets six-monthly to review any restraint events, policy and procedure updates, and training. Maintaining a restraint-free environment and managing distressed behaviour and associated risks is included as part of the mandatory training plan and orientation programme.</w:t>
            </w:r>
          </w:p>
          <w:p w14:paraId="7BBC08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Seclusion is not used. </w:t>
            </w:r>
          </w:p>
          <w:p w14:paraId="77A44DEC" w14:textId="77777777" w:rsidR="00000000" w:rsidRPr="00BE00C7" w:rsidRDefault="00000000" w:rsidP="00BE00C7">
            <w:pPr>
              <w:pStyle w:val="OutcomeDescription"/>
              <w:spacing w:before="120" w:after="120"/>
              <w:rPr>
                <w:rFonts w:cs="Arial"/>
                <w:lang w:eastAsia="en-NZ"/>
              </w:rPr>
            </w:pPr>
          </w:p>
        </w:tc>
      </w:tr>
    </w:tbl>
    <w:p w14:paraId="57421FC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EC97441" w14:textId="77777777" w:rsidR="00000000" w:rsidRDefault="00000000">
      <w:pPr>
        <w:pStyle w:val="Heading1"/>
        <w:rPr>
          <w:rFonts w:cs="Arial"/>
        </w:rPr>
      </w:pPr>
      <w:r>
        <w:rPr>
          <w:rFonts w:cs="Arial"/>
        </w:rPr>
        <w:lastRenderedPageBreak/>
        <w:t>Specific results for criterion where corrective actions are required</w:t>
      </w:r>
    </w:p>
    <w:p w14:paraId="317D91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9350BE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15AAB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D2F7E" w14:paraId="05EAB0EC" w14:textId="77777777">
        <w:tc>
          <w:tcPr>
            <w:tcW w:w="0" w:type="auto"/>
          </w:tcPr>
          <w:p w14:paraId="3143824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92054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7E07F4E" w14:textId="77777777" w:rsidR="00000000" w:rsidRDefault="00000000">
      <w:pPr>
        <w:pStyle w:val="Heading1"/>
        <w:rPr>
          <w:rFonts w:cs="Arial"/>
        </w:rPr>
      </w:pPr>
      <w:r>
        <w:rPr>
          <w:rFonts w:cs="Arial"/>
        </w:rPr>
        <w:lastRenderedPageBreak/>
        <w:t>Specific results for criterion where a continuous improvement has been recorded</w:t>
      </w:r>
    </w:p>
    <w:p w14:paraId="5A80B45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945C9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B173B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D2F7E" w14:paraId="397F8EDC" w14:textId="77777777">
        <w:tc>
          <w:tcPr>
            <w:tcW w:w="0" w:type="auto"/>
          </w:tcPr>
          <w:p w14:paraId="36B0D8F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986AA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B41907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F871" w14:textId="77777777" w:rsidR="005E4293" w:rsidRDefault="005E4293">
      <w:r>
        <w:separator/>
      </w:r>
    </w:p>
  </w:endnote>
  <w:endnote w:type="continuationSeparator" w:id="0">
    <w:p w14:paraId="53D1438E" w14:textId="77777777" w:rsidR="005E4293" w:rsidRDefault="005E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E423" w14:textId="77777777" w:rsidR="00000000" w:rsidRDefault="00000000">
    <w:pPr>
      <w:pStyle w:val="Footer"/>
    </w:pPr>
  </w:p>
  <w:p w14:paraId="3756E3DD" w14:textId="77777777" w:rsidR="00000000" w:rsidRDefault="00000000"/>
  <w:p w14:paraId="1B70644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72D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Anthony Wilding Retirement Village Limited - Anthony Wilding Retirement Village</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F56F9D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D33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5950" w14:textId="77777777" w:rsidR="005E4293" w:rsidRDefault="005E4293">
      <w:r>
        <w:separator/>
      </w:r>
    </w:p>
  </w:footnote>
  <w:footnote w:type="continuationSeparator" w:id="0">
    <w:p w14:paraId="454248A4" w14:textId="77777777" w:rsidR="005E4293" w:rsidRDefault="005E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9132" w14:textId="77777777" w:rsidR="00000000" w:rsidRDefault="00000000">
    <w:pPr>
      <w:pStyle w:val="Header"/>
    </w:pPr>
  </w:p>
  <w:p w14:paraId="30A70C0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1962" w14:textId="77777777" w:rsidR="00000000" w:rsidRDefault="00000000">
    <w:pPr>
      <w:pStyle w:val="Header"/>
    </w:pPr>
  </w:p>
  <w:p w14:paraId="27318FA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502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578A300">
      <w:start w:val="1"/>
      <w:numFmt w:val="decimal"/>
      <w:lvlText w:val="%1."/>
      <w:lvlJc w:val="left"/>
      <w:pPr>
        <w:ind w:left="360" w:hanging="360"/>
      </w:pPr>
    </w:lvl>
    <w:lvl w:ilvl="1" w:tplc="EA6E067A" w:tentative="1">
      <w:start w:val="1"/>
      <w:numFmt w:val="lowerLetter"/>
      <w:lvlText w:val="%2."/>
      <w:lvlJc w:val="left"/>
      <w:pPr>
        <w:ind w:left="1080" w:hanging="360"/>
      </w:pPr>
    </w:lvl>
    <w:lvl w:ilvl="2" w:tplc="B37AE97E" w:tentative="1">
      <w:start w:val="1"/>
      <w:numFmt w:val="lowerRoman"/>
      <w:lvlText w:val="%3."/>
      <w:lvlJc w:val="right"/>
      <w:pPr>
        <w:ind w:left="1800" w:hanging="180"/>
      </w:pPr>
    </w:lvl>
    <w:lvl w:ilvl="3" w:tplc="1FAEA5B4" w:tentative="1">
      <w:start w:val="1"/>
      <w:numFmt w:val="decimal"/>
      <w:lvlText w:val="%4."/>
      <w:lvlJc w:val="left"/>
      <w:pPr>
        <w:ind w:left="2520" w:hanging="360"/>
      </w:pPr>
    </w:lvl>
    <w:lvl w:ilvl="4" w:tplc="80AE134A" w:tentative="1">
      <w:start w:val="1"/>
      <w:numFmt w:val="lowerLetter"/>
      <w:lvlText w:val="%5."/>
      <w:lvlJc w:val="left"/>
      <w:pPr>
        <w:ind w:left="3240" w:hanging="360"/>
      </w:pPr>
    </w:lvl>
    <w:lvl w:ilvl="5" w:tplc="3D24FA6C" w:tentative="1">
      <w:start w:val="1"/>
      <w:numFmt w:val="lowerRoman"/>
      <w:lvlText w:val="%6."/>
      <w:lvlJc w:val="right"/>
      <w:pPr>
        <w:ind w:left="3960" w:hanging="180"/>
      </w:pPr>
    </w:lvl>
    <w:lvl w:ilvl="6" w:tplc="C92C32BA" w:tentative="1">
      <w:start w:val="1"/>
      <w:numFmt w:val="decimal"/>
      <w:lvlText w:val="%7."/>
      <w:lvlJc w:val="left"/>
      <w:pPr>
        <w:ind w:left="4680" w:hanging="360"/>
      </w:pPr>
    </w:lvl>
    <w:lvl w:ilvl="7" w:tplc="60D6865C" w:tentative="1">
      <w:start w:val="1"/>
      <w:numFmt w:val="lowerLetter"/>
      <w:lvlText w:val="%8."/>
      <w:lvlJc w:val="left"/>
      <w:pPr>
        <w:ind w:left="5400" w:hanging="360"/>
      </w:pPr>
    </w:lvl>
    <w:lvl w:ilvl="8" w:tplc="0E4E03A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C8AB3F6">
      <w:start w:val="1"/>
      <w:numFmt w:val="bullet"/>
      <w:lvlText w:val=""/>
      <w:lvlJc w:val="left"/>
      <w:pPr>
        <w:ind w:left="720" w:hanging="360"/>
      </w:pPr>
      <w:rPr>
        <w:rFonts w:ascii="Symbol" w:hAnsi="Symbol" w:hint="default"/>
      </w:rPr>
    </w:lvl>
    <w:lvl w:ilvl="1" w:tplc="779E6C02" w:tentative="1">
      <w:start w:val="1"/>
      <w:numFmt w:val="bullet"/>
      <w:lvlText w:val="o"/>
      <w:lvlJc w:val="left"/>
      <w:pPr>
        <w:ind w:left="1440" w:hanging="360"/>
      </w:pPr>
      <w:rPr>
        <w:rFonts w:ascii="Courier New" w:hAnsi="Courier New" w:cs="Courier New" w:hint="default"/>
      </w:rPr>
    </w:lvl>
    <w:lvl w:ilvl="2" w:tplc="07DE3554" w:tentative="1">
      <w:start w:val="1"/>
      <w:numFmt w:val="bullet"/>
      <w:lvlText w:val=""/>
      <w:lvlJc w:val="left"/>
      <w:pPr>
        <w:ind w:left="2160" w:hanging="360"/>
      </w:pPr>
      <w:rPr>
        <w:rFonts w:ascii="Wingdings" w:hAnsi="Wingdings" w:hint="default"/>
      </w:rPr>
    </w:lvl>
    <w:lvl w:ilvl="3" w:tplc="6108C69A" w:tentative="1">
      <w:start w:val="1"/>
      <w:numFmt w:val="bullet"/>
      <w:lvlText w:val=""/>
      <w:lvlJc w:val="left"/>
      <w:pPr>
        <w:ind w:left="2880" w:hanging="360"/>
      </w:pPr>
      <w:rPr>
        <w:rFonts w:ascii="Symbol" w:hAnsi="Symbol" w:hint="default"/>
      </w:rPr>
    </w:lvl>
    <w:lvl w:ilvl="4" w:tplc="88CC6570" w:tentative="1">
      <w:start w:val="1"/>
      <w:numFmt w:val="bullet"/>
      <w:lvlText w:val="o"/>
      <w:lvlJc w:val="left"/>
      <w:pPr>
        <w:ind w:left="3600" w:hanging="360"/>
      </w:pPr>
      <w:rPr>
        <w:rFonts w:ascii="Courier New" w:hAnsi="Courier New" w:cs="Courier New" w:hint="default"/>
      </w:rPr>
    </w:lvl>
    <w:lvl w:ilvl="5" w:tplc="F50C6AEE" w:tentative="1">
      <w:start w:val="1"/>
      <w:numFmt w:val="bullet"/>
      <w:lvlText w:val=""/>
      <w:lvlJc w:val="left"/>
      <w:pPr>
        <w:ind w:left="4320" w:hanging="360"/>
      </w:pPr>
      <w:rPr>
        <w:rFonts w:ascii="Wingdings" w:hAnsi="Wingdings" w:hint="default"/>
      </w:rPr>
    </w:lvl>
    <w:lvl w:ilvl="6" w:tplc="85FC9628" w:tentative="1">
      <w:start w:val="1"/>
      <w:numFmt w:val="bullet"/>
      <w:lvlText w:val=""/>
      <w:lvlJc w:val="left"/>
      <w:pPr>
        <w:ind w:left="5040" w:hanging="360"/>
      </w:pPr>
      <w:rPr>
        <w:rFonts w:ascii="Symbol" w:hAnsi="Symbol" w:hint="default"/>
      </w:rPr>
    </w:lvl>
    <w:lvl w:ilvl="7" w:tplc="FF74AF76" w:tentative="1">
      <w:start w:val="1"/>
      <w:numFmt w:val="bullet"/>
      <w:lvlText w:val="o"/>
      <w:lvlJc w:val="left"/>
      <w:pPr>
        <w:ind w:left="5760" w:hanging="360"/>
      </w:pPr>
      <w:rPr>
        <w:rFonts w:ascii="Courier New" w:hAnsi="Courier New" w:cs="Courier New" w:hint="default"/>
      </w:rPr>
    </w:lvl>
    <w:lvl w:ilvl="8" w:tplc="B44C6EDC" w:tentative="1">
      <w:start w:val="1"/>
      <w:numFmt w:val="bullet"/>
      <w:lvlText w:val=""/>
      <w:lvlJc w:val="left"/>
      <w:pPr>
        <w:ind w:left="6480" w:hanging="360"/>
      </w:pPr>
      <w:rPr>
        <w:rFonts w:ascii="Wingdings" w:hAnsi="Wingdings" w:hint="default"/>
      </w:rPr>
    </w:lvl>
  </w:abstractNum>
  <w:num w:numId="1" w16cid:durableId="1859126091">
    <w:abstractNumId w:val="1"/>
  </w:num>
  <w:num w:numId="2" w16cid:durableId="185187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F7E"/>
    <w:rsid w:val="00062104"/>
    <w:rsid w:val="001F31C5"/>
    <w:rsid w:val="005E4293"/>
    <w:rsid w:val="006D2F7E"/>
    <w:rsid w:val="00B85C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7B53"/>
  <w15:docId w15:val="{621AE873-110F-4348-A174-56C91998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15853</Words>
  <Characters>90367</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2025-11-25T00:00:00Z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