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1D490" w14:textId="77777777" w:rsidR="004A2E70" w:rsidRDefault="004A2E70">
      <w:pPr>
        <w:pStyle w:val="Heading1"/>
        <w:rPr>
          <w:rFonts w:cs="Arial"/>
        </w:rPr>
      </w:pPr>
      <w:bookmarkStart w:id="0" w:name="PRMS_RIName"/>
      <w:r>
        <w:rPr>
          <w:rFonts w:cs="Arial"/>
        </w:rPr>
        <w:t>Selwyn Care Limited - Sarah Selwyn</w:t>
      </w:r>
      <w:bookmarkEnd w:id="0"/>
    </w:p>
    <w:p w14:paraId="58B4815D" w14:textId="77777777" w:rsidR="004A2E70" w:rsidRDefault="004A2E70">
      <w:pPr>
        <w:pStyle w:val="Heading2"/>
        <w:spacing w:after="0"/>
        <w:rPr>
          <w:rFonts w:cs="Arial"/>
        </w:rPr>
      </w:pPr>
      <w:r>
        <w:rPr>
          <w:rFonts w:cs="Arial"/>
        </w:rPr>
        <w:t>Introduction</w:t>
      </w:r>
    </w:p>
    <w:p w14:paraId="1FD3A521" w14:textId="77777777" w:rsidR="004A2E70" w:rsidRDefault="004A2E7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5729C63" w14:textId="77777777" w:rsidR="004A2E70" w:rsidRDefault="004A2E7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8E63AAF" w14:textId="77777777" w:rsidR="004A2E70" w:rsidRDefault="004A2E7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36638AB" w14:textId="77777777" w:rsidR="004A2E70" w:rsidRDefault="004A2E7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398E3F1" w14:textId="77777777" w:rsidR="004A2E70" w:rsidRDefault="004A2E70">
      <w:pPr>
        <w:spacing w:before="240" w:after="240"/>
        <w:rPr>
          <w:rFonts w:cs="Arial"/>
          <w:lang w:eastAsia="en-NZ"/>
        </w:rPr>
      </w:pPr>
      <w:r>
        <w:rPr>
          <w:rFonts w:cs="Arial"/>
          <w:lang w:eastAsia="en-NZ"/>
        </w:rPr>
        <w:t>The specifics of this audit included:</w:t>
      </w:r>
    </w:p>
    <w:p w14:paraId="7B6D7CFF" w14:textId="77777777" w:rsidR="004A2E70" w:rsidRPr="009D18F5" w:rsidRDefault="004A2E70" w:rsidP="009D18F5">
      <w:pPr>
        <w:pBdr>
          <w:top w:val="single" w:sz="4" w:space="1" w:color="auto"/>
          <w:left w:val="single" w:sz="4" w:space="4" w:color="auto"/>
          <w:bottom w:val="single" w:sz="4" w:space="1" w:color="auto"/>
          <w:right w:val="single" w:sz="4" w:space="4" w:color="auto"/>
        </w:pBdr>
        <w:rPr>
          <w:rFonts w:cs="Arial"/>
        </w:rPr>
      </w:pPr>
    </w:p>
    <w:p w14:paraId="32614AC8" w14:textId="77777777" w:rsidR="004A2E70" w:rsidRPr="009418D4" w:rsidRDefault="004A2E7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Selwyn Care Limited</w:t>
      </w:r>
      <w:bookmarkEnd w:id="4"/>
    </w:p>
    <w:p w14:paraId="597EB624" w14:textId="77777777" w:rsidR="004A2E70" w:rsidRPr="009418D4" w:rsidRDefault="004A2E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Sarah</w:t>
      </w:r>
      <w:r>
        <w:rPr>
          <w:rFonts w:cs="Arial"/>
        </w:rPr>
        <w:t xml:space="preserve"> Selwyn</w:t>
      </w:r>
      <w:bookmarkEnd w:id="5"/>
    </w:p>
    <w:p w14:paraId="6D1E7AF6" w14:textId="77777777" w:rsidR="004A2E70" w:rsidRPr="009418D4" w:rsidRDefault="004A2E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560212F" w14:textId="77777777" w:rsidR="004A2E70" w:rsidRPr="009418D4" w:rsidRDefault="004A2E7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16 October 2025</w:t>
      </w:r>
      <w:bookmarkEnd w:id="7"/>
      <w:r w:rsidRPr="009418D4">
        <w:rPr>
          <w:rFonts w:cs="Arial"/>
        </w:rPr>
        <w:tab/>
        <w:t xml:space="preserve">End date: </w:t>
      </w:r>
      <w:bookmarkStart w:id="8" w:name="AuditEndDate"/>
      <w:r>
        <w:rPr>
          <w:rFonts w:cs="Arial"/>
        </w:rPr>
        <w:t>17 October 2025</w:t>
      </w:r>
      <w:bookmarkEnd w:id="8"/>
    </w:p>
    <w:p w14:paraId="13E5DE9F" w14:textId="77777777" w:rsidR="004A2E70" w:rsidRPr="009418D4" w:rsidRDefault="004A2E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bookmarkEnd w:id="9"/>
    <w:p w14:paraId="749A255E" w14:textId="77777777" w:rsidR="006E75C6" w:rsidRPr="009418D4" w:rsidRDefault="004A2E7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14:paraId="58987C69" w14:textId="77777777" w:rsidR="004A2E70" w:rsidRDefault="004A2E70" w:rsidP="009D18F5">
      <w:pPr>
        <w:pBdr>
          <w:top w:val="single" w:sz="4" w:space="1" w:color="auto"/>
          <w:left w:val="single" w:sz="4" w:space="4" w:color="auto"/>
          <w:bottom w:val="single" w:sz="4" w:space="1" w:color="auto"/>
          <w:right w:val="single" w:sz="4" w:space="4" w:color="auto"/>
        </w:pBdr>
        <w:rPr>
          <w:rFonts w:cs="Arial"/>
          <w:lang w:eastAsia="en-NZ"/>
        </w:rPr>
      </w:pPr>
    </w:p>
    <w:p w14:paraId="6CE9AC52" w14:textId="77777777" w:rsidR="004A2E70" w:rsidRDefault="004A2E70">
      <w:pPr>
        <w:pStyle w:val="Heading1"/>
        <w:rPr>
          <w:rFonts w:cs="Arial"/>
        </w:rPr>
      </w:pPr>
      <w:r>
        <w:rPr>
          <w:rFonts w:cs="Arial"/>
        </w:rPr>
        <w:lastRenderedPageBreak/>
        <w:t>Executive summary of the audit</w:t>
      </w:r>
    </w:p>
    <w:p w14:paraId="5B84C05F" w14:textId="77777777" w:rsidR="004A2E70" w:rsidRDefault="004A2E70">
      <w:pPr>
        <w:pStyle w:val="Heading2"/>
        <w:rPr>
          <w:rFonts w:cs="Arial"/>
        </w:rPr>
      </w:pPr>
      <w:r>
        <w:rPr>
          <w:rFonts w:cs="Arial"/>
        </w:rPr>
        <w:t>Introduction</w:t>
      </w:r>
    </w:p>
    <w:p w14:paraId="0ED4DCA6" w14:textId="77777777" w:rsidR="004A2E70" w:rsidRDefault="004A2E7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218182" w14:textId="77777777" w:rsidR="004A2E70" w:rsidRDefault="004A2E7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B720A5A" w14:textId="77777777" w:rsidR="004A2E70" w:rsidRDefault="004A2E7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1040C63" w14:textId="77777777" w:rsidR="004A2E70" w:rsidRDefault="004A2E7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735C2F2B" w14:textId="77777777" w:rsidR="004A2E70" w:rsidRDefault="004A2E7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28A7278" w14:textId="77777777" w:rsidR="004A2E70" w:rsidRDefault="004A2E7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456242A" w14:textId="77777777" w:rsidR="004A2E70" w:rsidRDefault="004A2E70"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77B60611" w14:textId="77777777" w:rsidR="004A2E70" w:rsidRDefault="004A2E7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D13BDD4" w14:textId="77777777" w:rsidR="004A2E70" w:rsidRDefault="004A2E7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6E75C6" w14:paraId="163F8225" w14:textId="77777777">
        <w:trPr>
          <w:cantSplit/>
          <w:tblHeader/>
        </w:trPr>
        <w:tc>
          <w:tcPr>
            <w:tcW w:w="1260" w:type="dxa"/>
            <w:tcBorders>
              <w:bottom w:val="single" w:sz="4" w:space="0" w:color="000000"/>
            </w:tcBorders>
            <w:vAlign w:val="center"/>
          </w:tcPr>
          <w:p w14:paraId="1966270A" w14:textId="77777777" w:rsidR="004A2E70" w:rsidRDefault="004A2E7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EF466DF" w14:textId="77777777" w:rsidR="004A2E70" w:rsidRDefault="004A2E7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11B7AB7" w14:textId="77777777" w:rsidR="004A2E70" w:rsidRDefault="004A2E70">
            <w:pPr>
              <w:spacing w:before="60" w:after="60"/>
              <w:rPr>
                <w:rFonts w:eastAsia="Calibri"/>
                <w:b/>
                <w:szCs w:val="24"/>
              </w:rPr>
            </w:pPr>
            <w:r>
              <w:rPr>
                <w:rFonts w:eastAsia="Calibri"/>
                <w:b/>
                <w:szCs w:val="24"/>
              </w:rPr>
              <w:t>Definition</w:t>
            </w:r>
          </w:p>
        </w:tc>
      </w:tr>
      <w:tr w:rsidR="006E75C6" w14:paraId="390820AD" w14:textId="77777777">
        <w:trPr>
          <w:cantSplit/>
          <w:trHeight w:val="964"/>
        </w:trPr>
        <w:tc>
          <w:tcPr>
            <w:tcW w:w="1260" w:type="dxa"/>
            <w:tcBorders>
              <w:bottom w:val="single" w:sz="4" w:space="0" w:color="000000"/>
            </w:tcBorders>
            <w:shd w:val="clear" w:color="0066FF" w:fill="0000FF"/>
            <w:vAlign w:val="center"/>
          </w:tcPr>
          <w:p w14:paraId="1D7079BF" w14:textId="77777777" w:rsidR="004A2E70" w:rsidRDefault="004A2E70">
            <w:pPr>
              <w:spacing w:before="60" w:after="60"/>
              <w:rPr>
                <w:rFonts w:eastAsia="Calibri"/>
                <w:szCs w:val="24"/>
              </w:rPr>
            </w:pPr>
          </w:p>
        </w:tc>
        <w:tc>
          <w:tcPr>
            <w:tcW w:w="7095" w:type="dxa"/>
            <w:tcBorders>
              <w:bottom w:val="single" w:sz="4" w:space="0" w:color="000000"/>
            </w:tcBorders>
            <w:shd w:val="clear" w:color="auto" w:fill="auto"/>
            <w:vAlign w:val="center"/>
          </w:tcPr>
          <w:p w14:paraId="7EFB4B1E" w14:textId="77777777" w:rsidR="004A2E70" w:rsidRDefault="004A2E7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97DC556" w14:textId="4DEC5848" w:rsidR="004A2E70" w:rsidRDefault="004A2E70">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6E75C6" w14:paraId="1BE8AF3C" w14:textId="77777777">
        <w:trPr>
          <w:cantSplit/>
          <w:trHeight w:val="964"/>
        </w:trPr>
        <w:tc>
          <w:tcPr>
            <w:tcW w:w="1260" w:type="dxa"/>
            <w:shd w:val="clear" w:color="33CC33" w:fill="00FF00"/>
            <w:vAlign w:val="center"/>
          </w:tcPr>
          <w:p w14:paraId="07DA5BAD" w14:textId="77777777" w:rsidR="004A2E70" w:rsidRDefault="004A2E70">
            <w:pPr>
              <w:spacing w:before="60" w:after="60"/>
              <w:rPr>
                <w:rFonts w:eastAsia="Calibri"/>
                <w:szCs w:val="24"/>
              </w:rPr>
            </w:pPr>
          </w:p>
        </w:tc>
        <w:tc>
          <w:tcPr>
            <w:tcW w:w="7095" w:type="dxa"/>
            <w:shd w:val="clear" w:color="auto" w:fill="auto"/>
            <w:vAlign w:val="center"/>
          </w:tcPr>
          <w:p w14:paraId="5EFBB29E" w14:textId="77777777" w:rsidR="004A2E70" w:rsidRDefault="004A2E7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9004F21" w14:textId="6A63FBC8" w:rsidR="004A2E70" w:rsidRDefault="004A2E70">
            <w:pPr>
              <w:spacing w:before="60" w:after="60"/>
              <w:ind w:left="50"/>
              <w:rPr>
                <w:rFonts w:eastAsia="Calibri"/>
                <w:szCs w:val="24"/>
              </w:rPr>
            </w:pPr>
            <w:r w:rsidRPr="00FB778F">
              <w:rPr>
                <w:rFonts w:eastAsia="Calibri"/>
                <w:szCs w:val="24"/>
              </w:rPr>
              <w:t xml:space="preserve">Subsections </w:t>
            </w:r>
            <w:r w:rsidRPr="00FB778F">
              <w:rPr>
                <w:rFonts w:eastAsia="Calibri"/>
                <w:szCs w:val="24"/>
              </w:rPr>
              <w:t xml:space="preserve">applicable to this service </w:t>
            </w:r>
            <w:r>
              <w:rPr>
                <w:rFonts w:eastAsia="Calibri"/>
                <w:szCs w:val="24"/>
              </w:rPr>
              <w:t xml:space="preserve">are </w:t>
            </w:r>
            <w:r w:rsidRPr="00FB778F">
              <w:rPr>
                <w:rFonts w:eastAsia="Calibri"/>
                <w:szCs w:val="24"/>
              </w:rPr>
              <w:t>fully attained</w:t>
            </w:r>
          </w:p>
        </w:tc>
      </w:tr>
      <w:tr w:rsidR="006E75C6" w14:paraId="55D6EE6D" w14:textId="77777777">
        <w:trPr>
          <w:cantSplit/>
          <w:trHeight w:val="964"/>
        </w:trPr>
        <w:tc>
          <w:tcPr>
            <w:tcW w:w="1260" w:type="dxa"/>
            <w:tcBorders>
              <w:bottom w:val="single" w:sz="4" w:space="0" w:color="000000"/>
            </w:tcBorders>
            <w:shd w:val="clear" w:color="auto" w:fill="FFFF00"/>
            <w:vAlign w:val="center"/>
          </w:tcPr>
          <w:p w14:paraId="48974938" w14:textId="77777777" w:rsidR="004A2E70" w:rsidRDefault="004A2E70">
            <w:pPr>
              <w:spacing w:before="60" w:after="60"/>
              <w:rPr>
                <w:rFonts w:eastAsia="Calibri"/>
                <w:szCs w:val="24"/>
              </w:rPr>
            </w:pPr>
          </w:p>
        </w:tc>
        <w:tc>
          <w:tcPr>
            <w:tcW w:w="7095" w:type="dxa"/>
            <w:shd w:val="clear" w:color="auto" w:fill="auto"/>
            <w:vAlign w:val="center"/>
          </w:tcPr>
          <w:p w14:paraId="6EE0BA90" w14:textId="77777777" w:rsidR="004A2E70" w:rsidRDefault="004A2E7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E62229E" w14:textId="105567C4" w:rsidR="004A2E70" w:rsidRDefault="004A2E70">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 xml:space="preserve">partially attained and of low </w:t>
            </w:r>
            <w:r w:rsidRPr="00FB778F">
              <w:rPr>
                <w:rFonts w:eastAsia="Calibri"/>
                <w:szCs w:val="24"/>
              </w:rPr>
              <w:t>risk</w:t>
            </w:r>
          </w:p>
        </w:tc>
      </w:tr>
      <w:tr w:rsidR="006E75C6" w14:paraId="3615CD71" w14:textId="77777777">
        <w:trPr>
          <w:cantSplit/>
          <w:trHeight w:val="964"/>
        </w:trPr>
        <w:tc>
          <w:tcPr>
            <w:tcW w:w="1260" w:type="dxa"/>
            <w:tcBorders>
              <w:bottom w:val="single" w:sz="4" w:space="0" w:color="000000"/>
            </w:tcBorders>
            <w:shd w:val="clear" w:color="auto" w:fill="FFC800"/>
            <w:vAlign w:val="center"/>
          </w:tcPr>
          <w:p w14:paraId="31859C12" w14:textId="77777777" w:rsidR="004A2E70" w:rsidRDefault="004A2E70">
            <w:pPr>
              <w:spacing w:before="60" w:after="60"/>
              <w:rPr>
                <w:rFonts w:eastAsia="Calibri"/>
                <w:szCs w:val="24"/>
              </w:rPr>
            </w:pPr>
          </w:p>
        </w:tc>
        <w:tc>
          <w:tcPr>
            <w:tcW w:w="7095" w:type="dxa"/>
            <w:tcBorders>
              <w:bottom w:val="single" w:sz="4" w:space="0" w:color="000000"/>
            </w:tcBorders>
            <w:shd w:val="clear" w:color="auto" w:fill="auto"/>
            <w:vAlign w:val="center"/>
          </w:tcPr>
          <w:p w14:paraId="6DC13B86" w14:textId="77777777" w:rsidR="004A2E70" w:rsidRDefault="004A2E7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9156D7B" w14:textId="71AAF06C" w:rsidR="004A2E70" w:rsidRDefault="004A2E70">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6E75C6" w14:paraId="294FC014" w14:textId="77777777">
        <w:trPr>
          <w:cantSplit/>
          <w:trHeight w:val="964"/>
        </w:trPr>
        <w:tc>
          <w:tcPr>
            <w:tcW w:w="1260" w:type="dxa"/>
            <w:shd w:val="clear" w:color="auto" w:fill="FF0000"/>
            <w:vAlign w:val="center"/>
          </w:tcPr>
          <w:p w14:paraId="7D774602" w14:textId="77777777" w:rsidR="004A2E70" w:rsidRDefault="004A2E70">
            <w:pPr>
              <w:spacing w:before="60" w:after="60"/>
              <w:rPr>
                <w:rFonts w:eastAsia="Calibri"/>
                <w:szCs w:val="24"/>
              </w:rPr>
            </w:pPr>
          </w:p>
        </w:tc>
        <w:tc>
          <w:tcPr>
            <w:tcW w:w="7095" w:type="dxa"/>
            <w:shd w:val="clear" w:color="auto" w:fill="auto"/>
            <w:vAlign w:val="center"/>
          </w:tcPr>
          <w:p w14:paraId="63C5B263" w14:textId="77777777" w:rsidR="004A2E70" w:rsidRDefault="004A2E7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2595CF4" w14:textId="44FCD1D3" w:rsidR="004A2E70" w:rsidRDefault="004A2E70">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73888505" w14:textId="77777777" w:rsidR="004A2E70" w:rsidRDefault="004A2E70">
      <w:pPr>
        <w:pStyle w:val="Heading2"/>
        <w:spacing w:after="0"/>
        <w:rPr>
          <w:rFonts w:cs="Arial"/>
        </w:rPr>
      </w:pPr>
      <w:r>
        <w:rPr>
          <w:rFonts w:cs="Arial"/>
        </w:rPr>
        <w:t>General overview of the audit</w:t>
      </w:r>
    </w:p>
    <w:p w14:paraId="57641524" w14:textId="77777777" w:rsidR="004A2E70" w:rsidRDefault="004A2E70">
      <w:pPr>
        <w:spacing w:before="240" w:line="276" w:lineRule="auto"/>
        <w:rPr>
          <w:rFonts w:eastAsia="Calibri"/>
        </w:rPr>
      </w:pPr>
      <w:bookmarkStart w:id="13" w:name="GeneralOverview"/>
      <w:r w:rsidRPr="00A4268A">
        <w:rPr>
          <w:rFonts w:eastAsia="Calibri"/>
        </w:rPr>
        <w:t xml:space="preserve">Selwyn Care Limited owns Sarah Selwyn, which provides care for up to 80 residents at hospital (geriatric and medical) and rest home level care. On the day of the audit, there were 78 residents. </w:t>
      </w:r>
    </w:p>
    <w:p w14:paraId="358BD787" w14:textId="77777777" w:rsidR="006E75C6" w:rsidRPr="00A4268A" w:rsidRDefault="004A2E70">
      <w:pPr>
        <w:spacing w:before="240" w:line="276" w:lineRule="auto"/>
        <w:rPr>
          <w:rFonts w:eastAsia="Calibri"/>
        </w:rPr>
      </w:pPr>
      <w:r w:rsidRPr="00A4268A">
        <w:rPr>
          <w:rFonts w:eastAsia="Calibri"/>
        </w:rPr>
        <w:t>Significant changes since the last audit included the creation of two Boards, namely one that governs care centres (Selwyn Care Limited), and the Selwyn Foundation Charitable Trust that governs other charitable activities of the organisation.</w:t>
      </w:r>
    </w:p>
    <w:p w14:paraId="50D81A87" w14:textId="77777777" w:rsidR="006E75C6" w:rsidRPr="00A4268A" w:rsidRDefault="004A2E70">
      <w:pPr>
        <w:spacing w:before="240" w:line="276" w:lineRule="auto"/>
        <w:rPr>
          <w:rFonts w:eastAsia="Calibri"/>
        </w:rPr>
      </w:pPr>
      <w:r w:rsidRPr="00A4268A">
        <w:rPr>
          <w:rFonts w:eastAsia="Calibri"/>
        </w:rPr>
        <w:t xml:space="preserve">The clinical manager is experienced and is supported by the Board of Trustees, clinical operations manager, and a team of experienced clinical and non-clinical staff. Interviews with residents, family/whānau and the general practitioner were all positive and complimented the management and staff for providing a resident-centred service for the community. </w:t>
      </w:r>
    </w:p>
    <w:p w14:paraId="0D7E87A2" w14:textId="77777777" w:rsidR="006E75C6" w:rsidRPr="00A4268A" w:rsidRDefault="004A2E70">
      <w:pPr>
        <w:spacing w:before="240" w:line="276" w:lineRule="auto"/>
        <w:rPr>
          <w:rFonts w:eastAsia="Calibri"/>
        </w:rPr>
      </w:pPr>
      <w:r w:rsidRPr="00A4268A">
        <w:rPr>
          <w:rFonts w:eastAsia="Calibri"/>
        </w:rPr>
        <w:t>This surveillance audit was conducted against a sub-section of Ngā Paerewa Health and Disability Services Standard 2021 and funding agreements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4A261C7B" w14:textId="77777777" w:rsidR="006E75C6" w:rsidRPr="00A4268A" w:rsidRDefault="004A2E70">
      <w:pPr>
        <w:spacing w:before="240" w:line="276" w:lineRule="auto"/>
        <w:rPr>
          <w:rFonts w:eastAsia="Calibri"/>
        </w:rPr>
      </w:pPr>
      <w:r w:rsidRPr="00A4268A">
        <w:rPr>
          <w:rFonts w:eastAsia="Calibri"/>
        </w:rPr>
        <w:t>There were no areas requiring improvement identified from the previous certification audit.</w:t>
      </w:r>
    </w:p>
    <w:p w14:paraId="331F713A" w14:textId="77777777" w:rsidR="006E75C6" w:rsidRPr="00A4268A" w:rsidRDefault="004A2E70">
      <w:pPr>
        <w:spacing w:before="240" w:line="276" w:lineRule="auto"/>
        <w:rPr>
          <w:rFonts w:eastAsia="Calibri"/>
        </w:rPr>
      </w:pPr>
      <w:r w:rsidRPr="00A4268A">
        <w:rPr>
          <w:rFonts w:eastAsia="Calibri"/>
        </w:rPr>
        <w:t xml:space="preserve">This audit identified no shortfalls. </w:t>
      </w:r>
    </w:p>
    <w:bookmarkEnd w:id="13"/>
    <w:p w14:paraId="5847900A" w14:textId="77777777" w:rsidR="006E75C6" w:rsidRPr="00A4268A" w:rsidRDefault="006E75C6">
      <w:pPr>
        <w:spacing w:before="240" w:line="276" w:lineRule="auto"/>
        <w:rPr>
          <w:rFonts w:eastAsia="Calibri"/>
        </w:rPr>
      </w:pPr>
    </w:p>
    <w:p w14:paraId="4C6DC4E5" w14:textId="77777777" w:rsidR="004A2E70" w:rsidRDefault="004A2E7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C6" w14:paraId="12C85DC9" w14:textId="77777777" w:rsidTr="00A4268A">
        <w:trPr>
          <w:cantSplit/>
        </w:trPr>
        <w:tc>
          <w:tcPr>
            <w:tcW w:w="10206" w:type="dxa"/>
            <w:vAlign w:val="center"/>
          </w:tcPr>
          <w:p w14:paraId="2A27694C" w14:textId="77777777" w:rsidR="004A2E70" w:rsidRPr="00FB778F" w:rsidRDefault="004A2E7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4FF55DC" w14:textId="77777777" w:rsidR="004A2E70" w:rsidRPr="00621629" w:rsidRDefault="004A2E7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28DBD2E" w14:textId="77777777" w:rsidR="004A2E70" w:rsidRPr="00621629" w:rsidRDefault="004A2E7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9F4289" w14:textId="5330952E" w:rsidR="004A2E70" w:rsidRPr="00621629" w:rsidRDefault="004A2E70" w:rsidP="008F3634">
            <w:pPr>
              <w:spacing w:before="60" w:after="60" w:line="276" w:lineRule="auto"/>
              <w:rPr>
                <w:rFonts w:eastAsia="Calibri"/>
              </w:rPr>
            </w:pPr>
            <w:bookmarkStart w:id="15" w:name="IndicatorDescription1_1"/>
            <w:bookmarkEnd w:id="15"/>
            <w:r>
              <w:t xml:space="preserve">Subsections applicable to this service are </w:t>
            </w:r>
            <w:r>
              <w:t xml:space="preserve">fully </w:t>
            </w:r>
            <w:r>
              <w:t>attained.</w:t>
            </w:r>
          </w:p>
        </w:tc>
      </w:tr>
    </w:tbl>
    <w:p w14:paraId="2BC29D98" w14:textId="77777777" w:rsidR="004A2E70" w:rsidRDefault="004A2E70">
      <w:pPr>
        <w:spacing w:before="240" w:line="276" w:lineRule="auto"/>
        <w:rPr>
          <w:rFonts w:eastAsia="Calibri"/>
        </w:rPr>
      </w:pPr>
      <w:bookmarkStart w:id="16" w:name="ConsumerRights"/>
      <w:r w:rsidRPr="00A4268A">
        <w:rPr>
          <w:rFonts w:eastAsia="Calibri"/>
        </w:rPr>
        <w:t xml:space="preserve">Sarah Selwyn provides an environment that supports resident rights. Staff demonstrated an understanding of residents' rights and Treaty obligations. There is a Māori health plan, and residents and staff state that culturally appropriate care is provided. </w:t>
      </w:r>
    </w:p>
    <w:p w14:paraId="6424A530" w14:textId="77777777" w:rsidR="006E75C6" w:rsidRPr="00A4268A" w:rsidRDefault="004A2E70">
      <w:pPr>
        <w:spacing w:before="240" w:line="276" w:lineRule="auto"/>
        <w:rPr>
          <w:rFonts w:eastAsia="Calibri"/>
        </w:rPr>
      </w:pPr>
      <w:r w:rsidRPr="00A4268A">
        <w:rPr>
          <w:rFonts w:eastAsia="Calibri"/>
        </w:rPr>
        <w:t xml:space="preserve">Residents receive services in a manner that considers their dignity, privacy, and independence. The management and staff provide services and support to people in a way that is inclusive and respects their identity and their experiences. The management and staff listen to and respect the voices of the residents and effectively communicate with them about their choices. Care plans accommodate the choices of residents and/or their family/whānau. </w:t>
      </w:r>
    </w:p>
    <w:p w14:paraId="6CE1FB86" w14:textId="77777777" w:rsidR="006E75C6" w:rsidRPr="00A4268A" w:rsidRDefault="004A2E7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 documented.</w:t>
      </w:r>
    </w:p>
    <w:bookmarkEnd w:id="16"/>
    <w:p w14:paraId="347B42C2" w14:textId="77777777" w:rsidR="006E75C6" w:rsidRPr="00A4268A" w:rsidRDefault="006E75C6">
      <w:pPr>
        <w:spacing w:before="240" w:line="276" w:lineRule="auto"/>
        <w:rPr>
          <w:rFonts w:eastAsia="Calibri"/>
        </w:rPr>
      </w:pPr>
    </w:p>
    <w:p w14:paraId="77BCE8B6" w14:textId="77777777" w:rsidR="004A2E70" w:rsidRDefault="004A2E7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C6" w14:paraId="1D7EAD6B" w14:textId="77777777" w:rsidTr="00A4268A">
        <w:trPr>
          <w:cantSplit/>
        </w:trPr>
        <w:tc>
          <w:tcPr>
            <w:tcW w:w="10206" w:type="dxa"/>
            <w:vAlign w:val="center"/>
          </w:tcPr>
          <w:p w14:paraId="25387EF6" w14:textId="77777777" w:rsidR="004A2E70" w:rsidRPr="00621629" w:rsidRDefault="004A2E7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36B6C20" w14:textId="77777777" w:rsidR="004A2E70" w:rsidRPr="00621629" w:rsidRDefault="004A2E7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B1FC969" w14:textId="760C37A8" w:rsidR="004A2E70" w:rsidRPr="00621629" w:rsidRDefault="004A2E70" w:rsidP="00621629">
            <w:pPr>
              <w:spacing w:before="60" w:after="60" w:line="276" w:lineRule="auto"/>
              <w:rPr>
                <w:rFonts w:eastAsia="Calibri"/>
              </w:rPr>
            </w:pPr>
            <w:bookmarkStart w:id="18" w:name="IndicatorDescription1_2"/>
            <w:bookmarkEnd w:id="18"/>
            <w:r>
              <w:t xml:space="preserve">Subsections applicable to this service are </w:t>
            </w:r>
            <w:r>
              <w:t>fully attained.</w:t>
            </w:r>
          </w:p>
        </w:tc>
      </w:tr>
    </w:tbl>
    <w:p w14:paraId="1FCFA768" w14:textId="77777777" w:rsidR="004A2E70" w:rsidRDefault="004A2E70">
      <w:pPr>
        <w:spacing w:before="240" w:line="276" w:lineRule="auto"/>
        <w:rPr>
          <w:rFonts w:eastAsia="Calibri"/>
        </w:rPr>
      </w:pPr>
      <w:bookmarkStart w:id="19" w:name="OrganisationalManagement"/>
      <w:r w:rsidRPr="00A4268A">
        <w:rPr>
          <w:rFonts w:eastAsia="Calibri"/>
        </w:rPr>
        <w:lastRenderedPageBreak/>
        <w:t xml:space="preserve">The quality and risk management systems are focused on quality service provision and care. The business plan includes a mission statement and outlines current objectives. There are quality and risk management processes that take a risk-based approach. Policies and procedures are current. </w:t>
      </w:r>
    </w:p>
    <w:p w14:paraId="7C5609D5" w14:textId="77777777" w:rsidR="006E75C6" w:rsidRPr="00A4268A" w:rsidRDefault="004A2E70">
      <w:pPr>
        <w:spacing w:before="240" w:line="276" w:lineRule="auto"/>
        <w:rPr>
          <w:rFonts w:eastAsia="Calibri"/>
        </w:rPr>
      </w:pPr>
      <w:r w:rsidRPr="00A4268A">
        <w:rPr>
          <w:rFonts w:eastAsia="Calibri"/>
        </w:rPr>
        <w:t xml:space="preserve">The service and management ensure the best outcomes for residents and that the health and safety of residents is a priority. Actual and potential risks are identified and mitigated. The service complies with all statutory and regulatory reporting obligations. </w:t>
      </w:r>
    </w:p>
    <w:p w14:paraId="0BC43468" w14:textId="77777777" w:rsidR="006E75C6" w:rsidRPr="00A4268A" w:rsidRDefault="004A2E70">
      <w:pPr>
        <w:spacing w:before="240" w:line="276" w:lineRule="auto"/>
        <w:rPr>
          <w:rFonts w:eastAsia="Calibri"/>
        </w:rPr>
      </w:pPr>
      <w:r w:rsidRPr="00A4268A">
        <w:rPr>
          <w:rFonts w:eastAsia="Calibri"/>
        </w:rPr>
        <w:t>Staff coverage is maintained for all shifts. The acuity of residents is taken into consideration when planning and ensuring adequate coverage. Staff employed are provided with orientation, job descriptions, and receive education. All employed and contracted health professionals maintain a current practising certificate.</w:t>
      </w:r>
    </w:p>
    <w:bookmarkEnd w:id="19"/>
    <w:p w14:paraId="011B2F5C" w14:textId="77777777" w:rsidR="006E75C6" w:rsidRPr="00A4268A" w:rsidRDefault="006E75C6">
      <w:pPr>
        <w:spacing w:before="240" w:line="276" w:lineRule="auto"/>
        <w:rPr>
          <w:rFonts w:eastAsia="Calibri"/>
        </w:rPr>
      </w:pPr>
    </w:p>
    <w:p w14:paraId="0AF48B08" w14:textId="77777777" w:rsidR="004A2E70" w:rsidRDefault="004A2E7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C6" w14:paraId="6803B2C4" w14:textId="77777777" w:rsidTr="00A4268A">
        <w:trPr>
          <w:cantSplit/>
        </w:trPr>
        <w:tc>
          <w:tcPr>
            <w:tcW w:w="10206" w:type="dxa"/>
            <w:vAlign w:val="center"/>
          </w:tcPr>
          <w:p w14:paraId="628664A2" w14:textId="77777777" w:rsidR="004A2E70" w:rsidRPr="00621629" w:rsidRDefault="004A2E7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8CF7F11" w14:textId="77777777" w:rsidR="004A2E70" w:rsidRPr="00621629" w:rsidRDefault="004A2E7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B4A9A06" w14:textId="5124BE67" w:rsidR="004A2E70" w:rsidRPr="00621629" w:rsidRDefault="004A2E70"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70EDFA31" w14:textId="77777777" w:rsidR="004A2E70" w:rsidRPr="005E14A4" w:rsidRDefault="004A2E70" w:rsidP="00621629">
      <w:pPr>
        <w:spacing w:before="240" w:line="276" w:lineRule="auto"/>
        <w:rPr>
          <w:rFonts w:eastAsia="Calibri"/>
        </w:rPr>
      </w:pPr>
      <w:bookmarkStart w:id="22" w:name="ContinuumOfServiceDelivery"/>
      <w:r w:rsidRPr="00A4268A">
        <w:rPr>
          <w:rFonts w:eastAsia="Calibri"/>
        </w:rPr>
        <w:t xml:space="preserve">Registered nurses are responsible for assessing residents on admission and developing initial, long and short-term care plans. The initial medical assessment is completed by the general practitioner within the required timeframe. The service works in partnership with residents, and their family/whānau or enduring power of attorneys to assess, plan and evaluate care. Care plans demonstrated appropriate interventions and individualised care. </w:t>
      </w:r>
    </w:p>
    <w:p w14:paraId="74A426B4" w14:textId="77777777" w:rsidR="006E75C6" w:rsidRPr="00A4268A" w:rsidRDefault="004A2E70"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general practitioner is responsible for all medication reviews. Medicines were safely stored and administered by staff who are competent to do so. </w:t>
      </w:r>
    </w:p>
    <w:p w14:paraId="586DBFCD" w14:textId="77777777" w:rsidR="006E75C6" w:rsidRPr="00A4268A" w:rsidRDefault="004A2E7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0563F16B" w14:textId="77777777" w:rsidR="006E75C6" w:rsidRPr="00A4268A" w:rsidRDefault="004A2E70" w:rsidP="00621629">
      <w:pPr>
        <w:spacing w:before="240" w:line="276" w:lineRule="auto"/>
        <w:rPr>
          <w:rFonts w:eastAsia="Calibri"/>
        </w:rPr>
      </w:pPr>
      <w:r w:rsidRPr="00A4268A">
        <w:rPr>
          <w:rFonts w:eastAsia="Calibri"/>
        </w:rPr>
        <w:lastRenderedPageBreak/>
        <w:t>Transfers and discharges are managed in a safe manner.</w:t>
      </w:r>
    </w:p>
    <w:bookmarkEnd w:id="22"/>
    <w:p w14:paraId="66315675" w14:textId="77777777" w:rsidR="006E75C6" w:rsidRPr="00A4268A" w:rsidRDefault="006E75C6" w:rsidP="00621629">
      <w:pPr>
        <w:spacing w:before="240" w:line="276" w:lineRule="auto"/>
        <w:rPr>
          <w:rFonts w:eastAsia="Calibri"/>
        </w:rPr>
      </w:pPr>
    </w:p>
    <w:p w14:paraId="0DCEB660" w14:textId="77777777" w:rsidR="004A2E70" w:rsidRDefault="004A2E7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C6" w14:paraId="1C3FF507" w14:textId="77777777" w:rsidTr="00A4268A">
        <w:trPr>
          <w:cantSplit/>
        </w:trPr>
        <w:tc>
          <w:tcPr>
            <w:tcW w:w="10206" w:type="dxa"/>
            <w:vAlign w:val="center"/>
          </w:tcPr>
          <w:p w14:paraId="4E373B9E" w14:textId="77777777" w:rsidR="004A2E70" w:rsidRPr="00621629" w:rsidRDefault="004A2E7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7F705D3" w14:textId="77777777" w:rsidR="004A2E70" w:rsidRPr="00621629" w:rsidRDefault="004A2E7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AA738EF" w14:textId="739FFAC8" w:rsidR="004A2E70" w:rsidRPr="00621629" w:rsidRDefault="004A2E70"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5CA7DCF7" w14:textId="77777777" w:rsidR="004A2E70" w:rsidRDefault="004A2E70">
      <w:pPr>
        <w:spacing w:before="240" w:line="276" w:lineRule="auto"/>
        <w:rPr>
          <w:rFonts w:eastAsia="Calibri"/>
        </w:rPr>
      </w:pPr>
      <w:bookmarkStart w:id="25" w:name="SafeAndAppropriateEnvironment"/>
      <w:r w:rsidRPr="00A4268A">
        <w:rPr>
          <w:rFonts w:eastAsia="Calibri"/>
        </w:rPr>
        <w:t>There is a current building warrant of fitness. Electrical equipment is checked for safety. Clinical equipment is calibrated and serviced as required. Hot water temperatures are maintained within the required range.</w:t>
      </w:r>
    </w:p>
    <w:bookmarkEnd w:id="25"/>
    <w:p w14:paraId="2ED4DE40" w14:textId="77777777" w:rsidR="006E75C6" w:rsidRPr="00A4268A" w:rsidRDefault="006E75C6">
      <w:pPr>
        <w:spacing w:before="240" w:line="276" w:lineRule="auto"/>
        <w:rPr>
          <w:rFonts w:eastAsia="Calibri"/>
        </w:rPr>
      </w:pPr>
    </w:p>
    <w:p w14:paraId="375F1405" w14:textId="77777777" w:rsidR="004A2E70" w:rsidRDefault="004A2E7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C6" w14:paraId="1DDDEB59" w14:textId="77777777" w:rsidTr="00A4268A">
        <w:trPr>
          <w:cantSplit/>
        </w:trPr>
        <w:tc>
          <w:tcPr>
            <w:tcW w:w="10206" w:type="dxa"/>
            <w:vAlign w:val="center"/>
          </w:tcPr>
          <w:p w14:paraId="558FC454" w14:textId="77777777" w:rsidR="004A2E70" w:rsidRPr="00621629" w:rsidRDefault="004A2E7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6BB36B" w14:textId="77777777" w:rsidR="004A2E70" w:rsidRPr="00621629" w:rsidRDefault="004A2E7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9CECEBC" w14:textId="213A519D" w:rsidR="004A2E70" w:rsidRPr="00621629" w:rsidRDefault="004A2E70"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659A8222" w14:textId="77777777" w:rsidR="004A2E70" w:rsidRDefault="004A2E70">
      <w:pPr>
        <w:spacing w:before="240" w:line="276" w:lineRule="auto"/>
        <w:rPr>
          <w:rFonts w:eastAsia="Calibri"/>
        </w:rPr>
      </w:pPr>
      <w:bookmarkStart w:id="28" w:name="RestraintMinimisationAndSafePractice"/>
      <w:r w:rsidRPr="00A4268A">
        <w:rPr>
          <w:rFonts w:eastAsia="Calibri"/>
        </w:rPr>
        <w:t xml:space="preserve">The infection control plan has been approved by the clinical governance committee and is reviewed annually. </w:t>
      </w:r>
    </w:p>
    <w:p w14:paraId="737F3328" w14:textId="77777777" w:rsidR="006E75C6" w:rsidRPr="00A4268A" w:rsidRDefault="004A2E70">
      <w:pPr>
        <w:spacing w:before="240" w:line="276" w:lineRule="auto"/>
        <w:rPr>
          <w:rFonts w:eastAsia="Calibri"/>
        </w:rPr>
      </w:pPr>
      <w:r w:rsidRPr="00A4268A">
        <w:rPr>
          <w:rFonts w:eastAsia="Calibri"/>
        </w:rPr>
        <w:t xml:space="preserve">Staff orientation and ongoing education are maintained. There were sufficient infection prevention resources, including personal protective equipment, available and readily accessible to support the plan if it is activated. </w:t>
      </w:r>
    </w:p>
    <w:p w14:paraId="71DA7971" w14:textId="77777777" w:rsidR="006E75C6" w:rsidRPr="00A4268A" w:rsidRDefault="004A2E70">
      <w:pPr>
        <w:spacing w:before="240" w:line="276" w:lineRule="auto"/>
        <w:rPr>
          <w:rFonts w:eastAsia="Calibri"/>
        </w:rPr>
      </w:pPr>
      <w:r w:rsidRPr="00A4268A">
        <w:rPr>
          <w:rFonts w:eastAsia="Calibri"/>
        </w:rPr>
        <w:lastRenderedPageBreak/>
        <w:t>Surveillance of health care-associated infections is undertaken, and results are shared with all staff. Follow-up action is taken as and when required. Infection outbreaks of Covid-19 are managed according to the Ministry of Health guidelines.</w:t>
      </w:r>
    </w:p>
    <w:bookmarkEnd w:id="28"/>
    <w:p w14:paraId="6571E440" w14:textId="77777777" w:rsidR="006E75C6" w:rsidRPr="00A4268A" w:rsidRDefault="006E75C6">
      <w:pPr>
        <w:spacing w:before="240" w:line="276" w:lineRule="auto"/>
        <w:rPr>
          <w:rFonts w:eastAsia="Calibri"/>
        </w:rPr>
      </w:pPr>
    </w:p>
    <w:p w14:paraId="5D4E635C" w14:textId="77777777" w:rsidR="004A2E70" w:rsidRDefault="004A2E7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E75C6" w14:paraId="173AD88D" w14:textId="77777777" w:rsidTr="00A4268A">
        <w:trPr>
          <w:cantSplit/>
        </w:trPr>
        <w:tc>
          <w:tcPr>
            <w:tcW w:w="10206" w:type="dxa"/>
            <w:vAlign w:val="center"/>
          </w:tcPr>
          <w:p w14:paraId="2346A0C8" w14:textId="77777777" w:rsidR="004A2E70" w:rsidRPr="00621629" w:rsidRDefault="004A2E7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792E2C2" w14:textId="77777777" w:rsidR="004A2E70" w:rsidRPr="00621629" w:rsidRDefault="004A2E7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9121EF8" w14:textId="1C26F5C1" w:rsidR="004A2E70" w:rsidRPr="00621629" w:rsidRDefault="004A2E70"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47926580" w14:textId="77777777" w:rsidR="004A2E70" w:rsidRDefault="004A2E70">
      <w:pPr>
        <w:spacing w:before="240" w:line="276" w:lineRule="auto"/>
        <w:rPr>
          <w:rFonts w:eastAsia="Calibri"/>
        </w:rPr>
      </w:pPr>
      <w:bookmarkStart w:id="31" w:name="InfectionPreventionAndControl"/>
      <w:r w:rsidRPr="00A4268A">
        <w:rPr>
          <w:rFonts w:eastAsia="Calibri"/>
        </w:rPr>
        <w:t>The Board and management team are committed to maintaining a restraint-free environment. There are policies and procedures for restraint minimisation and safe practice. Staff are trained in the least restrictive practice. There is no use of restraint.</w:t>
      </w:r>
    </w:p>
    <w:bookmarkEnd w:id="31"/>
    <w:p w14:paraId="564CB5E4" w14:textId="77777777" w:rsidR="006E75C6" w:rsidRPr="00A4268A" w:rsidRDefault="006E75C6">
      <w:pPr>
        <w:spacing w:before="240" w:line="276" w:lineRule="auto"/>
        <w:rPr>
          <w:rFonts w:eastAsia="Calibri"/>
        </w:rPr>
      </w:pPr>
    </w:p>
    <w:p w14:paraId="57EAD63A" w14:textId="77777777" w:rsidR="004A2E70" w:rsidRDefault="004A2E70" w:rsidP="000E6E02">
      <w:pPr>
        <w:pStyle w:val="Heading2"/>
        <w:spacing w:before="0"/>
        <w:rPr>
          <w:rFonts w:cs="Arial"/>
        </w:rPr>
      </w:pPr>
      <w:r>
        <w:rPr>
          <w:rFonts w:cs="Arial"/>
        </w:rPr>
        <w:lastRenderedPageBreak/>
        <w:t>Summary of attainment</w:t>
      </w:r>
    </w:p>
    <w:p w14:paraId="67294636" w14:textId="77777777" w:rsidR="004A2E70" w:rsidRDefault="004A2E70">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E75C6" w14:paraId="4F368D77" w14:textId="77777777">
        <w:tc>
          <w:tcPr>
            <w:tcW w:w="1384" w:type="dxa"/>
            <w:vAlign w:val="center"/>
          </w:tcPr>
          <w:p w14:paraId="357768F9" w14:textId="77777777" w:rsidR="004A2E70" w:rsidRDefault="004A2E70">
            <w:pPr>
              <w:keepNext/>
              <w:spacing w:before="60" w:after="60"/>
              <w:rPr>
                <w:rFonts w:cs="Arial"/>
                <w:b/>
                <w:sz w:val="20"/>
                <w:szCs w:val="20"/>
              </w:rPr>
            </w:pPr>
            <w:r>
              <w:rPr>
                <w:rFonts w:cs="Arial"/>
                <w:b/>
                <w:sz w:val="20"/>
                <w:szCs w:val="20"/>
              </w:rPr>
              <w:t>Attainment Rating</w:t>
            </w:r>
          </w:p>
        </w:tc>
        <w:tc>
          <w:tcPr>
            <w:tcW w:w="1701" w:type="dxa"/>
            <w:vAlign w:val="center"/>
          </w:tcPr>
          <w:p w14:paraId="4102ECC0" w14:textId="77777777" w:rsidR="004A2E70" w:rsidRDefault="004A2E70">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284168DA" w14:textId="77777777" w:rsidR="004A2E70" w:rsidRDefault="004A2E70">
            <w:pPr>
              <w:keepNext/>
              <w:spacing w:before="60" w:after="60"/>
              <w:jc w:val="center"/>
              <w:rPr>
                <w:rFonts w:cs="Arial"/>
                <w:b/>
                <w:sz w:val="20"/>
                <w:szCs w:val="20"/>
              </w:rPr>
            </w:pPr>
            <w:r>
              <w:rPr>
                <w:rFonts w:cs="Arial"/>
                <w:b/>
                <w:sz w:val="20"/>
                <w:szCs w:val="20"/>
              </w:rPr>
              <w:t>(CI)</w:t>
            </w:r>
          </w:p>
        </w:tc>
        <w:tc>
          <w:tcPr>
            <w:tcW w:w="1843" w:type="dxa"/>
            <w:vAlign w:val="center"/>
          </w:tcPr>
          <w:p w14:paraId="70604AA2" w14:textId="77777777" w:rsidR="004A2E70" w:rsidRDefault="004A2E70">
            <w:pPr>
              <w:keepNext/>
              <w:spacing w:before="60" w:after="60"/>
              <w:jc w:val="center"/>
              <w:rPr>
                <w:rFonts w:cs="Arial"/>
                <w:b/>
                <w:sz w:val="20"/>
                <w:szCs w:val="20"/>
              </w:rPr>
            </w:pPr>
            <w:r>
              <w:rPr>
                <w:rFonts w:cs="Arial"/>
                <w:b/>
                <w:sz w:val="20"/>
                <w:szCs w:val="20"/>
              </w:rPr>
              <w:t>Fully Attained</w:t>
            </w:r>
          </w:p>
          <w:p w14:paraId="391C2815" w14:textId="77777777" w:rsidR="004A2E70" w:rsidRDefault="004A2E70">
            <w:pPr>
              <w:keepNext/>
              <w:spacing w:before="60" w:after="60"/>
              <w:jc w:val="center"/>
              <w:rPr>
                <w:rFonts w:cs="Arial"/>
                <w:b/>
                <w:sz w:val="20"/>
                <w:szCs w:val="20"/>
              </w:rPr>
            </w:pPr>
            <w:r>
              <w:rPr>
                <w:rFonts w:cs="Arial"/>
                <w:b/>
                <w:sz w:val="20"/>
                <w:szCs w:val="20"/>
              </w:rPr>
              <w:t>(FA)</w:t>
            </w:r>
          </w:p>
        </w:tc>
        <w:tc>
          <w:tcPr>
            <w:tcW w:w="1843" w:type="dxa"/>
            <w:vAlign w:val="center"/>
          </w:tcPr>
          <w:p w14:paraId="083A7198" w14:textId="77777777" w:rsidR="004A2E70" w:rsidRDefault="004A2E70">
            <w:pPr>
              <w:keepNext/>
              <w:spacing w:before="60" w:after="60"/>
              <w:jc w:val="center"/>
              <w:rPr>
                <w:rFonts w:cs="Arial"/>
                <w:b/>
                <w:sz w:val="20"/>
                <w:szCs w:val="20"/>
              </w:rPr>
            </w:pPr>
            <w:r>
              <w:rPr>
                <w:rFonts w:cs="Arial"/>
                <w:b/>
                <w:sz w:val="20"/>
                <w:szCs w:val="20"/>
              </w:rPr>
              <w:t>Partially Attained Negligible Risk</w:t>
            </w:r>
          </w:p>
          <w:p w14:paraId="45247E07" w14:textId="77777777" w:rsidR="004A2E70" w:rsidRDefault="004A2E70">
            <w:pPr>
              <w:keepNext/>
              <w:spacing w:before="60" w:after="60"/>
              <w:jc w:val="center"/>
              <w:rPr>
                <w:rFonts w:cs="Arial"/>
                <w:b/>
                <w:sz w:val="20"/>
                <w:szCs w:val="20"/>
              </w:rPr>
            </w:pPr>
            <w:r>
              <w:rPr>
                <w:rFonts w:cs="Arial"/>
                <w:b/>
                <w:sz w:val="20"/>
                <w:szCs w:val="20"/>
              </w:rPr>
              <w:t>(PA Negligible)</w:t>
            </w:r>
          </w:p>
        </w:tc>
        <w:tc>
          <w:tcPr>
            <w:tcW w:w="1842" w:type="dxa"/>
            <w:vAlign w:val="center"/>
          </w:tcPr>
          <w:p w14:paraId="2403BA05" w14:textId="77777777" w:rsidR="004A2E70" w:rsidRDefault="004A2E70">
            <w:pPr>
              <w:keepNext/>
              <w:spacing w:before="60" w:after="60"/>
              <w:jc w:val="center"/>
              <w:rPr>
                <w:rFonts w:cs="Arial"/>
                <w:b/>
                <w:sz w:val="20"/>
                <w:szCs w:val="20"/>
              </w:rPr>
            </w:pPr>
            <w:r>
              <w:rPr>
                <w:rFonts w:cs="Arial"/>
                <w:b/>
                <w:sz w:val="20"/>
                <w:szCs w:val="20"/>
              </w:rPr>
              <w:t>Partially Attained Low Risk</w:t>
            </w:r>
          </w:p>
          <w:p w14:paraId="3E0425BD" w14:textId="77777777" w:rsidR="004A2E70" w:rsidRDefault="004A2E70">
            <w:pPr>
              <w:keepNext/>
              <w:spacing w:before="60" w:after="60"/>
              <w:jc w:val="center"/>
              <w:rPr>
                <w:rFonts w:cs="Arial"/>
                <w:b/>
                <w:sz w:val="20"/>
                <w:szCs w:val="20"/>
              </w:rPr>
            </w:pPr>
            <w:r>
              <w:rPr>
                <w:rFonts w:cs="Arial"/>
                <w:b/>
                <w:sz w:val="20"/>
                <w:szCs w:val="20"/>
              </w:rPr>
              <w:t>(PA Low)</w:t>
            </w:r>
          </w:p>
        </w:tc>
        <w:tc>
          <w:tcPr>
            <w:tcW w:w="1843" w:type="dxa"/>
            <w:vAlign w:val="center"/>
          </w:tcPr>
          <w:p w14:paraId="402887EC" w14:textId="77777777" w:rsidR="004A2E70" w:rsidRDefault="004A2E70">
            <w:pPr>
              <w:keepNext/>
              <w:spacing w:before="60" w:after="60"/>
              <w:jc w:val="center"/>
              <w:rPr>
                <w:rFonts w:cs="Arial"/>
                <w:b/>
                <w:sz w:val="20"/>
                <w:szCs w:val="20"/>
              </w:rPr>
            </w:pPr>
            <w:r>
              <w:rPr>
                <w:rFonts w:cs="Arial"/>
                <w:b/>
                <w:sz w:val="20"/>
                <w:szCs w:val="20"/>
              </w:rPr>
              <w:t>Partially Attained Moderate Risk</w:t>
            </w:r>
          </w:p>
          <w:p w14:paraId="6DF32E6A" w14:textId="77777777" w:rsidR="004A2E70" w:rsidRDefault="004A2E70">
            <w:pPr>
              <w:keepNext/>
              <w:spacing w:before="60" w:after="60"/>
              <w:jc w:val="center"/>
              <w:rPr>
                <w:rFonts w:cs="Arial"/>
                <w:b/>
                <w:sz w:val="20"/>
                <w:szCs w:val="20"/>
              </w:rPr>
            </w:pPr>
            <w:r>
              <w:rPr>
                <w:rFonts w:cs="Arial"/>
                <w:b/>
                <w:sz w:val="20"/>
                <w:szCs w:val="20"/>
              </w:rPr>
              <w:t>(PA Moderate)</w:t>
            </w:r>
          </w:p>
        </w:tc>
        <w:tc>
          <w:tcPr>
            <w:tcW w:w="1843" w:type="dxa"/>
            <w:vAlign w:val="center"/>
          </w:tcPr>
          <w:p w14:paraId="254895DD" w14:textId="77777777" w:rsidR="004A2E70" w:rsidRDefault="004A2E70">
            <w:pPr>
              <w:keepNext/>
              <w:spacing w:before="60" w:after="60"/>
              <w:jc w:val="center"/>
              <w:rPr>
                <w:rFonts w:cs="Arial"/>
                <w:b/>
                <w:sz w:val="20"/>
                <w:szCs w:val="20"/>
              </w:rPr>
            </w:pPr>
            <w:r>
              <w:rPr>
                <w:rFonts w:cs="Arial"/>
                <w:b/>
                <w:sz w:val="20"/>
                <w:szCs w:val="20"/>
              </w:rPr>
              <w:t>Partially Attained High Risk</w:t>
            </w:r>
          </w:p>
          <w:p w14:paraId="6CAA14C7" w14:textId="77777777" w:rsidR="004A2E70" w:rsidRDefault="004A2E70">
            <w:pPr>
              <w:keepNext/>
              <w:spacing w:before="60" w:after="60"/>
              <w:jc w:val="center"/>
              <w:rPr>
                <w:rFonts w:cs="Arial"/>
                <w:b/>
                <w:sz w:val="20"/>
                <w:szCs w:val="20"/>
              </w:rPr>
            </w:pPr>
            <w:r>
              <w:rPr>
                <w:rFonts w:cs="Arial"/>
                <w:b/>
                <w:sz w:val="20"/>
                <w:szCs w:val="20"/>
              </w:rPr>
              <w:t>(PA High)</w:t>
            </w:r>
          </w:p>
        </w:tc>
        <w:tc>
          <w:tcPr>
            <w:tcW w:w="1843" w:type="dxa"/>
            <w:vAlign w:val="center"/>
          </w:tcPr>
          <w:p w14:paraId="53EBF9CC" w14:textId="77777777" w:rsidR="004A2E70" w:rsidRDefault="004A2E70">
            <w:pPr>
              <w:keepNext/>
              <w:spacing w:before="60" w:after="60"/>
              <w:jc w:val="center"/>
              <w:rPr>
                <w:rFonts w:cs="Arial"/>
                <w:b/>
                <w:sz w:val="20"/>
                <w:szCs w:val="20"/>
              </w:rPr>
            </w:pPr>
            <w:r>
              <w:rPr>
                <w:rFonts w:cs="Arial"/>
                <w:b/>
                <w:sz w:val="20"/>
                <w:szCs w:val="20"/>
              </w:rPr>
              <w:t>Partially Attained Critical Risk</w:t>
            </w:r>
          </w:p>
          <w:p w14:paraId="1EDAE958" w14:textId="77777777" w:rsidR="004A2E70" w:rsidRDefault="004A2E70">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6E75C6" w14:paraId="36FB7865" w14:textId="77777777">
        <w:tc>
          <w:tcPr>
            <w:tcW w:w="1384" w:type="dxa"/>
            <w:vAlign w:val="center"/>
          </w:tcPr>
          <w:p w14:paraId="7ADDE66B" w14:textId="77777777" w:rsidR="004A2E70" w:rsidRDefault="004A2E70">
            <w:pPr>
              <w:keepNext/>
              <w:spacing w:before="60" w:after="60"/>
              <w:rPr>
                <w:rFonts w:cs="Arial"/>
                <w:b/>
                <w:sz w:val="20"/>
                <w:szCs w:val="20"/>
              </w:rPr>
            </w:pPr>
            <w:r>
              <w:rPr>
                <w:rFonts w:cs="Arial"/>
                <w:b/>
                <w:sz w:val="20"/>
                <w:szCs w:val="20"/>
              </w:rPr>
              <w:t>Subsection</w:t>
            </w:r>
          </w:p>
        </w:tc>
        <w:tc>
          <w:tcPr>
            <w:tcW w:w="1701" w:type="dxa"/>
            <w:vAlign w:val="center"/>
          </w:tcPr>
          <w:p w14:paraId="2DDD8F0F" w14:textId="77777777" w:rsidR="004A2E70" w:rsidRDefault="004A2E7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7C5F36A" w14:textId="77777777" w:rsidR="004A2E70" w:rsidRDefault="004A2E70" w:rsidP="00A4268A">
            <w:pPr>
              <w:spacing w:before="60" w:after="60"/>
              <w:jc w:val="center"/>
              <w:rPr>
                <w:rFonts w:cs="Arial"/>
                <w:sz w:val="20"/>
                <w:szCs w:val="20"/>
                <w:lang w:eastAsia="en-NZ"/>
              </w:rPr>
            </w:pPr>
            <w:bookmarkStart w:id="33" w:name="TotalStdFA"/>
            <w:r>
              <w:rPr>
                <w:rFonts w:cs="Arial"/>
                <w:sz w:val="20"/>
                <w:szCs w:val="20"/>
                <w:lang w:eastAsia="en-NZ"/>
              </w:rPr>
              <w:t>19</w:t>
            </w:r>
            <w:bookmarkEnd w:id="33"/>
          </w:p>
        </w:tc>
        <w:tc>
          <w:tcPr>
            <w:tcW w:w="1843" w:type="dxa"/>
            <w:vAlign w:val="center"/>
          </w:tcPr>
          <w:p w14:paraId="7017EF7D" w14:textId="77777777" w:rsidR="004A2E70" w:rsidRDefault="004A2E7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14B8146" w14:textId="77777777" w:rsidR="004A2E70" w:rsidRDefault="004A2E7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8AB45CE" w14:textId="77777777" w:rsidR="004A2E70" w:rsidRDefault="004A2E7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DA1AE7A" w14:textId="77777777" w:rsidR="004A2E70" w:rsidRDefault="004A2E7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AF5277" w14:textId="77777777" w:rsidR="004A2E70" w:rsidRDefault="004A2E7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E75C6" w14:paraId="5FBD3517" w14:textId="77777777">
        <w:tc>
          <w:tcPr>
            <w:tcW w:w="1384" w:type="dxa"/>
            <w:vAlign w:val="center"/>
          </w:tcPr>
          <w:p w14:paraId="68469A5F" w14:textId="77777777" w:rsidR="004A2E70" w:rsidRDefault="004A2E70">
            <w:pPr>
              <w:keepNext/>
              <w:spacing w:before="60" w:after="60"/>
              <w:rPr>
                <w:rFonts w:cs="Arial"/>
                <w:b/>
                <w:sz w:val="20"/>
                <w:szCs w:val="20"/>
              </w:rPr>
            </w:pPr>
            <w:r>
              <w:rPr>
                <w:rFonts w:cs="Arial"/>
                <w:b/>
                <w:sz w:val="20"/>
                <w:szCs w:val="20"/>
              </w:rPr>
              <w:t>Criteria</w:t>
            </w:r>
          </w:p>
        </w:tc>
        <w:tc>
          <w:tcPr>
            <w:tcW w:w="1701" w:type="dxa"/>
            <w:vAlign w:val="center"/>
          </w:tcPr>
          <w:p w14:paraId="779D2CFD" w14:textId="77777777" w:rsidR="004A2E70" w:rsidRDefault="004A2E7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3D3D720" w14:textId="77777777" w:rsidR="004A2E70" w:rsidRDefault="004A2E70" w:rsidP="00A4268A">
            <w:pPr>
              <w:spacing w:before="60" w:after="60"/>
              <w:jc w:val="center"/>
              <w:rPr>
                <w:rFonts w:cs="Arial"/>
                <w:sz w:val="20"/>
                <w:szCs w:val="20"/>
                <w:lang w:eastAsia="en-NZ"/>
              </w:rPr>
            </w:pPr>
            <w:bookmarkStart w:id="40" w:name="TotalCritFA"/>
            <w:r>
              <w:rPr>
                <w:rFonts w:cs="Arial"/>
                <w:sz w:val="20"/>
                <w:szCs w:val="20"/>
                <w:lang w:eastAsia="en-NZ"/>
              </w:rPr>
              <w:t>51</w:t>
            </w:r>
            <w:bookmarkEnd w:id="40"/>
          </w:p>
        </w:tc>
        <w:tc>
          <w:tcPr>
            <w:tcW w:w="1843" w:type="dxa"/>
            <w:vAlign w:val="center"/>
          </w:tcPr>
          <w:p w14:paraId="50F0D225" w14:textId="77777777" w:rsidR="004A2E70" w:rsidRDefault="004A2E7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BAC862" w14:textId="77777777" w:rsidR="004A2E70" w:rsidRDefault="004A2E7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5A62381" w14:textId="77777777" w:rsidR="004A2E70" w:rsidRDefault="004A2E7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1ACE5C7" w14:textId="77777777" w:rsidR="004A2E70" w:rsidRDefault="004A2E7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0F7DBEF" w14:textId="77777777" w:rsidR="004A2E70" w:rsidRDefault="004A2E7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8AAA851" w14:textId="77777777" w:rsidR="004A2E70" w:rsidRDefault="004A2E7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E75C6" w14:paraId="73B99F0F" w14:textId="77777777">
        <w:tc>
          <w:tcPr>
            <w:tcW w:w="1384" w:type="dxa"/>
            <w:vAlign w:val="center"/>
          </w:tcPr>
          <w:p w14:paraId="46081A05" w14:textId="77777777" w:rsidR="004A2E70" w:rsidRDefault="004A2E70">
            <w:pPr>
              <w:keepNext/>
              <w:spacing w:before="60" w:after="60"/>
              <w:rPr>
                <w:rFonts w:cs="Arial"/>
                <w:b/>
                <w:sz w:val="20"/>
                <w:szCs w:val="20"/>
              </w:rPr>
            </w:pPr>
            <w:r>
              <w:rPr>
                <w:rFonts w:cs="Arial"/>
                <w:b/>
                <w:sz w:val="20"/>
                <w:szCs w:val="20"/>
              </w:rPr>
              <w:t>Attainment Rating</w:t>
            </w:r>
          </w:p>
        </w:tc>
        <w:tc>
          <w:tcPr>
            <w:tcW w:w="1701" w:type="dxa"/>
            <w:vAlign w:val="center"/>
          </w:tcPr>
          <w:p w14:paraId="3FDB0F8D" w14:textId="77777777" w:rsidR="004A2E70" w:rsidRDefault="004A2E70">
            <w:pPr>
              <w:keepNext/>
              <w:spacing w:before="60" w:after="60"/>
              <w:jc w:val="center"/>
              <w:rPr>
                <w:rFonts w:cs="Arial"/>
                <w:b/>
                <w:sz w:val="20"/>
                <w:szCs w:val="20"/>
              </w:rPr>
            </w:pPr>
            <w:r>
              <w:rPr>
                <w:rFonts w:cs="Arial"/>
                <w:b/>
                <w:sz w:val="20"/>
                <w:szCs w:val="20"/>
              </w:rPr>
              <w:t>Unattained Negligible Risk</w:t>
            </w:r>
          </w:p>
          <w:p w14:paraId="51F076FA" w14:textId="77777777" w:rsidR="004A2E70" w:rsidRDefault="004A2E70">
            <w:pPr>
              <w:keepNext/>
              <w:spacing w:before="60" w:after="60"/>
              <w:jc w:val="center"/>
              <w:rPr>
                <w:rFonts w:cs="Arial"/>
                <w:b/>
                <w:sz w:val="20"/>
                <w:szCs w:val="20"/>
              </w:rPr>
            </w:pPr>
            <w:r>
              <w:rPr>
                <w:rFonts w:cs="Arial"/>
                <w:b/>
                <w:sz w:val="20"/>
                <w:szCs w:val="20"/>
              </w:rPr>
              <w:t>(UA Negligible)</w:t>
            </w:r>
          </w:p>
        </w:tc>
        <w:tc>
          <w:tcPr>
            <w:tcW w:w="1843" w:type="dxa"/>
            <w:vAlign w:val="center"/>
          </w:tcPr>
          <w:p w14:paraId="11113E19" w14:textId="77777777" w:rsidR="004A2E70" w:rsidRDefault="004A2E70">
            <w:pPr>
              <w:keepNext/>
              <w:spacing w:before="60" w:after="60"/>
              <w:jc w:val="center"/>
              <w:rPr>
                <w:rFonts w:cs="Arial"/>
                <w:b/>
                <w:sz w:val="20"/>
                <w:szCs w:val="20"/>
              </w:rPr>
            </w:pPr>
            <w:r>
              <w:rPr>
                <w:rFonts w:cs="Arial"/>
                <w:b/>
                <w:sz w:val="20"/>
                <w:szCs w:val="20"/>
              </w:rPr>
              <w:t>Unattained Low Risk</w:t>
            </w:r>
          </w:p>
          <w:p w14:paraId="5D88006C" w14:textId="77777777" w:rsidR="004A2E70" w:rsidRDefault="004A2E70">
            <w:pPr>
              <w:keepNext/>
              <w:spacing w:before="60" w:after="60"/>
              <w:jc w:val="center"/>
              <w:rPr>
                <w:rFonts w:cs="Arial"/>
                <w:b/>
                <w:sz w:val="20"/>
                <w:szCs w:val="20"/>
              </w:rPr>
            </w:pPr>
            <w:r>
              <w:rPr>
                <w:rFonts w:cs="Arial"/>
                <w:b/>
                <w:sz w:val="20"/>
                <w:szCs w:val="20"/>
              </w:rPr>
              <w:t>(UA Low)</w:t>
            </w:r>
          </w:p>
        </w:tc>
        <w:tc>
          <w:tcPr>
            <w:tcW w:w="1843" w:type="dxa"/>
            <w:vAlign w:val="center"/>
          </w:tcPr>
          <w:p w14:paraId="45852A0B" w14:textId="77777777" w:rsidR="004A2E70" w:rsidRDefault="004A2E70">
            <w:pPr>
              <w:keepNext/>
              <w:spacing w:before="60" w:after="60"/>
              <w:jc w:val="center"/>
              <w:rPr>
                <w:rFonts w:cs="Arial"/>
                <w:b/>
                <w:sz w:val="20"/>
                <w:szCs w:val="20"/>
              </w:rPr>
            </w:pPr>
            <w:r>
              <w:rPr>
                <w:rFonts w:cs="Arial"/>
                <w:b/>
                <w:sz w:val="20"/>
                <w:szCs w:val="20"/>
              </w:rPr>
              <w:t>Unattained Moderate Risk</w:t>
            </w:r>
          </w:p>
          <w:p w14:paraId="20AAB6AC" w14:textId="77777777" w:rsidR="004A2E70" w:rsidRDefault="004A2E70">
            <w:pPr>
              <w:keepNext/>
              <w:spacing w:before="60" w:after="60"/>
              <w:jc w:val="center"/>
              <w:rPr>
                <w:rFonts w:cs="Arial"/>
                <w:b/>
                <w:sz w:val="20"/>
                <w:szCs w:val="20"/>
              </w:rPr>
            </w:pPr>
            <w:r>
              <w:rPr>
                <w:rFonts w:cs="Arial"/>
                <w:b/>
                <w:sz w:val="20"/>
                <w:szCs w:val="20"/>
              </w:rPr>
              <w:t>(UA Moderate)</w:t>
            </w:r>
          </w:p>
        </w:tc>
        <w:tc>
          <w:tcPr>
            <w:tcW w:w="1842" w:type="dxa"/>
            <w:vAlign w:val="center"/>
          </w:tcPr>
          <w:p w14:paraId="502EB3AF" w14:textId="77777777" w:rsidR="004A2E70" w:rsidRDefault="004A2E70">
            <w:pPr>
              <w:keepNext/>
              <w:spacing w:before="60" w:after="60"/>
              <w:jc w:val="center"/>
              <w:rPr>
                <w:rFonts w:cs="Arial"/>
                <w:b/>
                <w:sz w:val="20"/>
                <w:szCs w:val="20"/>
              </w:rPr>
            </w:pPr>
            <w:r>
              <w:rPr>
                <w:rFonts w:cs="Arial"/>
                <w:b/>
                <w:sz w:val="20"/>
                <w:szCs w:val="20"/>
              </w:rPr>
              <w:t>Unattained High Risk</w:t>
            </w:r>
          </w:p>
          <w:p w14:paraId="2AB01A31" w14:textId="77777777" w:rsidR="004A2E70" w:rsidRDefault="004A2E70">
            <w:pPr>
              <w:keepNext/>
              <w:spacing w:before="60" w:after="60"/>
              <w:jc w:val="center"/>
              <w:rPr>
                <w:rFonts w:cs="Arial"/>
                <w:b/>
                <w:sz w:val="20"/>
                <w:szCs w:val="20"/>
              </w:rPr>
            </w:pPr>
            <w:r>
              <w:rPr>
                <w:rFonts w:cs="Arial"/>
                <w:b/>
                <w:sz w:val="20"/>
                <w:szCs w:val="20"/>
              </w:rPr>
              <w:t>(UA High)</w:t>
            </w:r>
          </w:p>
        </w:tc>
        <w:tc>
          <w:tcPr>
            <w:tcW w:w="1843" w:type="dxa"/>
            <w:vAlign w:val="center"/>
          </w:tcPr>
          <w:p w14:paraId="40E98691" w14:textId="77777777" w:rsidR="004A2E70" w:rsidRDefault="004A2E70">
            <w:pPr>
              <w:keepNext/>
              <w:spacing w:before="60" w:after="60"/>
              <w:jc w:val="center"/>
              <w:rPr>
                <w:rFonts w:cs="Arial"/>
                <w:b/>
                <w:sz w:val="20"/>
                <w:szCs w:val="20"/>
              </w:rPr>
            </w:pPr>
            <w:r>
              <w:rPr>
                <w:rFonts w:cs="Arial"/>
                <w:b/>
                <w:sz w:val="20"/>
                <w:szCs w:val="20"/>
              </w:rPr>
              <w:t>Unattained Critical Risk</w:t>
            </w:r>
          </w:p>
          <w:p w14:paraId="59DC4E6D" w14:textId="77777777" w:rsidR="004A2E70" w:rsidRDefault="004A2E70">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6E75C6" w14:paraId="0746C1AA" w14:textId="77777777">
        <w:tc>
          <w:tcPr>
            <w:tcW w:w="1384" w:type="dxa"/>
            <w:vAlign w:val="center"/>
          </w:tcPr>
          <w:p w14:paraId="3317FF22" w14:textId="77777777" w:rsidR="004A2E70" w:rsidRDefault="004A2E70">
            <w:pPr>
              <w:keepNext/>
              <w:spacing w:before="60" w:after="60"/>
              <w:rPr>
                <w:rFonts w:cs="Arial"/>
                <w:b/>
                <w:sz w:val="20"/>
                <w:szCs w:val="20"/>
              </w:rPr>
            </w:pPr>
            <w:r>
              <w:rPr>
                <w:rFonts w:cs="Arial"/>
                <w:b/>
                <w:sz w:val="20"/>
                <w:szCs w:val="20"/>
              </w:rPr>
              <w:t>Subsection</w:t>
            </w:r>
          </w:p>
        </w:tc>
        <w:tc>
          <w:tcPr>
            <w:tcW w:w="1701" w:type="dxa"/>
            <w:vAlign w:val="center"/>
          </w:tcPr>
          <w:p w14:paraId="3AA3786B" w14:textId="77777777" w:rsidR="004A2E70" w:rsidRDefault="004A2E7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C4F7C23" w14:textId="77777777" w:rsidR="004A2E70" w:rsidRDefault="004A2E7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05A0756" w14:textId="77777777" w:rsidR="004A2E70" w:rsidRDefault="004A2E7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8D81FB3" w14:textId="77777777" w:rsidR="004A2E70" w:rsidRDefault="004A2E7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644C503" w14:textId="77777777" w:rsidR="004A2E70" w:rsidRDefault="004A2E7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E75C6" w14:paraId="082870BB" w14:textId="77777777">
        <w:tc>
          <w:tcPr>
            <w:tcW w:w="1384" w:type="dxa"/>
            <w:vAlign w:val="center"/>
          </w:tcPr>
          <w:p w14:paraId="40805DF1" w14:textId="77777777" w:rsidR="004A2E70" w:rsidRDefault="004A2E70">
            <w:pPr>
              <w:spacing w:before="60" w:after="60"/>
              <w:rPr>
                <w:rFonts w:cs="Arial"/>
                <w:b/>
                <w:sz w:val="20"/>
                <w:szCs w:val="20"/>
              </w:rPr>
            </w:pPr>
            <w:r>
              <w:rPr>
                <w:rFonts w:cs="Arial"/>
                <w:b/>
                <w:sz w:val="20"/>
                <w:szCs w:val="20"/>
              </w:rPr>
              <w:t>Criteria</w:t>
            </w:r>
          </w:p>
        </w:tc>
        <w:tc>
          <w:tcPr>
            <w:tcW w:w="1701" w:type="dxa"/>
            <w:vAlign w:val="center"/>
          </w:tcPr>
          <w:p w14:paraId="17A0AF75" w14:textId="77777777" w:rsidR="004A2E70" w:rsidRDefault="004A2E7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A77EB3B" w14:textId="77777777" w:rsidR="004A2E70" w:rsidRDefault="004A2E7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587F41A" w14:textId="77777777" w:rsidR="004A2E70" w:rsidRDefault="004A2E7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AC4FBB" w14:textId="77777777" w:rsidR="004A2E70" w:rsidRDefault="004A2E7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C7B7AF2" w14:textId="77777777" w:rsidR="004A2E70" w:rsidRDefault="004A2E7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2796F1B" w14:textId="77777777" w:rsidR="004A2E70" w:rsidRDefault="004A2E7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7A828FD" w14:textId="77777777" w:rsidR="004A2E70" w:rsidRDefault="004A2E7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9394501" w14:textId="77777777" w:rsidR="004A2E70" w:rsidRDefault="004A2E7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19220F" w14:textId="77777777" w:rsidR="004A2E70" w:rsidRDefault="004A2E7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4"/>
        <w:gridCol w:w="1369"/>
        <w:gridCol w:w="6935"/>
      </w:tblGrid>
      <w:tr w:rsidR="006E75C6" w14:paraId="23949041" w14:textId="77777777">
        <w:tc>
          <w:tcPr>
            <w:tcW w:w="0" w:type="auto"/>
          </w:tcPr>
          <w:p w14:paraId="403C8C77" w14:textId="77777777" w:rsidR="004A2E70" w:rsidRPr="00BE00C7" w:rsidRDefault="004A2E7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DE58419" w14:textId="77777777" w:rsidR="004A2E70" w:rsidRPr="00BE00C7" w:rsidRDefault="004A2E7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909AF3E" w14:textId="77777777" w:rsidR="004A2E70" w:rsidRPr="00BE00C7" w:rsidRDefault="004A2E70" w:rsidP="00BE00C7">
            <w:pPr>
              <w:pStyle w:val="OutcomeDescription"/>
              <w:spacing w:before="120" w:after="120"/>
              <w:rPr>
                <w:rFonts w:cs="Arial"/>
                <w:b/>
                <w:lang w:eastAsia="en-NZ"/>
              </w:rPr>
            </w:pPr>
            <w:r w:rsidRPr="00BE00C7">
              <w:rPr>
                <w:rFonts w:cs="Arial"/>
                <w:b/>
                <w:lang w:eastAsia="en-NZ"/>
              </w:rPr>
              <w:t>Audit Evidence</w:t>
            </w:r>
          </w:p>
        </w:tc>
      </w:tr>
      <w:tr w:rsidR="006E75C6" w14:paraId="217D4BA7" w14:textId="77777777">
        <w:tc>
          <w:tcPr>
            <w:tcW w:w="0" w:type="auto"/>
          </w:tcPr>
          <w:p w14:paraId="156EBFF8" w14:textId="77777777" w:rsidR="004A2E70" w:rsidRPr="00BE00C7" w:rsidRDefault="004A2E70" w:rsidP="00BE00C7">
            <w:pPr>
              <w:pStyle w:val="OutcomeDescription"/>
              <w:spacing w:before="120" w:after="120"/>
              <w:rPr>
                <w:rFonts w:cs="Arial"/>
                <w:lang w:eastAsia="en-NZ"/>
              </w:rPr>
            </w:pPr>
            <w:r w:rsidRPr="00BE00C7">
              <w:rPr>
                <w:rFonts w:cs="Arial"/>
                <w:lang w:eastAsia="en-NZ"/>
              </w:rPr>
              <w:t>Subsection 1.1: Pae ora healthy futures</w:t>
            </w:r>
          </w:p>
          <w:p w14:paraId="54C742F7" w14:textId="77777777" w:rsidR="004A2E70" w:rsidRPr="00BE00C7" w:rsidRDefault="004A2E7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7B60EE92" w14:textId="77777777" w:rsidR="004A2E70" w:rsidRPr="00BE00C7" w:rsidRDefault="004A2E70" w:rsidP="00BE00C7">
            <w:pPr>
              <w:pStyle w:val="OutcomeDescription"/>
              <w:spacing w:before="120" w:after="120"/>
              <w:rPr>
                <w:rFonts w:cs="Arial"/>
                <w:lang w:eastAsia="en-NZ"/>
              </w:rPr>
            </w:pPr>
          </w:p>
        </w:tc>
        <w:tc>
          <w:tcPr>
            <w:tcW w:w="0" w:type="auto"/>
          </w:tcPr>
          <w:p w14:paraId="50AD4602"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22639504" w14:textId="77777777" w:rsidR="004A2E70" w:rsidRPr="00BE00C7" w:rsidRDefault="004A2E70" w:rsidP="00BE00C7">
            <w:pPr>
              <w:pStyle w:val="OutcomeDescription"/>
              <w:spacing w:before="120" w:after="120"/>
              <w:rPr>
                <w:rFonts w:cs="Arial"/>
                <w:lang w:eastAsia="en-NZ"/>
              </w:rPr>
            </w:pPr>
            <w:r w:rsidRPr="00BE00C7">
              <w:rPr>
                <w:rFonts w:cs="Arial"/>
                <w:lang w:eastAsia="en-NZ"/>
              </w:rPr>
              <w:t>A Māori Health Plan policy is documented for the service and was developed by an external consultant. This policy acknowledges Te Tiriti o Waitangi as a founding document for New Zealand. The aim is to co-design health services using a collaborative and partnership model with Māori and Pacific, although the policy focuses on Māori. The chief executive officer (CEO), and the director of care reported that the organisation has signed a memorandum of understanding with Ngāti Whātua Māori organisation to provid</w:t>
            </w:r>
            <w:r w:rsidRPr="00BE00C7">
              <w:rPr>
                <w:rFonts w:cs="Arial"/>
                <w:lang w:eastAsia="en-NZ"/>
              </w:rPr>
              <w:t xml:space="preserve">e support and advice. At the time of the audit, there were residents who identified as Māori. </w:t>
            </w:r>
          </w:p>
          <w:p w14:paraId="61588F92" w14:textId="77777777" w:rsidR="004A2E70" w:rsidRPr="00BE00C7" w:rsidRDefault="004A2E70" w:rsidP="00BE00C7">
            <w:pPr>
              <w:pStyle w:val="OutcomeDescription"/>
              <w:spacing w:before="120" w:after="120"/>
              <w:rPr>
                <w:rFonts w:cs="Arial"/>
                <w:lang w:eastAsia="en-NZ"/>
              </w:rPr>
            </w:pPr>
            <w:r w:rsidRPr="00BE00C7">
              <w:rPr>
                <w:rFonts w:cs="Arial"/>
                <w:lang w:eastAsia="en-NZ"/>
              </w:rPr>
              <w:t>Documentation and interviews with the management team, CEO, director of care, clinical operations manager, clinical manager (CM), and staff (two senior registered nurses, one registered nurse [RN], two house leads, ten care partners, two diversional therapists [DTs], two housekeepers, a training and development officer, a chef, and maintenance and property manager) confirmed that the service delivers a service that is focused on the health, wellbeing, and cultural needs of its residents.</w:t>
            </w:r>
          </w:p>
          <w:p w14:paraId="1D88BB11" w14:textId="77777777" w:rsidR="004A2E70" w:rsidRPr="00BE00C7" w:rsidRDefault="004A2E70" w:rsidP="00BE00C7">
            <w:pPr>
              <w:pStyle w:val="OutcomeDescription"/>
              <w:spacing w:before="120" w:after="120"/>
              <w:rPr>
                <w:rFonts w:cs="Arial"/>
                <w:lang w:eastAsia="en-NZ"/>
              </w:rPr>
            </w:pPr>
          </w:p>
        </w:tc>
      </w:tr>
      <w:tr w:rsidR="006E75C6" w14:paraId="45CCF359" w14:textId="77777777">
        <w:tc>
          <w:tcPr>
            <w:tcW w:w="0" w:type="auto"/>
          </w:tcPr>
          <w:p w14:paraId="5ECBFC4A" w14:textId="77777777" w:rsidR="004A2E70" w:rsidRPr="00BE00C7" w:rsidRDefault="004A2E7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29A8CAE"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E13DB56" w14:textId="77777777" w:rsidR="004A2E70" w:rsidRPr="00BE00C7" w:rsidRDefault="004A2E70" w:rsidP="00BE00C7">
            <w:pPr>
              <w:pStyle w:val="OutcomeDescription"/>
              <w:spacing w:before="120" w:after="120"/>
              <w:rPr>
                <w:rFonts w:cs="Arial"/>
                <w:lang w:eastAsia="en-NZ"/>
              </w:rPr>
            </w:pPr>
          </w:p>
        </w:tc>
        <w:tc>
          <w:tcPr>
            <w:tcW w:w="0" w:type="auto"/>
          </w:tcPr>
          <w:p w14:paraId="2AD229D7"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B9BEE67"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There is a Pacific Health Plan that commits to providing appropriate and equitable care for residents who identify as Pasifika. The Pacific People’s policy includes the Pacific health plan, which guides on how Pacific people </w:t>
            </w:r>
            <w:r w:rsidRPr="00BE00C7">
              <w:rPr>
                <w:rFonts w:cs="Arial"/>
                <w:lang w:eastAsia="en-NZ"/>
              </w:rPr>
              <w:lastRenderedPageBreak/>
              <w:t>who engage with the service are supported. The service had residents and staff who identify as Pasifika. The staff interviewed highlighted the importance of understanding and supporting each other’s culture</w:t>
            </w:r>
          </w:p>
          <w:p w14:paraId="0815C255" w14:textId="77777777" w:rsidR="004A2E70" w:rsidRPr="00BE00C7" w:rsidRDefault="004A2E70" w:rsidP="00BE00C7">
            <w:pPr>
              <w:pStyle w:val="OutcomeDescription"/>
              <w:spacing w:before="120" w:after="120"/>
              <w:rPr>
                <w:rFonts w:cs="Arial"/>
                <w:lang w:eastAsia="en-NZ"/>
              </w:rPr>
            </w:pPr>
          </w:p>
        </w:tc>
      </w:tr>
      <w:tr w:rsidR="006E75C6" w14:paraId="3FEA8AA5" w14:textId="77777777">
        <w:tc>
          <w:tcPr>
            <w:tcW w:w="0" w:type="auto"/>
          </w:tcPr>
          <w:p w14:paraId="62A06736"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EA46034"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30B7FB6" w14:textId="77777777" w:rsidR="004A2E70" w:rsidRPr="00BE00C7" w:rsidRDefault="004A2E70" w:rsidP="00BE00C7">
            <w:pPr>
              <w:pStyle w:val="OutcomeDescription"/>
              <w:spacing w:before="120" w:after="120"/>
              <w:rPr>
                <w:rFonts w:cs="Arial"/>
                <w:lang w:eastAsia="en-NZ"/>
              </w:rPr>
            </w:pPr>
          </w:p>
        </w:tc>
        <w:tc>
          <w:tcPr>
            <w:tcW w:w="0" w:type="auto"/>
          </w:tcPr>
          <w:p w14:paraId="2B2F3446"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4CF51C06"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All </w:t>
            </w:r>
            <w:r w:rsidRPr="00BE00C7">
              <w:rPr>
                <w:rFonts w:cs="Arial"/>
                <w:lang w:eastAsia="en-NZ"/>
              </w:rPr>
              <w:t>staff interviewed at the service understood the requirements of the Code of Health and Disability Services Consumers’ Rights (the Code) and were observed supporting residents to follow their wishes. Three family/whānau and seven residents reported being made aware of the Code and the Nationwide Health and Disability Advocacy Service (Advocacy Service) and confirmed they were provided with opportunities to discuss and clarify their rights.</w:t>
            </w:r>
          </w:p>
          <w:p w14:paraId="7240EDAA" w14:textId="77777777" w:rsidR="004A2E70" w:rsidRPr="00BE00C7" w:rsidRDefault="004A2E70" w:rsidP="00BE00C7">
            <w:pPr>
              <w:pStyle w:val="OutcomeDescription"/>
              <w:spacing w:before="120" w:after="120"/>
              <w:rPr>
                <w:rFonts w:cs="Arial"/>
                <w:lang w:eastAsia="en-NZ"/>
              </w:rPr>
            </w:pPr>
          </w:p>
        </w:tc>
      </w:tr>
      <w:tr w:rsidR="006E75C6" w14:paraId="5DCF1D93" w14:textId="77777777">
        <w:tc>
          <w:tcPr>
            <w:tcW w:w="0" w:type="auto"/>
          </w:tcPr>
          <w:p w14:paraId="23D5A765" w14:textId="77777777" w:rsidR="004A2E70" w:rsidRPr="00BE00C7" w:rsidRDefault="004A2E70" w:rsidP="00BE00C7">
            <w:pPr>
              <w:pStyle w:val="OutcomeDescription"/>
              <w:spacing w:before="120" w:after="120"/>
              <w:rPr>
                <w:rFonts w:cs="Arial"/>
                <w:lang w:eastAsia="en-NZ"/>
              </w:rPr>
            </w:pPr>
            <w:r w:rsidRPr="00BE00C7">
              <w:rPr>
                <w:rFonts w:cs="Arial"/>
                <w:lang w:eastAsia="en-NZ"/>
              </w:rPr>
              <w:t>Subsection 1.5: I am protected from abuse</w:t>
            </w:r>
          </w:p>
          <w:p w14:paraId="5683A428"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33D83E7" w14:textId="77777777" w:rsidR="004A2E70" w:rsidRPr="00BE00C7" w:rsidRDefault="004A2E70" w:rsidP="00BE00C7">
            <w:pPr>
              <w:pStyle w:val="OutcomeDescription"/>
              <w:spacing w:before="120" w:after="120"/>
              <w:rPr>
                <w:rFonts w:cs="Arial"/>
                <w:lang w:eastAsia="en-NZ"/>
              </w:rPr>
            </w:pPr>
          </w:p>
        </w:tc>
        <w:tc>
          <w:tcPr>
            <w:tcW w:w="0" w:type="auto"/>
          </w:tcPr>
          <w:p w14:paraId="39F9E193"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424FA822"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All staff understood the service’s policy on abuse and neglect, including what to do should there be any signs of such. The induction process for staff includes education related to professional boundaries, expected behaviours, and the code of </w:t>
            </w:r>
            <w:r w:rsidRPr="00BE00C7">
              <w:rPr>
                <w:rFonts w:cs="Arial"/>
                <w:lang w:eastAsia="en-NZ"/>
              </w:rPr>
              <w:t>conduct. A code of conduct statement is included in the staff employment agreement. Education on abuse and neglect was provided to staff on an annual basis. Residents reported that their property and finances were respected and that professional boundaries were maintained.</w:t>
            </w:r>
          </w:p>
          <w:p w14:paraId="04F1F121" w14:textId="77777777" w:rsidR="004A2E70" w:rsidRPr="00BE00C7" w:rsidRDefault="004A2E70" w:rsidP="00BE00C7">
            <w:pPr>
              <w:pStyle w:val="OutcomeDescription"/>
              <w:spacing w:before="120" w:after="120"/>
              <w:rPr>
                <w:rFonts w:cs="Arial"/>
                <w:lang w:eastAsia="en-NZ"/>
              </w:rPr>
            </w:pPr>
            <w:r w:rsidRPr="00BE00C7">
              <w:rPr>
                <w:rFonts w:cs="Arial"/>
                <w:lang w:eastAsia="en-NZ"/>
              </w:rPr>
              <w:t>The clinical operations manager and CM reported that staff are guided by the code of conduct to ensure the environment is safe and free from any form of institutional and/or systemic racism. Family/whānau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50BC2B1F" w14:textId="77777777" w:rsidR="004A2E70" w:rsidRPr="00BE00C7" w:rsidRDefault="004A2E70" w:rsidP="00BE00C7">
            <w:pPr>
              <w:pStyle w:val="OutcomeDescription"/>
              <w:spacing w:before="120" w:after="120"/>
              <w:rPr>
                <w:rFonts w:cs="Arial"/>
                <w:lang w:eastAsia="en-NZ"/>
              </w:rPr>
            </w:pPr>
          </w:p>
        </w:tc>
      </w:tr>
      <w:tr w:rsidR="006E75C6" w14:paraId="0998739A" w14:textId="77777777">
        <w:tc>
          <w:tcPr>
            <w:tcW w:w="0" w:type="auto"/>
          </w:tcPr>
          <w:p w14:paraId="6DAE7E05"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A257C0D"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B14F0D6" w14:textId="77777777" w:rsidR="004A2E70" w:rsidRPr="00BE00C7" w:rsidRDefault="004A2E70" w:rsidP="00BE00C7">
            <w:pPr>
              <w:pStyle w:val="OutcomeDescription"/>
              <w:spacing w:before="120" w:after="120"/>
              <w:rPr>
                <w:rFonts w:cs="Arial"/>
                <w:lang w:eastAsia="en-NZ"/>
              </w:rPr>
            </w:pPr>
          </w:p>
        </w:tc>
        <w:tc>
          <w:tcPr>
            <w:tcW w:w="0" w:type="auto"/>
          </w:tcPr>
          <w:p w14:paraId="1D683416"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41A2EAA9" w14:textId="77777777" w:rsidR="004A2E70" w:rsidRPr="00BE00C7" w:rsidRDefault="004A2E70" w:rsidP="00BE00C7">
            <w:pPr>
              <w:pStyle w:val="OutcomeDescription"/>
              <w:spacing w:before="120" w:after="120"/>
              <w:rPr>
                <w:rFonts w:cs="Arial"/>
                <w:lang w:eastAsia="en-NZ"/>
              </w:rPr>
            </w:pPr>
            <w:r w:rsidRPr="00BE00C7">
              <w:rPr>
                <w:rFonts w:cs="Arial"/>
                <w:lang w:eastAsia="en-NZ"/>
              </w:rPr>
              <w:t>In interviews, residents and whānau reported that communication was open and effective and that they felt listened to. The enduring power of attorney (EPOA)/whānau/family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w:t>
            </w:r>
            <w:r w:rsidRPr="00BE00C7">
              <w:rPr>
                <w:rFonts w:cs="Arial"/>
                <w:lang w:eastAsia="en-NZ"/>
              </w:rPr>
              <w:t>pported by policies and procedures. The service communicates with other agencies that are involved with the resident, such as the hospice (palliative care team), physiotherapists, wound care specialist and Health New Zealand - Auckland specialist services. The delivery of care includes a multidisciplinary team.</w:t>
            </w:r>
          </w:p>
          <w:p w14:paraId="221137DA" w14:textId="77777777" w:rsidR="004A2E70" w:rsidRPr="00BE00C7" w:rsidRDefault="004A2E70" w:rsidP="00BE00C7">
            <w:pPr>
              <w:pStyle w:val="OutcomeDescription"/>
              <w:spacing w:before="120" w:after="120"/>
              <w:rPr>
                <w:rFonts w:cs="Arial"/>
                <w:lang w:eastAsia="en-NZ"/>
              </w:rPr>
            </w:pPr>
          </w:p>
        </w:tc>
      </w:tr>
      <w:tr w:rsidR="006E75C6" w14:paraId="6A91BDCC" w14:textId="77777777">
        <w:tc>
          <w:tcPr>
            <w:tcW w:w="0" w:type="auto"/>
          </w:tcPr>
          <w:p w14:paraId="38978069" w14:textId="77777777" w:rsidR="004A2E70" w:rsidRPr="00BE00C7" w:rsidRDefault="004A2E70" w:rsidP="00BE00C7">
            <w:pPr>
              <w:pStyle w:val="OutcomeDescription"/>
              <w:spacing w:before="120" w:after="120"/>
              <w:rPr>
                <w:rFonts w:cs="Arial"/>
                <w:lang w:eastAsia="en-NZ"/>
              </w:rPr>
            </w:pPr>
            <w:r w:rsidRPr="00BE00C7">
              <w:rPr>
                <w:rFonts w:cs="Arial"/>
                <w:lang w:eastAsia="en-NZ"/>
              </w:rPr>
              <w:t>Subsection 1.7: I am informed and able to make choices</w:t>
            </w:r>
          </w:p>
          <w:p w14:paraId="27260F18"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A1DC21D" w14:textId="77777777" w:rsidR="004A2E70" w:rsidRPr="00BE00C7" w:rsidRDefault="004A2E70" w:rsidP="00BE00C7">
            <w:pPr>
              <w:pStyle w:val="OutcomeDescription"/>
              <w:spacing w:before="120" w:after="120"/>
              <w:rPr>
                <w:rFonts w:cs="Arial"/>
                <w:lang w:eastAsia="en-NZ"/>
              </w:rPr>
            </w:pPr>
          </w:p>
        </w:tc>
        <w:tc>
          <w:tcPr>
            <w:tcW w:w="0" w:type="auto"/>
          </w:tcPr>
          <w:p w14:paraId="62ACCDCA"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1A5FB6F2" w14:textId="77777777" w:rsidR="004A2E70" w:rsidRPr="00BE00C7" w:rsidRDefault="004A2E70" w:rsidP="00BE00C7">
            <w:pPr>
              <w:pStyle w:val="OutcomeDescription"/>
              <w:spacing w:before="120" w:after="120"/>
              <w:rPr>
                <w:rFonts w:cs="Arial"/>
                <w:lang w:eastAsia="en-NZ"/>
              </w:rPr>
            </w:pPr>
            <w:r w:rsidRPr="00BE00C7">
              <w:rPr>
                <w:rFonts w:cs="Arial"/>
                <w:lang w:eastAsia="en-NZ"/>
              </w:rPr>
              <w:t>Signed admission agreements were evidenced in the sampled residents’ records. Resuscitation forms, and care plans were signed by residents who are competent and able to consent, and a medical decision was made by the general practitioner (GP) for residents who were unable to provide consent. The resident files sampled verified that informed consent for the provision of care had been gained appropriately using the organisation’s standard consent form. These are signed by the resident and/or an enduring power</w:t>
            </w:r>
            <w:r w:rsidRPr="00BE00C7">
              <w:rPr>
                <w:rFonts w:cs="Arial"/>
                <w:lang w:eastAsia="en-NZ"/>
              </w:rPr>
              <w:t xml:space="preserve"> of attorney (EPOA). </w:t>
            </w:r>
          </w:p>
          <w:p w14:paraId="64FA1F5A" w14:textId="77777777" w:rsidR="004A2E70" w:rsidRPr="00BE00C7" w:rsidRDefault="004A2E70" w:rsidP="00BE00C7">
            <w:pPr>
              <w:pStyle w:val="OutcomeDescription"/>
              <w:spacing w:before="120" w:after="120"/>
              <w:rPr>
                <w:rFonts w:cs="Arial"/>
                <w:lang w:eastAsia="en-NZ"/>
              </w:rPr>
            </w:pPr>
          </w:p>
        </w:tc>
      </w:tr>
      <w:tr w:rsidR="006E75C6" w14:paraId="479442EC" w14:textId="77777777">
        <w:tc>
          <w:tcPr>
            <w:tcW w:w="0" w:type="auto"/>
          </w:tcPr>
          <w:p w14:paraId="742B2FD8" w14:textId="77777777" w:rsidR="004A2E70" w:rsidRPr="00BE00C7" w:rsidRDefault="004A2E70" w:rsidP="00BE00C7">
            <w:pPr>
              <w:pStyle w:val="OutcomeDescription"/>
              <w:spacing w:before="120" w:after="120"/>
              <w:rPr>
                <w:rFonts w:cs="Arial"/>
                <w:lang w:eastAsia="en-NZ"/>
              </w:rPr>
            </w:pPr>
            <w:r w:rsidRPr="00BE00C7">
              <w:rPr>
                <w:rFonts w:cs="Arial"/>
                <w:lang w:eastAsia="en-NZ"/>
              </w:rPr>
              <w:t>Subsection 1.8: I have the right to complain</w:t>
            </w:r>
          </w:p>
          <w:p w14:paraId="37D77186"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w:t>
            </w:r>
            <w:r w:rsidRPr="00BE00C7">
              <w:rPr>
                <w:rFonts w:cs="Arial"/>
                <w:lang w:eastAsia="en-NZ"/>
              </w:rPr>
              <w:lastRenderedPageBreak/>
              <w:t>equitable system in place to easily receive and resolve or escalate complaints in a manner that leads to quality improvement.</w:t>
            </w:r>
          </w:p>
          <w:p w14:paraId="5F2AE57D" w14:textId="77777777" w:rsidR="004A2E70" w:rsidRPr="00BE00C7" w:rsidRDefault="004A2E70" w:rsidP="00BE00C7">
            <w:pPr>
              <w:pStyle w:val="OutcomeDescription"/>
              <w:spacing w:before="120" w:after="120"/>
              <w:rPr>
                <w:rFonts w:cs="Arial"/>
                <w:lang w:eastAsia="en-NZ"/>
              </w:rPr>
            </w:pPr>
          </w:p>
        </w:tc>
        <w:tc>
          <w:tcPr>
            <w:tcW w:w="0" w:type="auto"/>
          </w:tcPr>
          <w:p w14:paraId="0BB2D503"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A29D71"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 complaints management policy and procedures were clearly documented to guide staff. The process complies with Right 10 of the Code of Rights, which is the right to complain, to be taken seriously, respected and to receive a timely response. The service maintains a complaints’ register. There were 28 complaints in 2024, and 16 in 2025 (year to date) since the previous audit. The CM reported that the complaint process timeframes are adhered to, and service improvement measures are implemented as </w:t>
            </w:r>
            <w:r w:rsidRPr="00BE00C7">
              <w:rPr>
                <w:rFonts w:cs="Arial"/>
                <w:lang w:eastAsia="en-NZ"/>
              </w:rPr>
              <w:lastRenderedPageBreak/>
              <w:t>required. Documentation, including follow-up letters and resolution, was completed and managed in accordance with guidelines set by the Health and Disability Commissioner. Discussions with residents and family/whānau confirmed that they are provided with information on the complaints process, and remarked that any concerns or issues they had, were addressed promptly. The CM reported that any issues are discussed promptly with the residents before they escalate into complaints. Satisfaction and dissatisfacti</w:t>
            </w:r>
            <w:r w:rsidRPr="00BE00C7">
              <w:rPr>
                <w:rFonts w:cs="Arial"/>
                <w:lang w:eastAsia="en-NZ"/>
              </w:rPr>
              <w:t>on outcomes of the complainant were documented.</w:t>
            </w:r>
          </w:p>
          <w:p w14:paraId="077EF197" w14:textId="77777777" w:rsidR="004A2E70" w:rsidRPr="00BE00C7" w:rsidRDefault="004A2E70" w:rsidP="00BE00C7">
            <w:pPr>
              <w:pStyle w:val="OutcomeDescription"/>
              <w:spacing w:before="120" w:after="120"/>
              <w:rPr>
                <w:rFonts w:cs="Arial"/>
                <w:lang w:eastAsia="en-NZ"/>
              </w:rPr>
            </w:pPr>
            <w:r w:rsidRPr="00BE00C7">
              <w:rPr>
                <w:rFonts w:cs="Arial"/>
                <w:lang w:eastAsia="en-NZ"/>
              </w:rPr>
              <w:t>Family/whānau and residents making a complaint can involve an independent support person in the process if they choose. The complaints process is linked to advocacy services. The Code of Health and Disability Services Consumers’ Rights is visible and available in te reo Māori and English. The residents and family/whānau spoken with expressed satisfaction with the complaint process. In the event of a complaint from a Māori resident or family/whānau member, the service would seek the assistance of an interpre</w:t>
            </w:r>
            <w:r w:rsidRPr="00BE00C7">
              <w:rPr>
                <w:rFonts w:cs="Arial"/>
                <w:lang w:eastAsia="en-NZ"/>
              </w:rPr>
              <w:t>ter or cultural advisor if needed.</w:t>
            </w:r>
          </w:p>
          <w:p w14:paraId="2C06D2CC"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There have been two external complaints received since the last audit. The Ministry requested follow up against four aspects of a complaint related to effective communication, following the National Adverse Event Reporting policy, complaint management, statutory and regulatory obligations in relation to essential notification reporting, comprehensive assessment processes and updating of care plans. There were no identified issues in respect of this complaint. </w:t>
            </w:r>
          </w:p>
          <w:p w14:paraId="1CD1A4A4" w14:textId="77777777" w:rsidR="004A2E70" w:rsidRPr="00BE00C7" w:rsidRDefault="004A2E70" w:rsidP="00BE00C7">
            <w:pPr>
              <w:pStyle w:val="OutcomeDescription"/>
              <w:spacing w:before="120" w:after="120"/>
              <w:rPr>
                <w:rFonts w:cs="Arial"/>
                <w:lang w:eastAsia="en-NZ"/>
              </w:rPr>
            </w:pPr>
            <w:r w:rsidRPr="00BE00C7">
              <w:rPr>
                <w:rFonts w:cs="Arial"/>
                <w:lang w:eastAsia="en-NZ"/>
              </w:rPr>
              <w:t>The service has responded and complied with all requirements of supplying the requested information. All relevant interventions and resolutions have been implemented. One external complaint has been closed, and the other remains open. Key learnings from the complaints have been implemented. All complaints reviewed were acknowledged, investigated, reported, and had outcomes communicated within required timeframes. This was reiterated in interviews with residents and family/whānau. There were no issues identi</w:t>
            </w:r>
            <w:r w:rsidRPr="00BE00C7">
              <w:rPr>
                <w:rFonts w:cs="Arial"/>
                <w:lang w:eastAsia="en-NZ"/>
              </w:rPr>
              <w:t>fied in this audit in relation to these complaints.</w:t>
            </w:r>
          </w:p>
          <w:p w14:paraId="31A5FAD3" w14:textId="77777777" w:rsidR="004A2E70" w:rsidRPr="00BE00C7" w:rsidRDefault="004A2E70" w:rsidP="00BE00C7">
            <w:pPr>
              <w:pStyle w:val="OutcomeDescription"/>
              <w:spacing w:before="120" w:after="120"/>
              <w:rPr>
                <w:rFonts w:cs="Arial"/>
                <w:lang w:eastAsia="en-NZ"/>
              </w:rPr>
            </w:pPr>
          </w:p>
        </w:tc>
      </w:tr>
      <w:tr w:rsidR="006E75C6" w14:paraId="575A2C44" w14:textId="77777777">
        <w:tc>
          <w:tcPr>
            <w:tcW w:w="0" w:type="auto"/>
          </w:tcPr>
          <w:p w14:paraId="1DD84282"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2.1: Governance</w:t>
            </w:r>
          </w:p>
          <w:p w14:paraId="0C7C48DA"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w:t>
            </w:r>
            <w:r w:rsidRPr="00BE00C7">
              <w:rPr>
                <w:rFonts w:cs="Arial"/>
                <w:lang w:eastAsia="en-NZ"/>
              </w:rPr>
              <w:lastRenderedPageBreak/>
              <w:t>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037B96" w14:textId="77777777" w:rsidR="004A2E70" w:rsidRPr="00BE00C7" w:rsidRDefault="004A2E70" w:rsidP="00BE00C7">
            <w:pPr>
              <w:pStyle w:val="OutcomeDescription"/>
              <w:spacing w:before="120" w:after="120"/>
              <w:rPr>
                <w:rFonts w:cs="Arial"/>
                <w:lang w:eastAsia="en-NZ"/>
              </w:rPr>
            </w:pPr>
          </w:p>
        </w:tc>
        <w:tc>
          <w:tcPr>
            <w:tcW w:w="0" w:type="auto"/>
          </w:tcPr>
          <w:p w14:paraId="7BA8D94B"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7A50E1B"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Sarah Selwyn is owned and operated by Selwyn Care Limited. The service provides care for up to 80 residents at hospital (geriatric and medical) and rest home level care. All rooms are designed for single occupancy and are </w:t>
            </w:r>
            <w:r w:rsidRPr="00BE00C7">
              <w:rPr>
                <w:rFonts w:cs="Arial"/>
                <w:lang w:eastAsia="en-NZ"/>
              </w:rPr>
              <w:lastRenderedPageBreak/>
              <w:t xml:space="preserve">certified as dual-purpose. </w:t>
            </w:r>
          </w:p>
          <w:p w14:paraId="321ADF07"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On the day of the audit, there were 78 residents: 12 rest home, including one respite, the other a </w:t>
            </w:r>
            <w:r w:rsidRPr="00BE00C7">
              <w:rPr>
                <w:rFonts w:cs="Arial"/>
                <w:lang w:eastAsia="en-NZ"/>
              </w:rPr>
              <w:t>private paying resident; and 64 hospital, including one on long-term support- chronic health care (LTS-CHC) contract, and one on primary options of acute care (POAC). All remaining residents were admitted under the age-related residential care (ARRC) contract.</w:t>
            </w:r>
          </w:p>
          <w:p w14:paraId="4BEAD261" w14:textId="77777777" w:rsidR="004A2E70" w:rsidRPr="00BE00C7" w:rsidRDefault="004A2E70" w:rsidP="00BE00C7">
            <w:pPr>
              <w:pStyle w:val="OutcomeDescription"/>
              <w:spacing w:before="120" w:after="120"/>
              <w:rPr>
                <w:rFonts w:cs="Arial"/>
                <w:lang w:eastAsia="en-NZ"/>
              </w:rPr>
            </w:pPr>
            <w:r w:rsidRPr="00BE00C7">
              <w:rPr>
                <w:rFonts w:cs="Arial"/>
                <w:lang w:eastAsia="en-NZ"/>
              </w:rPr>
              <w:t>Significant changes have occurred since the last audit, including the creation of two Boards, namely one that governs care centres (Selwyn Care Limited), and the Selwyn Foundation Charitable Trust that governs other charitable activities of the organisation. The Selwyn Care Limited Board works in close collaboration with the senior management team. There is a strategic plan, which is split into yearly increments in the annual business plan. The strategic plan is reviewed annually, and progress towards meeti</w:t>
            </w:r>
            <w:r w:rsidRPr="00BE00C7">
              <w:rPr>
                <w:rFonts w:cs="Arial"/>
                <w:lang w:eastAsia="en-NZ"/>
              </w:rPr>
              <w:t xml:space="preserve">ng annual goals is reviewed regularly and discussed at Board meetings. The meeting minutes show a discussion of the objectives and progress. There is a quality and risk management plan documented, which is updated as required and at least annually. Clinical governance is provided by a clinical governance committee, chaired by a retired Health New Zealand Chief Nurse. The clinical governance committee reviews all aspects of the quality programme annually. </w:t>
            </w:r>
          </w:p>
          <w:p w14:paraId="0A95ADFB" w14:textId="77777777" w:rsidR="004A2E70" w:rsidRPr="00BE00C7" w:rsidRDefault="004A2E7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the meaningful inclusion of Māori and Pasifika in honouring Te Tiriti o Waitangi, and being focused on improving outcomes for Māori and Pasifika. Equity for Māori and Pasifika is also addressed through the policy documentation and enabled through choice and control over supports and the removal of barriers that prevent access to information (eg, information in other languages for the Code of Rights, informatio</w:t>
            </w:r>
            <w:r w:rsidRPr="00BE00C7">
              <w:rPr>
                <w:rFonts w:cs="Arial"/>
                <w:lang w:eastAsia="en-NZ"/>
              </w:rPr>
              <w:t xml:space="preserve">n in respect of complaints, and infection prevention and control). Local Māori organisations are consulted in policy formulation and cultural advice. The CEO and director of care were knowledgeable about legislative and contractual requirements. </w:t>
            </w:r>
          </w:p>
          <w:p w14:paraId="2B402863" w14:textId="77777777" w:rsidR="004A2E70" w:rsidRPr="00BE00C7" w:rsidRDefault="004A2E70" w:rsidP="00BE00C7">
            <w:pPr>
              <w:pStyle w:val="OutcomeDescription"/>
              <w:spacing w:before="120" w:after="120"/>
              <w:rPr>
                <w:rFonts w:cs="Arial"/>
                <w:lang w:eastAsia="en-NZ"/>
              </w:rPr>
            </w:pPr>
          </w:p>
        </w:tc>
      </w:tr>
      <w:tr w:rsidR="006E75C6" w14:paraId="4FDDBB49" w14:textId="77777777">
        <w:tc>
          <w:tcPr>
            <w:tcW w:w="0" w:type="auto"/>
          </w:tcPr>
          <w:p w14:paraId="3960FF6D"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933C074"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w:t>
            </w:r>
            <w:r w:rsidRPr="00BE00C7">
              <w:rPr>
                <w:rFonts w:cs="Arial"/>
                <w:lang w:eastAsia="en-NZ"/>
              </w:rPr>
              <w:lastRenderedPageBreak/>
              <w:t>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16B0366" w14:textId="77777777" w:rsidR="004A2E70" w:rsidRPr="00BE00C7" w:rsidRDefault="004A2E70" w:rsidP="00BE00C7">
            <w:pPr>
              <w:pStyle w:val="OutcomeDescription"/>
              <w:spacing w:before="120" w:after="120"/>
              <w:rPr>
                <w:rFonts w:cs="Arial"/>
                <w:lang w:eastAsia="en-NZ"/>
              </w:rPr>
            </w:pPr>
          </w:p>
        </w:tc>
        <w:tc>
          <w:tcPr>
            <w:tcW w:w="0" w:type="auto"/>
          </w:tcPr>
          <w:p w14:paraId="716E310D"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5CA720"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 service implements the organisation’s quality and risk management programme, which is directed by the organisational framework. The quality management systems include performance evaluation through monitoring, </w:t>
            </w:r>
            <w:r w:rsidRPr="00BE00C7">
              <w:rPr>
                <w:rFonts w:cs="Arial"/>
                <w:lang w:eastAsia="en-NZ"/>
              </w:rPr>
              <w:lastRenderedPageBreak/>
              <w:t>measurement, analysis, and evaluation; a programme of internal audits; and a process for identifying and addressing corrective actions.</w:t>
            </w:r>
          </w:p>
          <w:p w14:paraId="1C844394" w14:textId="77777777" w:rsidR="004A2E70" w:rsidRPr="00BE00C7" w:rsidRDefault="004A2E70" w:rsidP="00BE00C7">
            <w:pPr>
              <w:pStyle w:val="OutcomeDescription"/>
              <w:spacing w:before="120" w:after="120"/>
              <w:rPr>
                <w:rFonts w:cs="Arial"/>
                <w:lang w:eastAsia="en-NZ"/>
              </w:rPr>
            </w:pPr>
            <w:r w:rsidRPr="00BE00C7">
              <w:rPr>
                <w:rFonts w:cs="Arial"/>
                <w:lang w:eastAsia="en-NZ"/>
              </w:rPr>
              <w:t>Internal audits, meetings (including monthly staff meetings, management meetings, and quality meetings), and data collation were all documented as scheduled, with corrective actions as indicated. Corrective actions are being documented to address service improvements, with evidence of progress and sign-off when achieved. This corrective action document is posted in the staffroom and discussed in staff meetings. Meetings provide an avenue for discussions in relation to key performance indicators (including c</w:t>
            </w:r>
            <w:r w:rsidRPr="00BE00C7">
              <w:rPr>
                <w:rFonts w:cs="Arial"/>
                <w:lang w:eastAsia="en-NZ"/>
              </w:rPr>
              <w:t>linical, such as infections, bruising, pressure injuries, skin tears, urinary tract infections, restraint, etc), quality data, health and safety, infection control/pandemic strategies, complaints received (if any), staffing, and education. Meeting minutes and quality data tables are also posted in the staffroom.</w:t>
            </w:r>
          </w:p>
          <w:p w14:paraId="19214D26"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Resident/family satisfaction surveys completed in August and October 2025 reflected high levels of satisfaction in all areas. Minimal corrective actions were identified in areas, such as food and call bells, which have been implemented. </w:t>
            </w:r>
          </w:p>
          <w:p w14:paraId="2D99701D"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 quality and risk management plan, policies, and procedures clearly describe all potential internal and external risks, and corresponding mitigation strategies in line with the National Adverse Event Reporting Policy. Management knew the Severity Assessment Codes (SAC), SAC1 and SAC 2 reporting requirements. These were reported as per protocol. Discussions with the management team evidenced awareness of their requirement to notify relevant authorities in relation to essential notifications. </w:t>
            </w:r>
          </w:p>
          <w:p w14:paraId="726EE30C"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A health and safety system with identified health and safety goals is in place. Hazard identification forms held in the staffroom, and an up-to-date hazard register were sighted. Health and safety policies are implemented and monitored by the health and safety committee. There are regular manual handling sessions for staff. Staff state that they are kept informed on health and safety. </w:t>
            </w:r>
          </w:p>
          <w:p w14:paraId="23092D63" w14:textId="77777777" w:rsidR="004A2E70" w:rsidRPr="00BE00C7" w:rsidRDefault="004A2E70" w:rsidP="00BE00C7">
            <w:pPr>
              <w:pStyle w:val="OutcomeDescription"/>
              <w:spacing w:before="120" w:after="120"/>
              <w:rPr>
                <w:rFonts w:cs="Arial"/>
                <w:lang w:eastAsia="en-NZ"/>
              </w:rPr>
            </w:pPr>
            <w:r w:rsidRPr="00BE00C7">
              <w:rPr>
                <w:rFonts w:cs="Arial"/>
                <w:lang w:eastAsia="en-NZ"/>
              </w:rPr>
              <w:t>Individual reports are completed for each incident/accident, with immediate action noted and any follow-up action(s) required. Incident and accident data is collated monthly and analysed for trends. Results are discussed at the meetings. Ten resident-related accident/incident forms were reviewed. Each event involving a resident reflected a clinical assessment and follow up by a registered nurse.</w:t>
            </w:r>
          </w:p>
          <w:p w14:paraId="321EE357"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The continuous improvement rating awarded at the previous certification audit has been maintained. The service continues to demonstrate sustained improvement in the delivery of palliative and end-of-life care. Referrals to the Palliative Outcome Initiative (POI) team have increased to 39 residents, indicating proactive identification and management of palliative needs. The service maintains strong collaboration with the local hospice and palliative care team, ensuring timely access to specialist input. Addi</w:t>
            </w:r>
            <w:r w:rsidRPr="00BE00C7">
              <w:rPr>
                <w:rFonts w:cs="Arial"/>
                <w:lang w:eastAsia="en-NZ"/>
              </w:rPr>
              <w:t xml:space="preserve">tional registered nurses have completed palliative care training, further strengthening the clinical team’s capability. Feedback from family/whānau interviews and satisfaction surveys was consistently positive, with comments highlighting compassionate care, effective communication, and overall satisfaction with the service provided. </w:t>
            </w:r>
          </w:p>
          <w:p w14:paraId="6604592B" w14:textId="77777777" w:rsidR="004A2E70" w:rsidRPr="00BE00C7" w:rsidRDefault="004A2E70" w:rsidP="00BE00C7">
            <w:pPr>
              <w:pStyle w:val="OutcomeDescription"/>
              <w:spacing w:before="120" w:after="120"/>
              <w:rPr>
                <w:rFonts w:cs="Arial"/>
                <w:lang w:eastAsia="en-NZ"/>
              </w:rPr>
            </w:pPr>
          </w:p>
        </w:tc>
      </w:tr>
      <w:tr w:rsidR="006E75C6" w14:paraId="125E5E25" w14:textId="77777777">
        <w:tc>
          <w:tcPr>
            <w:tcW w:w="0" w:type="auto"/>
          </w:tcPr>
          <w:p w14:paraId="0866B23E"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6D0BC61"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0D7B67E" w14:textId="77777777" w:rsidR="004A2E70" w:rsidRPr="00BE00C7" w:rsidRDefault="004A2E70" w:rsidP="00BE00C7">
            <w:pPr>
              <w:pStyle w:val="OutcomeDescription"/>
              <w:spacing w:before="120" w:after="120"/>
              <w:rPr>
                <w:rFonts w:cs="Arial"/>
                <w:lang w:eastAsia="en-NZ"/>
              </w:rPr>
            </w:pPr>
          </w:p>
        </w:tc>
        <w:tc>
          <w:tcPr>
            <w:tcW w:w="0" w:type="auto"/>
          </w:tcPr>
          <w:p w14:paraId="1E80F723"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5495BAD4"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service adjusts staffing levels to meet the changing </w:t>
            </w:r>
            <w:r w:rsidRPr="00BE00C7">
              <w:rPr>
                <w:rFonts w:cs="Arial"/>
                <w:lang w:eastAsia="en-NZ"/>
              </w:rPr>
              <w:t>needs of residents. Care partners reported that there has been adequate staff at the service. Residents and family/whānau interviewed supported this.</w:t>
            </w:r>
          </w:p>
          <w:p w14:paraId="0F2D2AF0" w14:textId="77777777" w:rsidR="004A2E70" w:rsidRPr="00BE00C7" w:rsidRDefault="004A2E70" w:rsidP="00BE00C7">
            <w:pPr>
              <w:pStyle w:val="OutcomeDescription"/>
              <w:spacing w:before="120" w:after="120"/>
              <w:rPr>
                <w:rFonts w:cs="Arial"/>
                <w:lang w:eastAsia="en-NZ"/>
              </w:rPr>
            </w:pPr>
            <w:r w:rsidRPr="00BE00C7">
              <w:rPr>
                <w:rFonts w:cs="Arial"/>
                <w:lang w:eastAsia="en-NZ"/>
              </w:rPr>
              <w:t>Rosters from the past four weeks showed that all shifts were covered by experienced registered nurses and care partners, with support from the management team. The service employed 15 registered nurses, and all shifts were covered by the registered nurses. A significant number of staff members maintain current first-aid certificates, so there is always a first aider on site.</w:t>
            </w:r>
          </w:p>
          <w:p w14:paraId="52D4FD72"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The training and development officer, clinical operations manager, and CM reported that most of the training is completed online or </w:t>
            </w:r>
            <w:r w:rsidRPr="00BE00C7">
              <w:rPr>
                <w:rFonts w:cs="Arial"/>
                <w:lang w:eastAsia="en-NZ"/>
              </w:rPr>
              <w:t>face-to-face, Munch and Learn, and Practical Day every month. Evidence of regular education provided to staff was sighted in attendance records. Training topics included (but not limited to): Covid-19 (donning and doffing of personal protective equipment and standard infection control precautions); moving and handling; medication, critical thinking; fundamental of palliative care; de-escalation; shared goals of care; depression; pain management; falls assessment; cardiovascular assessment; care planning; ch</w:t>
            </w:r>
            <w:r w:rsidRPr="00BE00C7">
              <w:rPr>
                <w:rFonts w:cs="Arial"/>
                <w:lang w:eastAsia="en-NZ"/>
              </w:rPr>
              <w:t xml:space="preserve">emical training; skin tear management; wound management; continence </w:t>
            </w:r>
            <w:r w:rsidRPr="00BE00C7">
              <w:rPr>
                <w:rFonts w:cs="Arial"/>
                <w:lang w:eastAsia="en-NZ"/>
              </w:rPr>
              <w:lastRenderedPageBreak/>
              <w:t>management; abuse and neglect; first aid; fire evacuation; and restraint management.</w:t>
            </w:r>
          </w:p>
          <w:p w14:paraId="500BEA76" w14:textId="77777777" w:rsidR="004A2E70" w:rsidRPr="00BE00C7" w:rsidRDefault="004A2E70" w:rsidP="00BE00C7">
            <w:pPr>
              <w:pStyle w:val="OutcomeDescription"/>
              <w:spacing w:before="120" w:after="120"/>
              <w:rPr>
                <w:rFonts w:cs="Arial"/>
                <w:lang w:eastAsia="en-NZ"/>
              </w:rPr>
            </w:pPr>
            <w:r w:rsidRPr="00BE00C7">
              <w:rPr>
                <w:rFonts w:cs="Arial"/>
                <w:lang w:eastAsia="en-NZ"/>
              </w:rPr>
              <w:t>Related competencies are assessed as per policy requirements. Care staff have either completed or commenced a New Zealand Qualification Authority education programme to meet the provider’s funding and service agreement requirements. Staff records were reviewed to demonstrate completion of the required training and competency assessments. There are 44 care partners employed. Thirty-two have achieved NZQA qualification level four, seven with level three, one with level two, and four have been enrolled for tra</w:t>
            </w:r>
            <w:r w:rsidRPr="00BE00C7">
              <w:rPr>
                <w:rFonts w:cs="Arial"/>
                <w:lang w:eastAsia="en-NZ"/>
              </w:rPr>
              <w:t>ining and above NZQA qualification. The management team reported that the model of care ensured that all residents are treated equitably.</w:t>
            </w:r>
          </w:p>
          <w:p w14:paraId="742E87DB" w14:textId="77777777" w:rsidR="004A2E70" w:rsidRPr="00BE00C7" w:rsidRDefault="004A2E7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These staff records sampled demonstrated completion of the required training and competency assessments.</w:t>
            </w:r>
          </w:p>
          <w:p w14:paraId="381ED857" w14:textId="77777777" w:rsidR="004A2E70" w:rsidRPr="00BE00C7" w:rsidRDefault="004A2E70" w:rsidP="00BE00C7">
            <w:pPr>
              <w:pStyle w:val="OutcomeDescription"/>
              <w:spacing w:before="120" w:after="120"/>
              <w:rPr>
                <w:rFonts w:cs="Arial"/>
                <w:lang w:eastAsia="en-NZ"/>
              </w:rPr>
            </w:pPr>
          </w:p>
        </w:tc>
      </w:tr>
      <w:tr w:rsidR="006E75C6" w14:paraId="4658EE05" w14:textId="77777777">
        <w:tc>
          <w:tcPr>
            <w:tcW w:w="0" w:type="auto"/>
          </w:tcPr>
          <w:p w14:paraId="494E716E"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1626772"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7275C21" w14:textId="77777777" w:rsidR="004A2E70" w:rsidRPr="00BE00C7" w:rsidRDefault="004A2E70" w:rsidP="00BE00C7">
            <w:pPr>
              <w:pStyle w:val="OutcomeDescription"/>
              <w:spacing w:before="120" w:after="120"/>
              <w:rPr>
                <w:rFonts w:cs="Arial"/>
                <w:lang w:eastAsia="en-NZ"/>
              </w:rPr>
            </w:pPr>
          </w:p>
        </w:tc>
        <w:tc>
          <w:tcPr>
            <w:tcW w:w="0" w:type="auto"/>
          </w:tcPr>
          <w:p w14:paraId="5C061E0D"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71BBBE2C"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and include recruitment, selection, orientation, and staff training and development. </w:t>
            </w:r>
          </w:p>
          <w:p w14:paraId="4A7B9BF0"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Qualifications are validated prior to employment. A register of annual practising certificates (APCs) is maintained for RNs and associated health contractors. </w:t>
            </w:r>
          </w:p>
          <w:p w14:paraId="031A2D11" w14:textId="77777777" w:rsidR="004A2E70" w:rsidRPr="00BE00C7" w:rsidRDefault="004A2E70" w:rsidP="00BE00C7">
            <w:pPr>
              <w:pStyle w:val="OutcomeDescription"/>
              <w:spacing w:before="120" w:after="120"/>
              <w:rPr>
                <w:rFonts w:cs="Arial"/>
                <w:lang w:eastAsia="en-NZ"/>
              </w:rPr>
            </w:pPr>
            <w:r w:rsidRPr="00BE00C7">
              <w:rPr>
                <w:rFonts w:cs="Arial"/>
                <w:lang w:eastAsia="en-NZ"/>
              </w:rPr>
              <w:t>A sample of staff records reviewed confirmed the organisation’s policies are being consistently implemented. All staff records reviewed evidenced completed induction and orientation. A total of six staff files (two senior RNs, two care partners, one house lead, one housekeeper) were reviewed. Staff files included reference checks; police checks; appraisals; competencies; individual training plans; professional qualifications; orientation; employment agreements; and position descriptions.</w:t>
            </w:r>
          </w:p>
          <w:p w14:paraId="1E3FA7B7" w14:textId="77777777" w:rsidR="004A2E70" w:rsidRPr="00BE00C7" w:rsidRDefault="004A2E70" w:rsidP="00BE00C7">
            <w:pPr>
              <w:pStyle w:val="OutcomeDescription"/>
              <w:spacing w:before="120" w:after="120"/>
              <w:rPr>
                <w:rFonts w:cs="Arial"/>
                <w:lang w:eastAsia="en-NZ"/>
              </w:rPr>
            </w:pPr>
            <w:r w:rsidRPr="00BE00C7">
              <w:rPr>
                <w:rFonts w:cs="Arial"/>
                <w:lang w:eastAsia="en-NZ"/>
              </w:rPr>
              <w:t>Staff performance is reviewed and discussed at regular intervals; this was confirmed through documentation sighted and interviews with staff. Staff reported that they have input into the performance appraisal process, and that they can set their own goals.</w:t>
            </w:r>
          </w:p>
          <w:p w14:paraId="0B11D65A" w14:textId="77777777" w:rsidR="004A2E70" w:rsidRPr="00BE00C7" w:rsidRDefault="004A2E70" w:rsidP="00BE00C7">
            <w:pPr>
              <w:pStyle w:val="OutcomeDescription"/>
              <w:spacing w:before="120" w:after="120"/>
              <w:rPr>
                <w:rFonts w:cs="Arial"/>
                <w:lang w:eastAsia="en-NZ"/>
              </w:rPr>
            </w:pPr>
          </w:p>
        </w:tc>
      </w:tr>
      <w:tr w:rsidR="006E75C6" w14:paraId="6C5A1A23" w14:textId="77777777">
        <w:tc>
          <w:tcPr>
            <w:tcW w:w="0" w:type="auto"/>
          </w:tcPr>
          <w:p w14:paraId="5CB01FEA"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BC535A3"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7A7A20F" w14:textId="77777777" w:rsidR="004A2E70" w:rsidRPr="00BE00C7" w:rsidRDefault="004A2E70" w:rsidP="00BE00C7">
            <w:pPr>
              <w:pStyle w:val="OutcomeDescription"/>
              <w:spacing w:before="120" w:after="120"/>
              <w:rPr>
                <w:rFonts w:cs="Arial"/>
                <w:lang w:eastAsia="en-NZ"/>
              </w:rPr>
            </w:pPr>
          </w:p>
        </w:tc>
        <w:tc>
          <w:tcPr>
            <w:tcW w:w="0" w:type="auto"/>
          </w:tcPr>
          <w:p w14:paraId="4500C608"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49B9FDAB" w14:textId="77777777" w:rsidR="004A2E70" w:rsidRPr="00BE00C7" w:rsidRDefault="004A2E70" w:rsidP="00BE00C7">
            <w:pPr>
              <w:pStyle w:val="OutcomeDescription"/>
              <w:spacing w:before="120" w:after="120"/>
              <w:rPr>
                <w:rFonts w:cs="Arial"/>
                <w:lang w:eastAsia="en-NZ"/>
              </w:rPr>
            </w:pPr>
            <w:r w:rsidRPr="00BE00C7">
              <w:rPr>
                <w:rFonts w:cs="Arial"/>
                <w:lang w:eastAsia="en-NZ"/>
              </w:rPr>
              <w:t>Six resident files were reviewed, including four hospital level, including one resident on a LTS-CHC contract; and two rest home level. Registered nurses are responsible for all assessments including interRAI assessments and care planning. A physiotherapist is on site daily Monday to Friday to undertake mobility assessments and implement exercise plans for residents. Resident files have evidence of resident and family/whānau input in assessments and care planning, and those interviewed confirmed they are in</w:t>
            </w:r>
            <w:r w:rsidRPr="00BE00C7">
              <w:rPr>
                <w:rFonts w:cs="Arial"/>
                <w:lang w:eastAsia="en-NZ"/>
              </w:rPr>
              <w:t>volved at each stage from assessment to care planning, to evaluation. Initial assessments, short-term admission plans, interRAI assessments and long-term care planning are done within the timeframes required by the age-related residential care contract.</w:t>
            </w:r>
          </w:p>
          <w:p w14:paraId="7F455E03" w14:textId="77777777" w:rsidR="004A2E70" w:rsidRPr="00BE00C7" w:rsidRDefault="004A2E70"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At the time of the audit, all residents had chosen to be attended by the contracted general practitioner. Residents then have a monthly or three-monthly review by the general practitioner as a routine, or if their needs change, they are seen when needed. The general practice provides an on-call service after-hours, on weekends and public holidays. The general practitioner expressed staff are competent an</w:t>
            </w:r>
            <w:r w:rsidRPr="00BE00C7">
              <w:rPr>
                <w:rFonts w:cs="Arial"/>
                <w:lang w:eastAsia="en-NZ"/>
              </w:rPr>
              <w:t>d communicate any concerns in a clear and timely manner.</w:t>
            </w:r>
          </w:p>
          <w:p w14:paraId="23349194" w14:textId="77777777" w:rsidR="004A2E70" w:rsidRPr="00BE00C7" w:rsidRDefault="004A2E70" w:rsidP="00BE00C7">
            <w:pPr>
              <w:pStyle w:val="OutcomeDescription"/>
              <w:spacing w:before="120" w:after="120"/>
              <w:rPr>
                <w:rFonts w:cs="Arial"/>
                <w:lang w:eastAsia="en-NZ"/>
              </w:rPr>
            </w:pPr>
            <w:r w:rsidRPr="00BE00C7">
              <w:rPr>
                <w:rFonts w:cs="Arial"/>
                <w:lang w:eastAsia="en-NZ"/>
              </w:rPr>
              <w:t>The diversional therapist completes a detailed lifestyle assessment to identify residents’ interests and preferences, and uses this to develop a plan for meaningful activities. The lifestyle assessment includes a cultural assessment, and residents and family/whānau interviewed confirmed their extensive input into this. The service facilitates access to traditional Māori health practitioners as needed. Residents have access to a visiting podiatrist.</w:t>
            </w:r>
          </w:p>
          <w:p w14:paraId="32C1913D"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system, and other validated assessment tools. Where interRAI shows a trigger for a specific need, this is included in care plans. Care plans are comprehensive and holistic, and include the goals and aspirations of residents, and describe the interventions required to achieve these. Where there is a potential for a risk for a resident, such as a change in mood, infection or hypoglycaemia, early warning </w:t>
            </w:r>
            <w:r w:rsidRPr="00BE00C7">
              <w:rPr>
                <w:rFonts w:cs="Arial"/>
                <w:lang w:eastAsia="en-NZ"/>
              </w:rPr>
              <w:t>signs and symptoms to report to the registered nurse are documented. Care plans are recorded on an electronic system and care partners confirm they easily access them.</w:t>
            </w:r>
          </w:p>
          <w:p w14:paraId="46EDAD06"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w:t>
            </w:r>
            <w:r w:rsidRPr="00BE00C7">
              <w:rPr>
                <w:rFonts w:cs="Arial"/>
                <w:lang w:eastAsia="en-NZ"/>
              </w:rPr>
              <w:lastRenderedPageBreak/>
              <w:t>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Family/whānau are invited to either attend care plan reviews or to email any suggestions if they are unable to attend. When care plans are updat</w:t>
            </w:r>
            <w:r w:rsidRPr="00BE00C7">
              <w:rPr>
                <w:rFonts w:cs="Arial"/>
                <w:lang w:eastAsia="en-NZ"/>
              </w:rPr>
              <w:t xml:space="preserve">ed, care partners are updated on any changes. Where a resident’s progress is different from expected, the family/whānau is informed and the care plan is updated. Short-term care plans are developed for short-term needs, such as wounds and infections. At the time of the audit, there were nine wounds being treated, including two pressure injuries (both unstageable and acquired offsite), skin tears, a chronic ulcer, anal fissure, and skin lesions. A wound register is maintained, and review of wound care plans </w:t>
            </w:r>
            <w:r w:rsidRPr="00BE00C7">
              <w:rPr>
                <w:rFonts w:cs="Arial"/>
                <w:lang w:eastAsia="en-NZ"/>
              </w:rPr>
              <w:t>and photographs show wounds are managed according to best practice, with input from a wound nurse specialist if needed. Photographs and wound assessments show the progress of wounds.</w:t>
            </w:r>
          </w:p>
          <w:p w14:paraId="27138D2F" w14:textId="77777777" w:rsidR="004A2E70" w:rsidRPr="00BE00C7" w:rsidRDefault="004A2E70" w:rsidP="00BE00C7">
            <w:pPr>
              <w:pStyle w:val="OutcomeDescription"/>
              <w:spacing w:before="120" w:after="120"/>
              <w:rPr>
                <w:rFonts w:cs="Arial"/>
                <w:lang w:eastAsia="en-NZ"/>
              </w:rPr>
            </w:pPr>
            <w:r w:rsidRPr="00BE00C7">
              <w:rPr>
                <w:rFonts w:cs="Arial"/>
                <w:lang w:eastAsia="en-NZ"/>
              </w:rPr>
              <w:t>Progress notes are completed each shift by the care partners and daily by the registered nurse. If there is a change in the condition of a resident, the registered nurse is informed, undertakes an assessment and updates the care plan if needed.</w:t>
            </w:r>
          </w:p>
          <w:p w14:paraId="341BFAEC" w14:textId="77777777" w:rsidR="004A2E70" w:rsidRPr="00BE00C7" w:rsidRDefault="004A2E70"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oxygen saturation; vital signs; and food and fluids. Neurological observations are completed for unwitnessed falls or head injuries. All incident reports reviewed evidenced timely nursing follow up.</w:t>
            </w:r>
          </w:p>
          <w:p w14:paraId="30760813" w14:textId="77777777" w:rsidR="004A2E70" w:rsidRPr="00BE00C7" w:rsidRDefault="004A2E70" w:rsidP="00BE00C7">
            <w:pPr>
              <w:pStyle w:val="OutcomeDescription"/>
              <w:spacing w:before="120" w:after="120"/>
              <w:rPr>
                <w:rFonts w:cs="Arial"/>
                <w:lang w:eastAsia="en-NZ"/>
              </w:rPr>
            </w:pPr>
            <w:r w:rsidRPr="00BE00C7">
              <w:rPr>
                <w:rFonts w:cs="Arial"/>
                <w:lang w:eastAsia="en-NZ"/>
              </w:rPr>
              <w:t>Discussions with senior registered nurses and registered nurses identified senior registered nurses’ mentor registered nurses in interpreting assessment findings, care planning around individual needs, and identifying what signs and symptoms would indicate a change in the residents’ condition. Review of care plans show care plans are based on assessment findings, signs, and symptoms to report to the registered nurse are listed.</w:t>
            </w:r>
          </w:p>
          <w:p w14:paraId="3B20A0A9"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Review of the care plans show validated assessment tools are used for all assessments, including (but not limited to) falls risk, pain (including use of a specific pain assessment for residents with dementia), pressure injury risk, and continence. Assessments are completed routinely every six months and </w:t>
            </w:r>
            <w:r w:rsidRPr="00BE00C7">
              <w:rPr>
                <w:rFonts w:cs="Arial"/>
                <w:lang w:eastAsia="en-NZ"/>
              </w:rPr>
              <w:lastRenderedPageBreak/>
              <w:t xml:space="preserve">whenever there is a change in residents’ condition. Residents who have a fall are assessed by the physiotherapist. When an assessment identifies a change in residents’ status, a short-term care plan is developed for short-term needs (such as an infection), or the long-term care plan is updated for longer-term needs, such as a change in mobility or chronic pain. </w:t>
            </w:r>
          </w:p>
          <w:p w14:paraId="09AA7BC0" w14:textId="77777777" w:rsidR="004A2E70" w:rsidRPr="00BE00C7" w:rsidRDefault="004A2E70" w:rsidP="004A2E70">
            <w:pPr>
              <w:pStyle w:val="OutcomeDescription"/>
              <w:spacing w:before="120" w:after="120"/>
              <w:rPr>
                <w:rFonts w:cs="Arial"/>
                <w:lang w:eastAsia="en-NZ"/>
              </w:rPr>
            </w:pPr>
          </w:p>
        </w:tc>
      </w:tr>
      <w:tr w:rsidR="006E75C6" w14:paraId="60503309" w14:textId="77777777">
        <w:tc>
          <w:tcPr>
            <w:tcW w:w="0" w:type="auto"/>
          </w:tcPr>
          <w:p w14:paraId="57A9A30E"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3.4: My medication</w:t>
            </w:r>
          </w:p>
          <w:p w14:paraId="21E1311F"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to </w:t>
            </w:r>
            <w:r w:rsidRPr="00BE00C7">
              <w:rPr>
                <w:rFonts w:cs="Arial"/>
                <w:lang w:eastAsia="en-NZ"/>
              </w:rPr>
              <w:t>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7262E5A" w14:textId="77777777" w:rsidR="004A2E70" w:rsidRPr="00BE00C7" w:rsidRDefault="004A2E70" w:rsidP="00BE00C7">
            <w:pPr>
              <w:pStyle w:val="OutcomeDescription"/>
              <w:spacing w:before="120" w:after="120"/>
              <w:rPr>
                <w:rFonts w:cs="Arial"/>
                <w:lang w:eastAsia="en-NZ"/>
              </w:rPr>
            </w:pPr>
          </w:p>
        </w:tc>
        <w:tc>
          <w:tcPr>
            <w:tcW w:w="0" w:type="auto"/>
          </w:tcPr>
          <w:p w14:paraId="6ECD2675"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4F4948B2" w14:textId="77777777" w:rsidR="004A2E70" w:rsidRPr="00BE00C7" w:rsidRDefault="004A2E7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4976A79C" w14:textId="77777777" w:rsidR="004A2E70" w:rsidRPr="00BE00C7" w:rsidRDefault="004A2E7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Medicines were seen to be stored in locked trolleys, and locked medication rooms. The medication refrigerators and medication room temperatures are monitored daily and are within an acceptable range. Liquid medications and eye drops are</w:t>
            </w:r>
            <w:r w:rsidRPr="00BE00C7">
              <w:rPr>
                <w:rFonts w:cs="Arial"/>
                <w:lang w:eastAsia="en-NZ"/>
              </w:rPr>
              <w:t xml:space="preserve"> labelled with the date of opening. Unused and expired medications are returned to the pharmacy.</w:t>
            </w:r>
          </w:p>
          <w:p w14:paraId="6808E86E" w14:textId="77777777" w:rsidR="004A2E70" w:rsidRPr="00BE00C7" w:rsidRDefault="004A2E7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care partners who are required to pass an annual competency test, and have ongoing training in medicine management. Medication errors are reported in the electronic resident file system and appropriate investigation and follow up is done.</w:t>
            </w:r>
          </w:p>
          <w:p w14:paraId="38C9BF38" w14:textId="77777777" w:rsidR="004A2E70" w:rsidRPr="00BE00C7" w:rsidRDefault="004A2E70" w:rsidP="00BE00C7">
            <w:pPr>
              <w:pStyle w:val="OutcomeDescription"/>
              <w:spacing w:before="120" w:after="120"/>
              <w:rPr>
                <w:rFonts w:cs="Arial"/>
                <w:lang w:eastAsia="en-NZ"/>
              </w:rPr>
            </w:pPr>
            <w:r w:rsidRPr="00BE00C7">
              <w:rPr>
                <w:rFonts w:cs="Arial"/>
                <w:lang w:eastAsia="en-NZ"/>
              </w:rPr>
              <w:t>Twelve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2EB99977"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There are five residents currently who self-administer their medications. All had completed competencies on file. Staff keep the medications on the medication trolley for three residents, and the other two store their medications in a locked cupboard in their rooms, as sighted during the audit. </w:t>
            </w:r>
            <w:r w:rsidRPr="00BE00C7">
              <w:rPr>
                <w:rFonts w:cs="Arial"/>
                <w:lang w:eastAsia="en-NZ"/>
              </w:rPr>
              <w:lastRenderedPageBreak/>
              <w:t>There are no standing orders.</w:t>
            </w:r>
          </w:p>
          <w:p w14:paraId="21414712" w14:textId="77777777" w:rsidR="004A2E70" w:rsidRPr="00BE00C7" w:rsidRDefault="004A2E70" w:rsidP="00BE00C7">
            <w:pPr>
              <w:pStyle w:val="OutcomeDescription"/>
              <w:spacing w:before="120" w:after="120"/>
              <w:rPr>
                <w:rFonts w:cs="Arial"/>
                <w:lang w:eastAsia="en-NZ"/>
              </w:rPr>
            </w:pPr>
          </w:p>
        </w:tc>
      </w:tr>
      <w:tr w:rsidR="006E75C6" w14:paraId="48A60BDA" w14:textId="77777777">
        <w:tc>
          <w:tcPr>
            <w:tcW w:w="0" w:type="auto"/>
          </w:tcPr>
          <w:p w14:paraId="7FC2D4A1"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064280F"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D61C627" w14:textId="77777777" w:rsidR="004A2E70" w:rsidRPr="00BE00C7" w:rsidRDefault="004A2E70" w:rsidP="00BE00C7">
            <w:pPr>
              <w:pStyle w:val="OutcomeDescription"/>
              <w:spacing w:before="120" w:after="120"/>
              <w:rPr>
                <w:rFonts w:cs="Arial"/>
                <w:lang w:eastAsia="en-NZ"/>
              </w:rPr>
            </w:pPr>
          </w:p>
        </w:tc>
        <w:tc>
          <w:tcPr>
            <w:tcW w:w="0" w:type="auto"/>
          </w:tcPr>
          <w:p w14:paraId="3AFBA600"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631C340D"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w:t>
            </w:r>
            <w:r w:rsidRPr="00BE00C7">
              <w:rPr>
                <w:rFonts w:cs="Arial"/>
                <w:lang w:eastAsia="en-NZ"/>
              </w:rPr>
              <w:t>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w:t>
            </w:r>
          </w:p>
          <w:p w14:paraId="4C05BFB2" w14:textId="77777777" w:rsidR="004A2E70" w:rsidRPr="00BE00C7" w:rsidRDefault="004A2E70" w:rsidP="00BE00C7">
            <w:pPr>
              <w:pStyle w:val="OutcomeDescription"/>
              <w:spacing w:before="120" w:after="120"/>
              <w:rPr>
                <w:rFonts w:cs="Arial"/>
                <w:lang w:eastAsia="en-NZ"/>
              </w:rPr>
            </w:pPr>
            <w:r w:rsidRPr="00BE00C7">
              <w:rPr>
                <w:rFonts w:cs="Arial"/>
                <w:lang w:eastAsia="en-NZ"/>
              </w:rPr>
              <w:t>The food control plan is current to 30 January 2026.</w:t>
            </w:r>
          </w:p>
          <w:p w14:paraId="1397FBDD" w14:textId="77777777" w:rsidR="004A2E70" w:rsidRPr="00BE00C7" w:rsidRDefault="004A2E70" w:rsidP="00BE00C7">
            <w:pPr>
              <w:pStyle w:val="OutcomeDescription"/>
              <w:spacing w:before="120" w:after="120"/>
              <w:rPr>
                <w:rFonts w:cs="Arial"/>
                <w:lang w:eastAsia="en-NZ"/>
              </w:rPr>
            </w:pPr>
          </w:p>
        </w:tc>
      </w:tr>
      <w:tr w:rsidR="006E75C6" w14:paraId="0B5A6306" w14:textId="77777777">
        <w:tc>
          <w:tcPr>
            <w:tcW w:w="0" w:type="auto"/>
          </w:tcPr>
          <w:p w14:paraId="25217760"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FED54CD"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w:t>
            </w:r>
            <w:r w:rsidRPr="00BE00C7">
              <w:rPr>
                <w:rFonts w:cs="Arial"/>
                <w:lang w:eastAsia="en-NZ"/>
              </w:rPr>
              <w:t>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DAF56C" w14:textId="77777777" w:rsidR="004A2E70" w:rsidRPr="00BE00C7" w:rsidRDefault="004A2E70" w:rsidP="00BE00C7">
            <w:pPr>
              <w:pStyle w:val="OutcomeDescription"/>
              <w:spacing w:before="120" w:after="120"/>
              <w:rPr>
                <w:rFonts w:cs="Arial"/>
                <w:lang w:eastAsia="en-NZ"/>
              </w:rPr>
            </w:pPr>
          </w:p>
        </w:tc>
        <w:tc>
          <w:tcPr>
            <w:tcW w:w="0" w:type="auto"/>
          </w:tcPr>
          <w:p w14:paraId="5105E582"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6A428BAF" w14:textId="77777777" w:rsidR="004A2E70" w:rsidRPr="00BE00C7" w:rsidRDefault="004A2E7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w:t>
            </w:r>
          </w:p>
          <w:p w14:paraId="15F5A227" w14:textId="77777777" w:rsidR="004A2E70" w:rsidRPr="00BE00C7" w:rsidRDefault="004A2E70" w:rsidP="00BE00C7">
            <w:pPr>
              <w:pStyle w:val="OutcomeDescription"/>
              <w:spacing w:before="120" w:after="120"/>
              <w:rPr>
                <w:rFonts w:cs="Arial"/>
                <w:lang w:eastAsia="en-NZ"/>
              </w:rPr>
            </w:pPr>
          </w:p>
        </w:tc>
      </w:tr>
      <w:tr w:rsidR="006E75C6" w14:paraId="5AF255A3" w14:textId="77777777">
        <w:tc>
          <w:tcPr>
            <w:tcW w:w="0" w:type="auto"/>
          </w:tcPr>
          <w:p w14:paraId="2595A124" w14:textId="77777777" w:rsidR="004A2E70" w:rsidRPr="00BE00C7" w:rsidRDefault="004A2E70" w:rsidP="00BE00C7">
            <w:pPr>
              <w:pStyle w:val="OutcomeDescription"/>
              <w:spacing w:before="120" w:after="120"/>
              <w:rPr>
                <w:rFonts w:cs="Arial"/>
                <w:lang w:eastAsia="en-NZ"/>
              </w:rPr>
            </w:pPr>
            <w:r w:rsidRPr="00BE00C7">
              <w:rPr>
                <w:rFonts w:cs="Arial"/>
                <w:lang w:eastAsia="en-NZ"/>
              </w:rPr>
              <w:t>Subsection 4.1: The facility</w:t>
            </w:r>
          </w:p>
          <w:p w14:paraId="7853B240"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3DEA28BA" w14:textId="77777777" w:rsidR="004A2E70" w:rsidRPr="00BE00C7" w:rsidRDefault="004A2E70" w:rsidP="00BE00C7">
            <w:pPr>
              <w:pStyle w:val="OutcomeDescription"/>
              <w:spacing w:before="120" w:after="120"/>
              <w:rPr>
                <w:rFonts w:cs="Arial"/>
                <w:lang w:eastAsia="en-NZ"/>
              </w:rPr>
            </w:pPr>
          </w:p>
        </w:tc>
        <w:tc>
          <w:tcPr>
            <w:tcW w:w="0" w:type="auto"/>
          </w:tcPr>
          <w:p w14:paraId="5B293B90"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DEF4E7" w14:textId="77777777" w:rsidR="004A2E70" w:rsidRPr="00BE00C7" w:rsidRDefault="004A2E70" w:rsidP="00BE00C7">
            <w:pPr>
              <w:pStyle w:val="OutcomeDescription"/>
              <w:spacing w:before="120" w:after="120"/>
              <w:rPr>
                <w:rFonts w:cs="Arial"/>
                <w:lang w:eastAsia="en-NZ"/>
              </w:rPr>
            </w:pPr>
            <w:r w:rsidRPr="00BE00C7">
              <w:rPr>
                <w:rFonts w:cs="Arial"/>
                <w:lang w:eastAsia="en-NZ"/>
              </w:rPr>
              <w:t>The building has a current warrant of fitness.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and outside. Residents are encouraged to personali</w:t>
            </w:r>
            <w:r w:rsidRPr="00BE00C7">
              <w:rPr>
                <w:rFonts w:cs="Arial"/>
                <w:lang w:eastAsia="en-NZ"/>
              </w:rPr>
              <w:t xml:space="preserve">se their bedrooms with personal, cultural and spiritual belongings, as viewed on the </w:t>
            </w:r>
            <w:r w:rsidRPr="00BE00C7">
              <w:rPr>
                <w:rFonts w:cs="Arial"/>
                <w:lang w:eastAsia="en-NZ"/>
              </w:rPr>
              <w:lastRenderedPageBreak/>
              <w:t>day of audit.</w:t>
            </w:r>
          </w:p>
          <w:p w14:paraId="1F6629D9"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last completed on 29 May 2025, and calibration and testing of clinical equipment, last completed on 18 February 2025. Hot water temperatures have been tested and recorded in resident rooms. Hot water temperatures were within safe recommended ranges of below 45 degrees Celsius in residents’ rooms.</w:t>
            </w:r>
          </w:p>
          <w:p w14:paraId="2D601AD6" w14:textId="77777777" w:rsidR="004A2E70" w:rsidRPr="00BE00C7" w:rsidRDefault="004A2E70" w:rsidP="00BE00C7">
            <w:pPr>
              <w:pStyle w:val="OutcomeDescription"/>
              <w:spacing w:before="120" w:after="120"/>
              <w:rPr>
                <w:rFonts w:cs="Arial"/>
                <w:lang w:eastAsia="en-NZ"/>
              </w:rPr>
            </w:pPr>
          </w:p>
        </w:tc>
      </w:tr>
      <w:tr w:rsidR="006E75C6" w14:paraId="1CC34791" w14:textId="77777777">
        <w:tc>
          <w:tcPr>
            <w:tcW w:w="0" w:type="auto"/>
          </w:tcPr>
          <w:p w14:paraId="1DCC3C83"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F3A2F74"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3B4205" w14:textId="77777777" w:rsidR="004A2E70" w:rsidRPr="00BE00C7" w:rsidRDefault="004A2E70" w:rsidP="00BE00C7">
            <w:pPr>
              <w:pStyle w:val="OutcomeDescription"/>
              <w:spacing w:before="120" w:after="120"/>
              <w:rPr>
                <w:rFonts w:cs="Arial"/>
                <w:lang w:eastAsia="en-NZ"/>
              </w:rPr>
            </w:pPr>
          </w:p>
        </w:tc>
        <w:tc>
          <w:tcPr>
            <w:tcW w:w="0" w:type="auto"/>
          </w:tcPr>
          <w:p w14:paraId="1A607B3B"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02644FDE" w14:textId="77777777" w:rsidR="004A2E70" w:rsidRPr="00BE00C7" w:rsidRDefault="004A2E70" w:rsidP="00BE00C7">
            <w:pPr>
              <w:pStyle w:val="OutcomeDescription"/>
              <w:spacing w:before="120" w:after="120"/>
              <w:rPr>
                <w:rFonts w:cs="Arial"/>
                <w:lang w:eastAsia="en-NZ"/>
              </w:rPr>
            </w:pPr>
            <w:r w:rsidRPr="00BE00C7">
              <w:rPr>
                <w:rFonts w:cs="Arial"/>
                <w:lang w:eastAsia="en-NZ"/>
              </w:rPr>
              <w:t>The service has a clearly defined and documented infection prevention control (IPC) programme implemented, that was developed with input from external IPC services. The IPC programme was approved by the clinical governance committee, in consultation with the CM, clinical team, and is linked to the quality improvement programme. The IPC programme was current. The IPC policies were developed by suitably qualified personnel, and comply with relevant legislation and accepted best practices. The IPC policies ref</w:t>
            </w:r>
            <w:r w:rsidRPr="00BE00C7">
              <w:rPr>
                <w:rFonts w:cs="Arial"/>
                <w:lang w:eastAsia="en-NZ"/>
              </w:rPr>
              <w:t>lect the requirements of the infection prevention and control standards, and include appropriate referencing.</w:t>
            </w:r>
          </w:p>
          <w:p w14:paraId="5D58AB6C"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Staff have received education in IPC at orientation and through ongoing annual online education sessions. </w:t>
            </w:r>
            <w:r w:rsidRPr="00BE00C7">
              <w:rPr>
                <w:rFonts w:cs="Arial"/>
                <w:lang w:eastAsia="en-NZ"/>
              </w:rPr>
              <w:t>Education with residents was on an individual basis and as a group in residents’ meetings. This included reminders about handwashing and advice about remaining in their room if they are unwell. This was confirmed in interviews with residents and family/whānau.</w:t>
            </w:r>
          </w:p>
          <w:p w14:paraId="2DB53BC9" w14:textId="77777777" w:rsidR="004A2E70" w:rsidRPr="00BE00C7" w:rsidRDefault="004A2E70" w:rsidP="00BE00C7">
            <w:pPr>
              <w:pStyle w:val="OutcomeDescription"/>
              <w:spacing w:before="120" w:after="120"/>
              <w:rPr>
                <w:rFonts w:cs="Arial"/>
                <w:lang w:eastAsia="en-NZ"/>
              </w:rPr>
            </w:pPr>
          </w:p>
        </w:tc>
      </w:tr>
      <w:tr w:rsidR="006E75C6" w14:paraId="138BDE6D" w14:textId="77777777">
        <w:tc>
          <w:tcPr>
            <w:tcW w:w="0" w:type="auto"/>
          </w:tcPr>
          <w:p w14:paraId="0A9D4C56" w14:textId="77777777" w:rsidR="004A2E70" w:rsidRPr="00BE00C7" w:rsidRDefault="004A2E7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F863DBB"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w:t>
            </w:r>
            <w:r w:rsidRPr="00BE00C7">
              <w:rPr>
                <w:rFonts w:cs="Arial"/>
                <w:lang w:eastAsia="en-NZ"/>
              </w:rPr>
              <w:lastRenderedPageBreak/>
              <w:t>programme, and with an equity focus.</w:t>
            </w:r>
          </w:p>
          <w:p w14:paraId="6BFB1B81" w14:textId="77777777" w:rsidR="004A2E70" w:rsidRPr="00BE00C7" w:rsidRDefault="004A2E70" w:rsidP="00BE00C7">
            <w:pPr>
              <w:pStyle w:val="OutcomeDescription"/>
              <w:spacing w:before="120" w:after="120"/>
              <w:rPr>
                <w:rFonts w:cs="Arial"/>
                <w:lang w:eastAsia="en-NZ"/>
              </w:rPr>
            </w:pPr>
          </w:p>
        </w:tc>
        <w:tc>
          <w:tcPr>
            <w:tcW w:w="0" w:type="auto"/>
          </w:tcPr>
          <w:p w14:paraId="1B5B0546"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E60701" w14:textId="77777777" w:rsidR="004A2E70" w:rsidRPr="00BE00C7" w:rsidRDefault="004A2E7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data, is collated, and action plans are implemented. The HAIs being monitored included infections of the urinary tract, skin, eyes, respiratory, and wounds. Surveillance tools are used to collect infection data, and standardised surveillance definitions are used. Results of surveillance and recommendations to improve p</w:t>
            </w:r>
            <w:r w:rsidRPr="00BE00C7">
              <w:rPr>
                <w:rFonts w:cs="Arial"/>
                <w:lang w:eastAsia="en-NZ"/>
              </w:rPr>
              <w:t>erformance are discussed at staff and management meetings, and reported back to the governing body.</w:t>
            </w:r>
          </w:p>
          <w:p w14:paraId="4CA76A29" w14:textId="77777777" w:rsidR="004A2E70" w:rsidRPr="00BE00C7" w:rsidRDefault="004A2E70"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w:t>
            </w:r>
            <w:r w:rsidRPr="00BE00C7">
              <w:rPr>
                <w:rFonts w:cs="Arial"/>
                <w:lang w:eastAsia="en-NZ"/>
              </w:rPr>
              <w:lastRenderedPageBreak/>
              <w:t xml:space="preserve">personal protective equipment (PPE), donning and doffing, and hand hygiene. Relevant corrective actions were implemented where required. </w:t>
            </w:r>
          </w:p>
          <w:p w14:paraId="4DA07498" w14:textId="77777777" w:rsidR="004A2E70" w:rsidRPr="00BE00C7" w:rsidRDefault="004A2E70" w:rsidP="00BE00C7">
            <w:pPr>
              <w:pStyle w:val="OutcomeDescription"/>
              <w:spacing w:before="120" w:after="120"/>
              <w:rPr>
                <w:rFonts w:cs="Arial"/>
                <w:lang w:eastAsia="en-NZ"/>
              </w:rPr>
            </w:pPr>
            <w:r w:rsidRPr="00BE00C7">
              <w:rPr>
                <w:rFonts w:cs="Arial"/>
                <w:lang w:eastAsia="en-NZ"/>
              </w:rPr>
              <w:t>Staff reported that they were informed of infection rates and regular audit outcomes at staff meetings, and these were sighted in meeting minutes. Records of monthly data sighted confirmed minimal numbers of infections, compared with the previous month, the reason for the increase or decrease, and action advised. Any new infections were discussed at shift handovers for early interventions to be implemented. Benchmarking is completed internally and externally.</w:t>
            </w:r>
          </w:p>
          <w:p w14:paraId="1FA5D2EC" w14:textId="77777777" w:rsidR="004A2E70" w:rsidRPr="00BE00C7" w:rsidRDefault="004A2E70" w:rsidP="00BE00C7">
            <w:pPr>
              <w:pStyle w:val="OutcomeDescription"/>
              <w:spacing w:before="120" w:after="120"/>
              <w:rPr>
                <w:rFonts w:cs="Arial"/>
                <w:lang w:eastAsia="en-NZ"/>
              </w:rPr>
            </w:pPr>
            <w:r w:rsidRPr="00BE00C7">
              <w:rPr>
                <w:rFonts w:cs="Arial"/>
                <w:lang w:eastAsia="en-NZ"/>
              </w:rPr>
              <w:t>There was a Covid-19 infection outbreak in September 2025 reported since the previous audit. This was managed in accordance with the pandemic plan, with appropriate notifications completed.</w:t>
            </w:r>
          </w:p>
          <w:p w14:paraId="37996A32" w14:textId="77777777" w:rsidR="004A2E70" w:rsidRPr="00BE00C7" w:rsidRDefault="004A2E70" w:rsidP="00BE00C7">
            <w:pPr>
              <w:pStyle w:val="OutcomeDescription"/>
              <w:spacing w:before="120" w:after="120"/>
              <w:rPr>
                <w:rFonts w:cs="Arial"/>
                <w:lang w:eastAsia="en-NZ"/>
              </w:rPr>
            </w:pPr>
          </w:p>
        </w:tc>
      </w:tr>
      <w:tr w:rsidR="006E75C6" w14:paraId="464A4D88" w14:textId="77777777">
        <w:tc>
          <w:tcPr>
            <w:tcW w:w="0" w:type="auto"/>
          </w:tcPr>
          <w:p w14:paraId="77E0C267" w14:textId="77777777" w:rsidR="004A2E70" w:rsidRPr="00BE00C7" w:rsidRDefault="004A2E7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48EDC36"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7A2C194" w14:textId="77777777" w:rsidR="004A2E70" w:rsidRPr="00BE00C7" w:rsidRDefault="004A2E70" w:rsidP="00BE00C7">
            <w:pPr>
              <w:pStyle w:val="OutcomeDescription"/>
              <w:spacing w:before="120" w:after="120"/>
              <w:rPr>
                <w:rFonts w:cs="Arial"/>
                <w:lang w:eastAsia="en-NZ"/>
              </w:rPr>
            </w:pPr>
          </w:p>
        </w:tc>
        <w:tc>
          <w:tcPr>
            <w:tcW w:w="0" w:type="auto"/>
          </w:tcPr>
          <w:p w14:paraId="39E95349" w14:textId="77777777" w:rsidR="004A2E70" w:rsidRPr="00BE00C7" w:rsidRDefault="004A2E70" w:rsidP="00BE00C7">
            <w:pPr>
              <w:pStyle w:val="OutcomeDescription"/>
              <w:spacing w:before="120" w:after="120"/>
              <w:rPr>
                <w:rFonts w:cs="Arial"/>
                <w:lang w:eastAsia="en-NZ"/>
              </w:rPr>
            </w:pPr>
            <w:r w:rsidRPr="00BE00C7">
              <w:rPr>
                <w:rFonts w:cs="Arial"/>
                <w:lang w:eastAsia="en-NZ"/>
              </w:rPr>
              <w:t>FA</w:t>
            </w:r>
          </w:p>
        </w:tc>
        <w:tc>
          <w:tcPr>
            <w:tcW w:w="0" w:type="auto"/>
          </w:tcPr>
          <w:p w14:paraId="472CEF8F" w14:textId="77777777" w:rsidR="004A2E70" w:rsidRPr="00BE00C7" w:rsidRDefault="004A2E7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There is no use of restraint.</w:t>
            </w:r>
          </w:p>
          <w:p w14:paraId="21EF2B33" w14:textId="77777777" w:rsidR="004A2E70" w:rsidRPr="00BE00C7" w:rsidRDefault="004A2E7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6F590CBB" w14:textId="77777777" w:rsidR="004A2E70" w:rsidRPr="00BE00C7" w:rsidRDefault="004A2E70" w:rsidP="00BE00C7">
            <w:pPr>
              <w:pStyle w:val="OutcomeDescription"/>
              <w:spacing w:before="120" w:after="120"/>
              <w:rPr>
                <w:rFonts w:cs="Arial"/>
                <w:lang w:eastAsia="en-NZ"/>
              </w:rPr>
            </w:pPr>
          </w:p>
        </w:tc>
      </w:tr>
    </w:tbl>
    <w:p w14:paraId="2B8D2DF4" w14:textId="77777777" w:rsidR="004A2E70" w:rsidRPr="00BE00C7" w:rsidRDefault="004A2E70" w:rsidP="00BE00C7">
      <w:pPr>
        <w:pStyle w:val="OutcomeDescription"/>
        <w:spacing w:before="120" w:after="120"/>
        <w:rPr>
          <w:rFonts w:cs="Arial"/>
          <w:lang w:eastAsia="en-NZ"/>
        </w:rPr>
      </w:pPr>
      <w:bookmarkStart w:id="56" w:name="AuditSummaryAttainment"/>
      <w:bookmarkEnd w:id="56"/>
    </w:p>
    <w:p w14:paraId="6228B16C" w14:textId="77777777" w:rsidR="004A2E70" w:rsidRDefault="004A2E70">
      <w:pPr>
        <w:pStyle w:val="Heading1"/>
        <w:rPr>
          <w:rFonts w:cs="Arial"/>
        </w:rPr>
      </w:pPr>
      <w:r>
        <w:rPr>
          <w:rFonts w:cs="Arial"/>
        </w:rPr>
        <w:lastRenderedPageBreak/>
        <w:t>Specific results for criterion where corrective actions are required</w:t>
      </w:r>
    </w:p>
    <w:p w14:paraId="4E2B5686" w14:textId="77777777" w:rsidR="004A2E70" w:rsidRDefault="004A2E7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6FA327CC" w14:textId="77777777" w:rsidR="004A2E70" w:rsidRDefault="004A2E7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13AA422" w14:textId="77777777" w:rsidR="004A2E70" w:rsidRDefault="004A2E7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E75C6" w14:paraId="1CFF254C" w14:textId="77777777">
        <w:tc>
          <w:tcPr>
            <w:tcW w:w="0" w:type="auto"/>
          </w:tcPr>
          <w:p w14:paraId="21B7A344" w14:textId="77777777" w:rsidR="004A2E70" w:rsidRPr="00BE00C7" w:rsidRDefault="004A2E70" w:rsidP="00BE00C7">
            <w:pPr>
              <w:pStyle w:val="OutcomeDescription"/>
              <w:spacing w:before="120" w:after="120"/>
              <w:rPr>
                <w:rFonts w:cs="Arial"/>
                <w:lang w:eastAsia="en-NZ"/>
              </w:rPr>
            </w:pPr>
            <w:r w:rsidRPr="00BE00C7">
              <w:rPr>
                <w:rFonts w:cs="Arial"/>
                <w:lang w:eastAsia="en-NZ"/>
              </w:rPr>
              <w:t>No data to display</w:t>
            </w:r>
          </w:p>
        </w:tc>
      </w:tr>
    </w:tbl>
    <w:p w14:paraId="034693EE" w14:textId="77777777" w:rsidR="004A2E70" w:rsidRPr="00BE00C7" w:rsidRDefault="004A2E70" w:rsidP="00BE00C7">
      <w:pPr>
        <w:pStyle w:val="OutcomeDescription"/>
        <w:spacing w:before="120" w:after="120"/>
        <w:rPr>
          <w:rFonts w:cs="Arial"/>
          <w:lang w:eastAsia="en-NZ"/>
        </w:rPr>
      </w:pPr>
      <w:bookmarkStart w:id="57" w:name="AuditSummaryCAMCriterion"/>
      <w:bookmarkEnd w:id="57"/>
    </w:p>
    <w:p w14:paraId="45A5B13B" w14:textId="77777777" w:rsidR="004A2E70" w:rsidRDefault="004A2E70">
      <w:pPr>
        <w:pStyle w:val="Heading1"/>
        <w:rPr>
          <w:rFonts w:cs="Arial"/>
        </w:rPr>
      </w:pPr>
      <w:r>
        <w:rPr>
          <w:rFonts w:cs="Arial"/>
        </w:rPr>
        <w:lastRenderedPageBreak/>
        <w:t>Specific results for criterion where a continuous improvement has been recorded</w:t>
      </w:r>
    </w:p>
    <w:p w14:paraId="008CFEE1" w14:textId="77777777" w:rsidR="004A2E70" w:rsidRDefault="004A2E7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C1AAB12" w14:textId="77777777" w:rsidR="004A2E70" w:rsidRDefault="004A2E7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621A742" w14:textId="77777777" w:rsidR="004A2E70" w:rsidRDefault="004A2E70">
      <w:pPr>
        <w:pStyle w:val="OutcomeDescription"/>
        <w:spacing w:before="240"/>
        <w:rPr>
          <w:rFonts w:cs="Arial"/>
          <w:sz w:val="24"/>
          <w:lang w:eastAsia="en-NZ"/>
        </w:rPr>
      </w:pPr>
      <w:r>
        <w:rPr>
          <w:rFonts w:cs="Arial"/>
          <w:sz w:val="24"/>
          <w:lang w:eastAsia="en-NZ"/>
        </w:rPr>
        <w:t xml:space="preserve">If, instead of a table, these is a message “no data to display” then no </w:t>
      </w:r>
      <w:r>
        <w:rPr>
          <w:rFonts w:cs="Arial"/>
          <w:sz w:val="24"/>
          <w:lang w:eastAsia="en-NZ"/>
        </w:rPr>
        <w:t>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6E75C6" w14:paraId="74C0C542" w14:textId="77777777">
        <w:tc>
          <w:tcPr>
            <w:tcW w:w="0" w:type="auto"/>
          </w:tcPr>
          <w:p w14:paraId="341A6C7D" w14:textId="77777777" w:rsidR="004A2E70" w:rsidRPr="00BE00C7" w:rsidRDefault="004A2E70" w:rsidP="00BE00C7">
            <w:pPr>
              <w:pStyle w:val="OutcomeDescription"/>
              <w:spacing w:before="120" w:after="120"/>
              <w:rPr>
                <w:rFonts w:cs="Arial"/>
                <w:lang w:eastAsia="en-NZ"/>
              </w:rPr>
            </w:pPr>
            <w:r w:rsidRPr="00BE00C7">
              <w:rPr>
                <w:rFonts w:cs="Arial"/>
                <w:lang w:eastAsia="en-NZ"/>
              </w:rPr>
              <w:t>No data to display</w:t>
            </w:r>
          </w:p>
        </w:tc>
      </w:tr>
    </w:tbl>
    <w:p w14:paraId="225C6A9E" w14:textId="77777777" w:rsidR="004A2E70" w:rsidRPr="00BE00C7" w:rsidRDefault="004A2E70" w:rsidP="00BE00C7">
      <w:pPr>
        <w:pStyle w:val="OutcomeDescription"/>
        <w:spacing w:before="120" w:after="120"/>
        <w:rPr>
          <w:rFonts w:cs="Arial"/>
          <w:lang w:eastAsia="en-NZ"/>
        </w:rPr>
      </w:pPr>
      <w:bookmarkStart w:id="58" w:name="AuditSummaryCAMImprovment"/>
      <w:bookmarkEnd w:id="58"/>
    </w:p>
    <w:p w14:paraId="4E72E9C4" w14:textId="77777777" w:rsidR="004A2E70" w:rsidRDefault="004A2E7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3E55" w14:textId="77777777" w:rsidR="004A2E70" w:rsidRDefault="004A2E70">
      <w:r>
        <w:separator/>
      </w:r>
    </w:p>
  </w:endnote>
  <w:endnote w:type="continuationSeparator" w:id="0">
    <w:p w14:paraId="74FDE891" w14:textId="77777777" w:rsidR="004A2E70" w:rsidRDefault="004A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CA40" w14:textId="77777777" w:rsidR="004A2E70" w:rsidRDefault="004A2E70">
    <w:pPr>
      <w:pStyle w:val="Footer"/>
    </w:pPr>
  </w:p>
  <w:p w14:paraId="22C4BC2A" w14:textId="77777777" w:rsidR="004A2E70" w:rsidRDefault="004A2E70"/>
  <w:p w14:paraId="70735299" w14:textId="77777777" w:rsidR="004A2E70" w:rsidRDefault="004A2E7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7513" w14:textId="77777777" w:rsidR="004A2E70" w:rsidRPr="000B00BC" w:rsidRDefault="004A2E7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Selwyn Care Limited - Sarah Selwyn</w:t>
    </w:r>
    <w:bookmarkEnd w:id="59"/>
    <w:r>
      <w:rPr>
        <w:rFonts w:cs="Arial"/>
        <w:sz w:val="16"/>
        <w:szCs w:val="20"/>
      </w:rPr>
      <w:tab/>
      <w:t xml:space="preserve">Date of Audit: </w:t>
    </w:r>
    <w:bookmarkStart w:id="60" w:name="AuditStartDate1"/>
    <w:r>
      <w:rPr>
        <w:rFonts w:cs="Arial"/>
        <w:sz w:val="16"/>
        <w:szCs w:val="20"/>
      </w:rPr>
      <w:t>16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E14566F" w14:textId="77777777" w:rsidR="004A2E70" w:rsidRDefault="004A2E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82A9" w14:textId="77777777" w:rsidR="004A2E70" w:rsidRDefault="004A2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1CB2" w14:textId="77777777" w:rsidR="004A2E70" w:rsidRDefault="004A2E70">
      <w:r>
        <w:separator/>
      </w:r>
    </w:p>
  </w:footnote>
  <w:footnote w:type="continuationSeparator" w:id="0">
    <w:p w14:paraId="13350D86" w14:textId="77777777" w:rsidR="004A2E70" w:rsidRDefault="004A2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458F" w14:textId="77777777" w:rsidR="004A2E70" w:rsidRDefault="004A2E70">
    <w:pPr>
      <w:pStyle w:val="Header"/>
    </w:pPr>
  </w:p>
  <w:p w14:paraId="14C22E28" w14:textId="77777777" w:rsidR="004A2E70" w:rsidRDefault="004A2E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09B0" w14:textId="77777777" w:rsidR="004A2E70" w:rsidRDefault="004A2E70">
    <w:pPr>
      <w:pStyle w:val="Header"/>
    </w:pPr>
  </w:p>
  <w:p w14:paraId="6536842B" w14:textId="77777777" w:rsidR="004A2E70" w:rsidRDefault="004A2E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F66E" w14:textId="77777777" w:rsidR="004A2E70" w:rsidRDefault="004A2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CF0EE9E">
      <w:start w:val="1"/>
      <w:numFmt w:val="decimal"/>
      <w:lvlText w:val="%1."/>
      <w:lvlJc w:val="left"/>
      <w:pPr>
        <w:ind w:left="360" w:hanging="360"/>
      </w:pPr>
    </w:lvl>
    <w:lvl w:ilvl="1" w:tplc="DBB089A6" w:tentative="1">
      <w:start w:val="1"/>
      <w:numFmt w:val="lowerLetter"/>
      <w:lvlText w:val="%2."/>
      <w:lvlJc w:val="left"/>
      <w:pPr>
        <w:ind w:left="1080" w:hanging="360"/>
      </w:pPr>
    </w:lvl>
    <w:lvl w:ilvl="2" w:tplc="30DCC9FC" w:tentative="1">
      <w:start w:val="1"/>
      <w:numFmt w:val="lowerRoman"/>
      <w:lvlText w:val="%3."/>
      <w:lvlJc w:val="right"/>
      <w:pPr>
        <w:ind w:left="1800" w:hanging="180"/>
      </w:pPr>
    </w:lvl>
    <w:lvl w:ilvl="3" w:tplc="6CE40322" w:tentative="1">
      <w:start w:val="1"/>
      <w:numFmt w:val="decimal"/>
      <w:lvlText w:val="%4."/>
      <w:lvlJc w:val="left"/>
      <w:pPr>
        <w:ind w:left="2520" w:hanging="360"/>
      </w:pPr>
    </w:lvl>
    <w:lvl w:ilvl="4" w:tplc="7BFE2FAE" w:tentative="1">
      <w:start w:val="1"/>
      <w:numFmt w:val="lowerLetter"/>
      <w:lvlText w:val="%5."/>
      <w:lvlJc w:val="left"/>
      <w:pPr>
        <w:ind w:left="3240" w:hanging="360"/>
      </w:pPr>
    </w:lvl>
    <w:lvl w:ilvl="5" w:tplc="AD38EEEA" w:tentative="1">
      <w:start w:val="1"/>
      <w:numFmt w:val="lowerRoman"/>
      <w:lvlText w:val="%6."/>
      <w:lvlJc w:val="right"/>
      <w:pPr>
        <w:ind w:left="3960" w:hanging="180"/>
      </w:pPr>
    </w:lvl>
    <w:lvl w:ilvl="6" w:tplc="210E8488" w:tentative="1">
      <w:start w:val="1"/>
      <w:numFmt w:val="decimal"/>
      <w:lvlText w:val="%7."/>
      <w:lvlJc w:val="left"/>
      <w:pPr>
        <w:ind w:left="4680" w:hanging="360"/>
      </w:pPr>
    </w:lvl>
    <w:lvl w:ilvl="7" w:tplc="F03814CA" w:tentative="1">
      <w:start w:val="1"/>
      <w:numFmt w:val="lowerLetter"/>
      <w:lvlText w:val="%8."/>
      <w:lvlJc w:val="left"/>
      <w:pPr>
        <w:ind w:left="5400" w:hanging="360"/>
      </w:pPr>
    </w:lvl>
    <w:lvl w:ilvl="8" w:tplc="D36A004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3B4F1DC">
      <w:start w:val="1"/>
      <w:numFmt w:val="bullet"/>
      <w:lvlText w:val=""/>
      <w:lvlJc w:val="left"/>
      <w:pPr>
        <w:ind w:left="720" w:hanging="360"/>
      </w:pPr>
      <w:rPr>
        <w:rFonts w:ascii="Symbol" w:hAnsi="Symbol" w:hint="default"/>
      </w:rPr>
    </w:lvl>
    <w:lvl w:ilvl="1" w:tplc="11B49E8C" w:tentative="1">
      <w:start w:val="1"/>
      <w:numFmt w:val="bullet"/>
      <w:lvlText w:val="o"/>
      <w:lvlJc w:val="left"/>
      <w:pPr>
        <w:ind w:left="1440" w:hanging="360"/>
      </w:pPr>
      <w:rPr>
        <w:rFonts w:ascii="Courier New" w:hAnsi="Courier New" w:cs="Courier New" w:hint="default"/>
      </w:rPr>
    </w:lvl>
    <w:lvl w:ilvl="2" w:tplc="F3B64864" w:tentative="1">
      <w:start w:val="1"/>
      <w:numFmt w:val="bullet"/>
      <w:lvlText w:val=""/>
      <w:lvlJc w:val="left"/>
      <w:pPr>
        <w:ind w:left="2160" w:hanging="360"/>
      </w:pPr>
      <w:rPr>
        <w:rFonts w:ascii="Wingdings" w:hAnsi="Wingdings" w:hint="default"/>
      </w:rPr>
    </w:lvl>
    <w:lvl w:ilvl="3" w:tplc="92183C26" w:tentative="1">
      <w:start w:val="1"/>
      <w:numFmt w:val="bullet"/>
      <w:lvlText w:val=""/>
      <w:lvlJc w:val="left"/>
      <w:pPr>
        <w:ind w:left="2880" w:hanging="360"/>
      </w:pPr>
      <w:rPr>
        <w:rFonts w:ascii="Symbol" w:hAnsi="Symbol" w:hint="default"/>
      </w:rPr>
    </w:lvl>
    <w:lvl w:ilvl="4" w:tplc="D37E0982" w:tentative="1">
      <w:start w:val="1"/>
      <w:numFmt w:val="bullet"/>
      <w:lvlText w:val="o"/>
      <w:lvlJc w:val="left"/>
      <w:pPr>
        <w:ind w:left="3600" w:hanging="360"/>
      </w:pPr>
      <w:rPr>
        <w:rFonts w:ascii="Courier New" w:hAnsi="Courier New" w:cs="Courier New" w:hint="default"/>
      </w:rPr>
    </w:lvl>
    <w:lvl w:ilvl="5" w:tplc="0858930E" w:tentative="1">
      <w:start w:val="1"/>
      <w:numFmt w:val="bullet"/>
      <w:lvlText w:val=""/>
      <w:lvlJc w:val="left"/>
      <w:pPr>
        <w:ind w:left="4320" w:hanging="360"/>
      </w:pPr>
      <w:rPr>
        <w:rFonts w:ascii="Wingdings" w:hAnsi="Wingdings" w:hint="default"/>
      </w:rPr>
    </w:lvl>
    <w:lvl w:ilvl="6" w:tplc="0F9E9E68" w:tentative="1">
      <w:start w:val="1"/>
      <w:numFmt w:val="bullet"/>
      <w:lvlText w:val=""/>
      <w:lvlJc w:val="left"/>
      <w:pPr>
        <w:ind w:left="5040" w:hanging="360"/>
      </w:pPr>
      <w:rPr>
        <w:rFonts w:ascii="Symbol" w:hAnsi="Symbol" w:hint="default"/>
      </w:rPr>
    </w:lvl>
    <w:lvl w:ilvl="7" w:tplc="A702A420" w:tentative="1">
      <w:start w:val="1"/>
      <w:numFmt w:val="bullet"/>
      <w:lvlText w:val="o"/>
      <w:lvlJc w:val="left"/>
      <w:pPr>
        <w:ind w:left="5760" w:hanging="360"/>
      </w:pPr>
      <w:rPr>
        <w:rFonts w:ascii="Courier New" w:hAnsi="Courier New" w:cs="Courier New" w:hint="default"/>
      </w:rPr>
    </w:lvl>
    <w:lvl w:ilvl="8" w:tplc="0EEE08FE" w:tentative="1">
      <w:start w:val="1"/>
      <w:numFmt w:val="bullet"/>
      <w:lvlText w:val=""/>
      <w:lvlJc w:val="left"/>
      <w:pPr>
        <w:ind w:left="6480" w:hanging="360"/>
      </w:pPr>
      <w:rPr>
        <w:rFonts w:ascii="Wingdings" w:hAnsi="Wingdings" w:hint="default"/>
      </w:rPr>
    </w:lvl>
  </w:abstractNum>
  <w:num w:numId="1" w16cid:durableId="1152916075">
    <w:abstractNumId w:val="1"/>
  </w:num>
  <w:num w:numId="2" w16cid:durableId="1992060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C6"/>
    <w:rsid w:val="004A2E70"/>
    <w:rsid w:val="006E75C6"/>
    <w:rsid w:val="007023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DBB8"/>
  <w15:docId w15:val="{BFEE796B-DE94-4D15-A726-46B4F0F8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7823</Words>
  <Characters>44596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2025-11-24T18:32:00Z</dcterms:created>
  <dcterms:modified xsi:type="dcterms:W3CDTF">2025-11-24T18:32:00Z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