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7BF4" w14:textId="77777777" w:rsidR="00000000" w:rsidRDefault="00000000">
      <w:pPr>
        <w:pStyle w:val="Heading1"/>
        <w:rPr>
          <w:rFonts w:cs="Arial"/>
        </w:rPr>
      </w:pPr>
      <w:bookmarkStart w:id="0" w:name="PRMS_RIName"/>
      <w:r>
        <w:rPr>
          <w:rFonts w:cs="Arial"/>
        </w:rPr>
        <w:t>Heritage Lifecare Limited - Stillwater Gardens Lifecare</w:t>
      </w:r>
      <w:bookmarkEnd w:id="0"/>
    </w:p>
    <w:p w14:paraId="357B004E" w14:textId="77777777" w:rsidR="00000000" w:rsidRDefault="00000000">
      <w:pPr>
        <w:pStyle w:val="Heading2"/>
        <w:spacing w:after="0"/>
        <w:rPr>
          <w:rFonts w:cs="Arial"/>
        </w:rPr>
      </w:pPr>
      <w:r>
        <w:rPr>
          <w:rFonts w:cs="Arial"/>
        </w:rPr>
        <w:t>Introduction</w:t>
      </w:r>
    </w:p>
    <w:p w14:paraId="4AC780C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2A5622F"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DB48ED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2D9ED2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D6B0F63" w14:textId="77777777" w:rsidR="00000000" w:rsidRDefault="00000000">
      <w:pPr>
        <w:spacing w:before="240" w:after="240"/>
        <w:rPr>
          <w:rFonts w:cs="Arial"/>
          <w:lang w:eastAsia="en-NZ"/>
        </w:rPr>
      </w:pPr>
      <w:r>
        <w:rPr>
          <w:rFonts w:cs="Arial"/>
          <w:lang w:eastAsia="en-NZ"/>
        </w:rPr>
        <w:t>The specifics of this audit included:</w:t>
      </w:r>
    </w:p>
    <w:p w14:paraId="1F3A213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419AD3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381746E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Stillwater Gardens Lifecare</w:t>
      </w:r>
      <w:bookmarkEnd w:id="5"/>
    </w:p>
    <w:p w14:paraId="7008455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859F02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23 </w:t>
      </w:r>
      <w:r>
        <w:rPr>
          <w:rFonts w:cs="Arial"/>
        </w:rPr>
        <w:t>September 2025</w:t>
      </w:r>
      <w:bookmarkEnd w:id="7"/>
      <w:r w:rsidRPr="009418D4">
        <w:rPr>
          <w:rFonts w:cs="Arial"/>
        </w:rPr>
        <w:tab/>
        <w:t xml:space="preserve">End date: </w:t>
      </w:r>
      <w:bookmarkStart w:id="8" w:name="AuditEndDate"/>
      <w:r>
        <w:rPr>
          <w:rFonts w:cs="Arial"/>
        </w:rPr>
        <w:t>24 September 2025</w:t>
      </w:r>
      <w:bookmarkEnd w:id="8"/>
    </w:p>
    <w:p w14:paraId="7D5DF8D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91FCADD" w14:textId="77777777" w:rsidR="0024196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66</w:t>
      </w:r>
      <w:bookmarkEnd w:id="10"/>
    </w:p>
    <w:p w14:paraId="73B63ED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195FE5F" w14:textId="77777777" w:rsidR="00000000" w:rsidRDefault="00000000">
      <w:pPr>
        <w:pStyle w:val="Heading1"/>
        <w:rPr>
          <w:rFonts w:cs="Arial"/>
        </w:rPr>
      </w:pPr>
      <w:r>
        <w:rPr>
          <w:rFonts w:cs="Arial"/>
        </w:rPr>
        <w:lastRenderedPageBreak/>
        <w:t>Executive summary of the audit</w:t>
      </w:r>
    </w:p>
    <w:p w14:paraId="624C5FF2" w14:textId="77777777" w:rsidR="00000000" w:rsidRDefault="00000000">
      <w:pPr>
        <w:pStyle w:val="Heading2"/>
        <w:rPr>
          <w:rFonts w:cs="Arial"/>
        </w:rPr>
      </w:pPr>
      <w:r>
        <w:rPr>
          <w:rFonts w:cs="Arial"/>
        </w:rPr>
        <w:t>Introduction</w:t>
      </w:r>
    </w:p>
    <w:p w14:paraId="2709B42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A515C4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E4E6317"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03C4BE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43817D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6F7347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4A4017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2D9C67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7A09E7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41963" w14:paraId="0D3F98E6" w14:textId="77777777">
        <w:trPr>
          <w:cantSplit/>
          <w:tblHeader/>
        </w:trPr>
        <w:tc>
          <w:tcPr>
            <w:tcW w:w="1260" w:type="dxa"/>
            <w:tcBorders>
              <w:bottom w:val="single" w:sz="4" w:space="0" w:color="000000"/>
            </w:tcBorders>
            <w:vAlign w:val="center"/>
          </w:tcPr>
          <w:p w14:paraId="27EB70F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E5A007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DCF8575" w14:textId="77777777" w:rsidR="00000000" w:rsidRDefault="00000000">
            <w:pPr>
              <w:spacing w:before="60" w:after="60"/>
              <w:rPr>
                <w:rFonts w:eastAsia="Calibri"/>
                <w:b/>
                <w:szCs w:val="24"/>
              </w:rPr>
            </w:pPr>
            <w:r>
              <w:rPr>
                <w:rFonts w:eastAsia="Calibri"/>
                <w:b/>
                <w:szCs w:val="24"/>
              </w:rPr>
              <w:t>Definition</w:t>
            </w:r>
          </w:p>
        </w:tc>
      </w:tr>
      <w:tr w:rsidR="00241963" w14:paraId="45B52849" w14:textId="77777777">
        <w:trPr>
          <w:cantSplit/>
          <w:trHeight w:val="964"/>
        </w:trPr>
        <w:tc>
          <w:tcPr>
            <w:tcW w:w="1260" w:type="dxa"/>
            <w:tcBorders>
              <w:bottom w:val="single" w:sz="4" w:space="0" w:color="000000"/>
            </w:tcBorders>
            <w:shd w:val="clear" w:color="0066FF" w:fill="0000FF"/>
            <w:vAlign w:val="center"/>
          </w:tcPr>
          <w:p w14:paraId="5BD9564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BD05190"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1D5E4B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41963" w14:paraId="6BEBF022" w14:textId="77777777">
        <w:trPr>
          <w:cantSplit/>
          <w:trHeight w:val="964"/>
        </w:trPr>
        <w:tc>
          <w:tcPr>
            <w:tcW w:w="1260" w:type="dxa"/>
            <w:shd w:val="clear" w:color="33CC33" w:fill="00FF00"/>
            <w:vAlign w:val="center"/>
          </w:tcPr>
          <w:p w14:paraId="51D75B80" w14:textId="77777777" w:rsidR="00000000" w:rsidRDefault="00000000">
            <w:pPr>
              <w:spacing w:before="60" w:after="60"/>
              <w:rPr>
                <w:rFonts w:eastAsia="Calibri"/>
                <w:szCs w:val="24"/>
              </w:rPr>
            </w:pPr>
          </w:p>
        </w:tc>
        <w:tc>
          <w:tcPr>
            <w:tcW w:w="7095" w:type="dxa"/>
            <w:shd w:val="clear" w:color="auto" w:fill="auto"/>
            <w:vAlign w:val="center"/>
          </w:tcPr>
          <w:p w14:paraId="4DDE155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BE499C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41963" w14:paraId="20C32577" w14:textId="77777777">
        <w:trPr>
          <w:cantSplit/>
          <w:trHeight w:val="964"/>
        </w:trPr>
        <w:tc>
          <w:tcPr>
            <w:tcW w:w="1260" w:type="dxa"/>
            <w:tcBorders>
              <w:bottom w:val="single" w:sz="4" w:space="0" w:color="000000"/>
            </w:tcBorders>
            <w:shd w:val="clear" w:color="auto" w:fill="FFFF00"/>
            <w:vAlign w:val="center"/>
          </w:tcPr>
          <w:p w14:paraId="556832D3" w14:textId="77777777" w:rsidR="00000000" w:rsidRDefault="00000000">
            <w:pPr>
              <w:spacing w:before="60" w:after="60"/>
              <w:rPr>
                <w:rFonts w:eastAsia="Calibri"/>
                <w:szCs w:val="24"/>
              </w:rPr>
            </w:pPr>
          </w:p>
        </w:tc>
        <w:tc>
          <w:tcPr>
            <w:tcW w:w="7095" w:type="dxa"/>
            <w:shd w:val="clear" w:color="auto" w:fill="auto"/>
            <w:vAlign w:val="center"/>
          </w:tcPr>
          <w:p w14:paraId="1972A6D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E7745F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41963" w14:paraId="0237AF62" w14:textId="77777777">
        <w:trPr>
          <w:cantSplit/>
          <w:trHeight w:val="964"/>
        </w:trPr>
        <w:tc>
          <w:tcPr>
            <w:tcW w:w="1260" w:type="dxa"/>
            <w:tcBorders>
              <w:bottom w:val="single" w:sz="4" w:space="0" w:color="000000"/>
            </w:tcBorders>
            <w:shd w:val="clear" w:color="auto" w:fill="FFC800"/>
            <w:vAlign w:val="center"/>
          </w:tcPr>
          <w:p w14:paraId="798103D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57C74F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2A0144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41963" w14:paraId="57307013" w14:textId="77777777">
        <w:trPr>
          <w:cantSplit/>
          <w:trHeight w:val="964"/>
        </w:trPr>
        <w:tc>
          <w:tcPr>
            <w:tcW w:w="1260" w:type="dxa"/>
            <w:shd w:val="clear" w:color="auto" w:fill="FF0000"/>
            <w:vAlign w:val="center"/>
          </w:tcPr>
          <w:p w14:paraId="2D4FFB2D" w14:textId="77777777" w:rsidR="00000000" w:rsidRDefault="00000000">
            <w:pPr>
              <w:spacing w:before="60" w:after="60"/>
              <w:rPr>
                <w:rFonts w:eastAsia="Calibri"/>
                <w:szCs w:val="24"/>
              </w:rPr>
            </w:pPr>
          </w:p>
        </w:tc>
        <w:tc>
          <w:tcPr>
            <w:tcW w:w="7095" w:type="dxa"/>
            <w:shd w:val="clear" w:color="auto" w:fill="auto"/>
            <w:vAlign w:val="center"/>
          </w:tcPr>
          <w:p w14:paraId="7063A62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9E9BE2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848728C" w14:textId="77777777" w:rsidR="00000000" w:rsidRDefault="00000000">
      <w:pPr>
        <w:pStyle w:val="Heading2"/>
        <w:spacing w:after="0"/>
        <w:rPr>
          <w:rFonts w:cs="Arial"/>
        </w:rPr>
      </w:pPr>
      <w:r>
        <w:rPr>
          <w:rFonts w:cs="Arial"/>
        </w:rPr>
        <w:t>General overview of the audit</w:t>
      </w:r>
    </w:p>
    <w:p w14:paraId="0E5F6969" w14:textId="77777777" w:rsidR="00000000" w:rsidRDefault="00000000">
      <w:pPr>
        <w:spacing w:before="240" w:line="276" w:lineRule="auto"/>
        <w:rPr>
          <w:rFonts w:eastAsia="Calibri"/>
        </w:rPr>
      </w:pPr>
      <w:bookmarkStart w:id="13" w:name="GeneralOverview"/>
      <w:r w:rsidRPr="00A4268A">
        <w:rPr>
          <w:rFonts w:eastAsia="Calibri"/>
        </w:rPr>
        <w:t>Heritage Lifecare Limited owns and operates Stillwater Gardens Lifecare, known as Stillwater Lifecare and Village (Stillwater). The facility provides hospital, rest home and dementia levels of care for up to 88 residents: up to 69 residents in the main facility and up to 19 in rest home-level care suites on the first floor. On the first day of the audit there were 66 residents.</w:t>
      </w:r>
    </w:p>
    <w:p w14:paraId="7D5BA10E" w14:textId="77777777" w:rsidR="00241963" w:rsidRPr="00A4268A" w:rsidRDefault="00000000">
      <w:pPr>
        <w:spacing w:before="240" w:line="276" w:lineRule="auto"/>
        <w:rPr>
          <w:rFonts w:eastAsia="Calibri"/>
        </w:rPr>
      </w:pPr>
      <w:r w:rsidRPr="00A4268A">
        <w:rPr>
          <w:rFonts w:eastAsia="Calibri"/>
        </w:rPr>
        <w:t>The facility is managed by an experienced care home and village manager who has been in the role for two months. Support is provided from the regional business manager and the regional clinical and quality manager. Additional support is provided by the clinical services manager, who has been in the role for 12 months.</w:t>
      </w:r>
    </w:p>
    <w:p w14:paraId="3F3E93F7" w14:textId="77777777" w:rsidR="00241963" w:rsidRPr="00A4268A" w:rsidRDefault="00000000">
      <w:pPr>
        <w:spacing w:before="240" w:line="276" w:lineRule="auto"/>
        <w:rPr>
          <w:rFonts w:eastAsia="Calibri"/>
        </w:rPr>
      </w:pPr>
      <w:r w:rsidRPr="00A4268A">
        <w:rPr>
          <w:rFonts w:eastAsia="Calibri"/>
        </w:rPr>
        <w:t>This certification audit process was conducted against the Ngā Paerewa Health and Disability Services Standard NZS 8134:2021 and the contracts held with Health New Zealand – Te Whatu Ora. The process included a pre-audit assessment of policies and procedures, a review of residents’ and staff files, observations, and interviews with residents and whānau, management, staff, and a general practitioner.</w:t>
      </w:r>
    </w:p>
    <w:p w14:paraId="5EBF4A90" w14:textId="77777777" w:rsidR="00241963" w:rsidRPr="00A4268A" w:rsidRDefault="00000000">
      <w:pPr>
        <w:spacing w:before="240" w:line="276" w:lineRule="auto"/>
        <w:rPr>
          <w:rFonts w:eastAsia="Calibri"/>
        </w:rPr>
      </w:pPr>
      <w:r w:rsidRPr="00A4268A">
        <w:rPr>
          <w:rFonts w:eastAsia="Calibri"/>
        </w:rPr>
        <w:t>Auditors sought to respond to queries from Manatū Hauora - Health New Zealand in relation to aspects of care planning, with the responses woven into the report.</w:t>
      </w:r>
    </w:p>
    <w:p w14:paraId="6B9C5C5D" w14:textId="77777777" w:rsidR="00241963" w:rsidRPr="00A4268A" w:rsidRDefault="00000000">
      <w:pPr>
        <w:spacing w:before="240" w:line="276" w:lineRule="auto"/>
        <w:rPr>
          <w:rFonts w:eastAsia="Calibri"/>
        </w:rPr>
      </w:pPr>
      <w:r w:rsidRPr="00A4268A">
        <w:rPr>
          <w:rFonts w:eastAsia="Calibri"/>
        </w:rPr>
        <w:t>Improvements are required relating to the timeliness in documenting long-term care plans.</w:t>
      </w:r>
    </w:p>
    <w:bookmarkEnd w:id="13"/>
    <w:p w14:paraId="689044C2" w14:textId="77777777" w:rsidR="00241963" w:rsidRPr="00A4268A" w:rsidRDefault="00241963">
      <w:pPr>
        <w:spacing w:before="240" w:line="276" w:lineRule="auto"/>
        <w:rPr>
          <w:rFonts w:eastAsia="Calibri"/>
        </w:rPr>
      </w:pPr>
    </w:p>
    <w:p w14:paraId="01AAB2C1"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41963" w14:paraId="0107423A" w14:textId="77777777" w:rsidTr="00A4268A">
        <w:trPr>
          <w:cantSplit/>
        </w:trPr>
        <w:tc>
          <w:tcPr>
            <w:tcW w:w="10206" w:type="dxa"/>
            <w:vAlign w:val="center"/>
          </w:tcPr>
          <w:p w14:paraId="0C98354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640FA9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5D9CE0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FC2D8E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E8462AC" w14:textId="77777777" w:rsidR="00000000" w:rsidRDefault="00000000">
      <w:pPr>
        <w:spacing w:before="240" w:line="276" w:lineRule="auto"/>
        <w:rPr>
          <w:rFonts w:eastAsia="Calibri"/>
        </w:rPr>
      </w:pPr>
      <w:bookmarkStart w:id="16" w:name="ConsumerRights"/>
      <w:r w:rsidRPr="00A4268A">
        <w:rPr>
          <w:rFonts w:eastAsia="Calibri"/>
        </w:rPr>
        <w:t>Stillwater provided an environment that supported residents’ rights and culturally safe care. Staff demonstrated an understanding of residents' rights and obligations. There was a health plan that encapsulated care specifically directed at Māori, Pacific peoples, and other ethnicities. Stillwater worked collaboratively with internal and external Māori supports to encourage a Māori worldview of health in service delivery. Māori were provided with equitable and effective services based on Te Tiriti o Waitangi and the principles of mana motuhake (self-determination), and this was confirmed by Māori residents and staff interviewed.</w:t>
      </w:r>
    </w:p>
    <w:p w14:paraId="07CA0B6C" w14:textId="77777777" w:rsidR="00241963" w:rsidRPr="00A4268A" w:rsidRDefault="00000000">
      <w:pPr>
        <w:spacing w:before="240" w:line="276" w:lineRule="auto"/>
        <w:rPr>
          <w:rFonts w:eastAsia="Calibri"/>
        </w:rPr>
      </w:pPr>
      <w:r w:rsidRPr="00A4268A">
        <w:rPr>
          <w:rFonts w:eastAsia="Calibri"/>
        </w:rPr>
        <w:t>Systems and processes were in place to enable Pacific people, should there be any, to be provided with services that recognised their worldviews and were culturally safe.</w:t>
      </w:r>
    </w:p>
    <w:p w14:paraId="6D24F048" w14:textId="77777777" w:rsidR="00241963"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are upheld. Personal identity, independence, privacy and dignity are respected and supported. Staff have participated in Te Tiriti o Waitangi training, which was reflected in day-to-day service delivery.  Residents are safe from abuse.</w:t>
      </w:r>
    </w:p>
    <w:p w14:paraId="3D22EBA3" w14:textId="77777777" w:rsidR="00241963" w:rsidRPr="00A4268A" w:rsidRDefault="00000000">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7FB6969D" w14:textId="77777777" w:rsidR="00241963"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1ABD1367" w14:textId="77777777" w:rsidR="00241963" w:rsidRPr="00A4268A" w:rsidRDefault="00241963">
      <w:pPr>
        <w:spacing w:before="240" w:line="276" w:lineRule="auto"/>
        <w:rPr>
          <w:rFonts w:eastAsia="Calibri"/>
        </w:rPr>
      </w:pPr>
    </w:p>
    <w:p w14:paraId="629E0E63"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41963" w14:paraId="6E27FFCB" w14:textId="77777777" w:rsidTr="00A4268A">
        <w:trPr>
          <w:cantSplit/>
        </w:trPr>
        <w:tc>
          <w:tcPr>
            <w:tcW w:w="10206" w:type="dxa"/>
            <w:vAlign w:val="center"/>
          </w:tcPr>
          <w:p w14:paraId="649AE01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494341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4A0213D"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F8CF866" w14:textId="77777777" w:rsidR="00000000" w:rsidRDefault="00000000">
      <w:pPr>
        <w:spacing w:before="240" w:line="276" w:lineRule="auto"/>
        <w:rPr>
          <w:rFonts w:eastAsia="Calibri"/>
        </w:rPr>
      </w:pPr>
      <w:bookmarkStart w:id="19" w:name="OrganisationalManagement"/>
      <w:r w:rsidRPr="00A4268A">
        <w:rPr>
          <w:rFonts w:eastAsia="Calibri"/>
        </w:rPr>
        <w:t>The organisation is governed by Heritage Lifecare Limited. The team of management personnel work with the care home and village manager (CHVM) at Stillwater to monitor organisational performance and ensure ongoing compliance. The governing body assumes accountability for delivering a high-quality service that is inclusive of, and sensitive to, the cultural needs of Māori. All directors are suitably experienced and qualified in governance and have completed education in cultural awareness, Te Tiriti o Waitangi, and health equity.</w:t>
      </w:r>
    </w:p>
    <w:p w14:paraId="2E221907" w14:textId="77777777" w:rsidR="00241963" w:rsidRPr="00A4268A" w:rsidRDefault="00000000">
      <w:pPr>
        <w:spacing w:before="240" w:line="276" w:lineRule="auto"/>
        <w:rPr>
          <w:rFonts w:eastAsia="Calibri"/>
        </w:rPr>
      </w:pPr>
      <w:r w:rsidRPr="00A4268A">
        <w:rPr>
          <w:rFonts w:eastAsia="Calibri"/>
        </w:rPr>
        <w:t>Planning ensures the purpose, values, direction, scope, and goals for the organisation are defined. Service performance is monitored and reviewed at planned intervals.</w:t>
      </w:r>
    </w:p>
    <w:p w14:paraId="6D26EF51" w14:textId="77777777" w:rsidR="00241963" w:rsidRPr="00A4268A" w:rsidRDefault="00000000">
      <w:pPr>
        <w:spacing w:before="240" w:line="276" w:lineRule="auto"/>
        <w:rPr>
          <w:rFonts w:eastAsia="Calibri"/>
        </w:rPr>
      </w:pPr>
      <w:r w:rsidRPr="00A4268A">
        <w:rPr>
          <w:rFonts w:eastAsia="Calibri"/>
        </w:rPr>
        <w:t>The quality and risk management systems are focused on improving service delivery and care. Residents and whānau provide regular feedback and staff are involved in quality activities. An integrated approach includes the collection and analysis of quality improvement data, identifying trends that lead to improvements. Actual and potential risks are identified and mitigated. Adverse events are documented, with corrective actions implemented. The service complies with statutory and regulatory reporting obligations.</w:t>
      </w:r>
    </w:p>
    <w:p w14:paraId="09B7E519" w14:textId="77777777" w:rsidR="00241963" w:rsidRPr="00A4268A" w:rsidRDefault="00000000">
      <w:pPr>
        <w:spacing w:before="240" w:line="276" w:lineRule="auto"/>
        <w:rPr>
          <w:rFonts w:eastAsia="Calibri"/>
        </w:rPr>
      </w:pPr>
      <w:r w:rsidRPr="00A4268A">
        <w:rPr>
          <w:rFonts w:eastAsia="Calibri"/>
        </w:rPr>
        <w:t>Staff are appointed, orientated, and managed using current good practice. Staff are suitably skilled and experienced. Staffing levels are sufficient to provide clinically and culturally appropriate care. A systematic approach to identify and deliver ongoing learning supports safe and equitable service delivery. Staff performance is monitored.</w:t>
      </w:r>
    </w:p>
    <w:p w14:paraId="6EDCAE7F" w14:textId="77777777" w:rsidR="00241963" w:rsidRPr="00A4268A" w:rsidRDefault="00000000">
      <w:pPr>
        <w:spacing w:before="240" w:line="276" w:lineRule="auto"/>
        <w:rPr>
          <w:rFonts w:eastAsia="Calibri"/>
        </w:rPr>
      </w:pPr>
      <w:r w:rsidRPr="00A4268A">
        <w:rPr>
          <w:rFonts w:eastAsia="Calibri"/>
        </w:rPr>
        <w:t>Residents’ information is accurately recorded, securely stored, and was not on public display or accessible to unauthorised people.</w:t>
      </w:r>
    </w:p>
    <w:bookmarkEnd w:id="19"/>
    <w:p w14:paraId="231F23BE" w14:textId="77777777" w:rsidR="00241963" w:rsidRPr="00A4268A" w:rsidRDefault="00241963">
      <w:pPr>
        <w:spacing w:before="240" w:line="276" w:lineRule="auto"/>
        <w:rPr>
          <w:rFonts w:eastAsia="Calibri"/>
        </w:rPr>
      </w:pPr>
    </w:p>
    <w:p w14:paraId="7CAAEF2F"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41963" w14:paraId="3FF09B8B" w14:textId="77777777" w:rsidTr="00A4268A">
        <w:trPr>
          <w:cantSplit/>
        </w:trPr>
        <w:tc>
          <w:tcPr>
            <w:tcW w:w="10206" w:type="dxa"/>
            <w:vAlign w:val="center"/>
          </w:tcPr>
          <w:p w14:paraId="44A6E2F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515F337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C464C79"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0C8BF85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are admitted to Stillwater, a person-centred and whānau-centred approach is adopted. Relevant information is provided to the potential resident and whānau.</w:t>
      </w:r>
    </w:p>
    <w:p w14:paraId="70C20694" w14:textId="77777777" w:rsidR="00241963" w:rsidRPr="00A4268A" w:rsidRDefault="00000000" w:rsidP="00621629">
      <w:pPr>
        <w:spacing w:before="240" w:line="276" w:lineRule="auto"/>
        <w:rPr>
          <w:rFonts w:eastAsia="Calibri"/>
        </w:rPr>
      </w:pPr>
      <w:r w:rsidRPr="00A4268A">
        <w:rPr>
          <w:rFonts w:eastAsia="Calibri"/>
        </w:rPr>
        <w:t>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these were evaluated on a regular and timely basis.</w:t>
      </w:r>
    </w:p>
    <w:p w14:paraId="5E833CB9" w14:textId="77777777" w:rsidR="00241963"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6BBD60D8" w14:textId="77777777" w:rsidR="00241963"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5B391DED" w14:textId="77777777" w:rsidR="00241963" w:rsidRPr="00A4268A" w:rsidRDefault="00000000" w:rsidP="00621629">
      <w:pPr>
        <w:spacing w:before="240" w:line="276" w:lineRule="auto"/>
        <w:rPr>
          <w:rFonts w:eastAsia="Calibri"/>
        </w:rPr>
      </w:pPr>
      <w:r w:rsidRPr="00A4268A">
        <w:rPr>
          <w:rFonts w:eastAsia="Calibri"/>
        </w:rPr>
        <w:t>The food service meets the nutritional needs of the residents, with special cultural needs catered for. Food is safely managed.</w:t>
      </w:r>
    </w:p>
    <w:p w14:paraId="393DF6D2" w14:textId="77777777" w:rsidR="00241963"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1932BB72" w14:textId="77777777" w:rsidR="00241963" w:rsidRPr="00A4268A" w:rsidRDefault="00241963" w:rsidP="00621629">
      <w:pPr>
        <w:spacing w:before="240" w:line="276" w:lineRule="auto"/>
        <w:rPr>
          <w:rFonts w:eastAsia="Calibri"/>
        </w:rPr>
      </w:pPr>
    </w:p>
    <w:p w14:paraId="4A4DC02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41963" w14:paraId="3660B66E" w14:textId="77777777" w:rsidTr="00A4268A">
        <w:trPr>
          <w:cantSplit/>
        </w:trPr>
        <w:tc>
          <w:tcPr>
            <w:tcW w:w="10206" w:type="dxa"/>
            <w:vAlign w:val="center"/>
          </w:tcPr>
          <w:p w14:paraId="23D0A94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6FAC2D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D12695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74362CB"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facility meets the needs of residents and was clean and well maintained. There was a current building warrant of fitness. Electrical and biomedical equipment had been checked and tested as required. External areas are accessible, safe, provide shade and seating, and meet the needs of tāngata whaikaha (people with disabilities).</w:t>
      </w:r>
    </w:p>
    <w:p w14:paraId="2F31CE81" w14:textId="77777777" w:rsidR="00241963" w:rsidRPr="00A4268A" w:rsidRDefault="00000000">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interviewed understood emergency and security arrangements. Security is maintained.</w:t>
      </w:r>
    </w:p>
    <w:bookmarkEnd w:id="25"/>
    <w:p w14:paraId="24CBECA7" w14:textId="77777777" w:rsidR="00241963" w:rsidRPr="00A4268A" w:rsidRDefault="00241963">
      <w:pPr>
        <w:spacing w:before="240" w:line="276" w:lineRule="auto"/>
        <w:rPr>
          <w:rFonts w:eastAsia="Calibri"/>
        </w:rPr>
      </w:pPr>
    </w:p>
    <w:p w14:paraId="3E428894"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41963" w14:paraId="5FCE9AAD" w14:textId="77777777" w:rsidTr="00A4268A">
        <w:trPr>
          <w:cantSplit/>
        </w:trPr>
        <w:tc>
          <w:tcPr>
            <w:tcW w:w="10206" w:type="dxa"/>
            <w:vAlign w:val="center"/>
          </w:tcPr>
          <w:p w14:paraId="197E5B4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F81620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19A8434"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410CC3F"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ensures the safety of residents and staff through planned infection prevention (IP) and antimicrobial stewardship (AMS) programmes that are appropriate to the size and complexity of the service.  Annual reviews of the programmes were reported to the Board, as were any significant infection events.</w:t>
      </w:r>
    </w:p>
    <w:p w14:paraId="637847DA" w14:textId="77777777" w:rsidR="00241963" w:rsidRPr="00A4268A" w:rsidRDefault="00000000">
      <w:pPr>
        <w:spacing w:before="240" w:line="276" w:lineRule="auto"/>
        <w:rPr>
          <w:rFonts w:eastAsia="Calibri"/>
        </w:rPr>
      </w:pPr>
      <w:r w:rsidRPr="00A4268A">
        <w:rPr>
          <w:rFonts w:eastAsia="Calibri"/>
        </w:rPr>
        <w:t>An experienced and trained infection control coordinator leads the programme. The infection control coordinator is involved in procurement processes, any facility changes, and processes related to decontamination of any reusable devices.</w:t>
      </w:r>
    </w:p>
    <w:p w14:paraId="18697487" w14:textId="77777777" w:rsidR="00241963"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0A81BF6" w14:textId="77777777" w:rsidR="00241963" w:rsidRPr="00A4268A" w:rsidRDefault="00000000">
      <w:pPr>
        <w:spacing w:before="240" w:line="276" w:lineRule="auto"/>
        <w:rPr>
          <w:rFonts w:eastAsia="Calibri"/>
        </w:rPr>
      </w:pPr>
      <w:r w:rsidRPr="00A4268A">
        <w:rPr>
          <w:rFonts w:eastAsia="Calibri"/>
        </w:rPr>
        <w:lastRenderedPageBreak/>
        <w:t>The service promotes responsible prescribing of antimicrobials.  Infection surveillance is undertaken, with follow-up action taken as required.</w:t>
      </w:r>
    </w:p>
    <w:p w14:paraId="6C4579B1" w14:textId="77777777" w:rsidR="00241963"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405A6686" w14:textId="77777777" w:rsidR="00241963" w:rsidRPr="00A4268A" w:rsidRDefault="00241963">
      <w:pPr>
        <w:spacing w:before="240" w:line="276" w:lineRule="auto"/>
        <w:rPr>
          <w:rFonts w:eastAsia="Calibri"/>
        </w:rPr>
      </w:pPr>
    </w:p>
    <w:p w14:paraId="671BF9D2"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41963" w14:paraId="6D48B0FE" w14:textId="77777777" w:rsidTr="00A4268A">
        <w:trPr>
          <w:cantSplit/>
        </w:trPr>
        <w:tc>
          <w:tcPr>
            <w:tcW w:w="10206" w:type="dxa"/>
            <w:vAlign w:val="center"/>
          </w:tcPr>
          <w:p w14:paraId="374BD0A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2901E3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DE4CAE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8BAFF81"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 free environment. This is supported by the governing body and policies and procedures. There were no residents using restraint at the time of the audit. A comprehensive assessment, approval and monitoring process, with regular reviews, is in place should restraint use be required in the future.</w:t>
      </w:r>
    </w:p>
    <w:p w14:paraId="58E8BBD2" w14:textId="77777777" w:rsidR="00241963" w:rsidRPr="00A4268A" w:rsidRDefault="00000000">
      <w:pPr>
        <w:spacing w:before="240" w:line="276" w:lineRule="auto"/>
        <w:rPr>
          <w:rFonts w:eastAsia="Calibri"/>
        </w:rPr>
      </w:pPr>
      <w:r w:rsidRPr="00A4268A">
        <w:rPr>
          <w:rFonts w:eastAsia="Calibri"/>
        </w:rPr>
        <w:t>A suitably qualified restraint coordinator manages the process. Staff interviewed demonstrated a sound knowledge and understanding of providing least restrictive practice, de-escalation techniques, alternative interventions to restraint, and restraint monitoring.</w:t>
      </w:r>
    </w:p>
    <w:bookmarkEnd w:id="31"/>
    <w:p w14:paraId="737A5DD3" w14:textId="77777777" w:rsidR="00241963" w:rsidRPr="00A4268A" w:rsidRDefault="00241963">
      <w:pPr>
        <w:spacing w:before="240" w:line="276" w:lineRule="auto"/>
        <w:rPr>
          <w:rFonts w:eastAsia="Calibri"/>
        </w:rPr>
      </w:pPr>
    </w:p>
    <w:p w14:paraId="386E4F21" w14:textId="77777777" w:rsidR="00000000" w:rsidRDefault="00000000" w:rsidP="000E6E02">
      <w:pPr>
        <w:pStyle w:val="Heading2"/>
        <w:spacing w:before="0"/>
        <w:rPr>
          <w:rFonts w:cs="Arial"/>
        </w:rPr>
      </w:pPr>
      <w:r>
        <w:rPr>
          <w:rFonts w:cs="Arial"/>
        </w:rPr>
        <w:lastRenderedPageBreak/>
        <w:t>Summary of attainment</w:t>
      </w:r>
    </w:p>
    <w:p w14:paraId="7ADE78F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41963" w14:paraId="13F8EAA3" w14:textId="77777777">
        <w:tc>
          <w:tcPr>
            <w:tcW w:w="1384" w:type="dxa"/>
            <w:vAlign w:val="center"/>
          </w:tcPr>
          <w:p w14:paraId="43D426C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CE061DB" w14:textId="77777777" w:rsidR="00000000" w:rsidRDefault="00000000">
            <w:pPr>
              <w:keepNext/>
              <w:spacing w:before="60" w:after="60"/>
              <w:jc w:val="center"/>
              <w:rPr>
                <w:rFonts w:cs="Arial"/>
                <w:b/>
                <w:sz w:val="20"/>
                <w:szCs w:val="20"/>
              </w:rPr>
            </w:pPr>
            <w:r>
              <w:rPr>
                <w:rFonts w:cs="Arial"/>
                <w:b/>
                <w:sz w:val="20"/>
                <w:szCs w:val="20"/>
              </w:rPr>
              <w:t>Continuous Improvement</w:t>
            </w:r>
          </w:p>
          <w:p w14:paraId="0716E5E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47F86FF" w14:textId="77777777" w:rsidR="00000000" w:rsidRDefault="00000000">
            <w:pPr>
              <w:keepNext/>
              <w:spacing w:before="60" w:after="60"/>
              <w:jc w:val="center"/>
              <w:rPr>
                <w:rFonts w:cs="Arial"/>
                <w:b/>
                <w:sz w:val="20"/>
                <w:szCs w:val="20"/>
              </w:rPr>
            </w:pPr>
            <w:r>
              <w:rPr>
                <w:rFonts w:cs="Arial"/>
                <w:b/>
                <w:sz w:val="20"/>
                <w:szCs w:val="20"/>
              </w:rPr>
              <w:t>Fully Attained</w:t>
            </w:r>
          </w:p>
          <w:p w14:paraId="7B6AAC9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66B1EE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68D50D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664436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F7A3F01"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FCFBD8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FA6349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63D45B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7A7B5A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7EF8D8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C160635" w14:textId="77777777" w:rsidR="00000000" w:rsidRDefault="00000000">
            <w:pPr>
              <w:keepNext/>
              <w:spacing w:before="60" w:after="60"/>
              <w:jc w:val="center"/>
              <w:rPr>
                <w:rFonts w:cs="Arial"/>
                <w:b/>
                <w:sz w:val="20"/>
                <w:szCs w:val="20"/>
              </w:rPr>
            </w:pPr>
            <w:r>
              <w:rPr>
                <w:rFonts w:cs="Arial"/>
                <w:b/>
                <w:sz w:val="20"/>
                <w:szCs w:val="20"/>
              </w:rPr>
              <w:t>(PA Critical)</w:t>
            </w:r>
          </w:p>
        </w:tc>
      </w:tr>
      <w:tr w:rsidR="00241963" w14:paraId="0E3DCC39" w14:textId="77777777">
        <w:tc>
          <w:tcPr>
            <w:tcW w:w="1384" w:type="dxa"/>
            <w:vAlign w:val="center"/>
          </w:tcPr>
          <w:p w14:paraId="4F4E185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20903D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EE461F0"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0A8DF51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2FFD64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BCC761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DDAA2A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79EB2C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41963" w14:paraId="2866008D" w14:textId="77777777">
        <w:tc>
          <w:tcPr>
            <w:tcW w:w="1384" w:type="dxa"/>
            <w:vAlign w:val="center"/>
          </w:tcPr>
          <w:p w14:paraId="73D05C3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B6E2B4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C7E39E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41800BD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853F8E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7881553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4AE226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769942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C2FED4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41963" w14:paraId="5E42CEF0" w14:textId="77777777">
        <w:tc>
          <w:tcPr>
            <w:tcW w:w="1384" w:type="dxa"/>
            <w:vAlign w:val="center"/>
          </w:tcPr>
          <w:p w14:paraId="05AE7E4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22F60B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E9DBD58"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475BEA6" w14:textId="77777777" w:rsidR="00000000" w:rsidRDefault="00000000">
            <w:pPr>
              <w:keepNext/>
              <w:spacing w:before="60" w:after="60"/>
              <w:jc w:val="center"/>
              <w:rPr>
                <w:rFonts w:cs="Arial"/>
                <w:b/>
                <w:sz w:val="20"/>
                <w:szCs w:val="20"/>
              </w:rPr>
            </w:pPr>
            <w:r>
              <w:rPr>
                <w:rFonts w:cs="Arial"/>
                <w:b/>
                <w:sz w:val="20"/>
                <w:szCs w:val="20"/>
              </w:rPr>
              <w:t>Unattained Low Risk</w:t>
            </w:r>
          </w:p>
          <w:p w14:paraId="741FAC6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E271F1F" w14:textId="77777777" w:rsidR="00000000" w:rsidRDefault="00000000">
            <w:pPr>
              <w:keepNext/>
              <w:spacing w:before="60" w:after="60"/>
              <w:jc w:val="center"/>
              <w:rPr>
                <w:rFonts w:cs="Arial"/>
                <w:b/>
                <w:sz w:val="20"/>
                <w:szCs w:val="20"/>
              </w:rPr>
            </w:pPr>
            <w:r>
              <w:rPr>
                <w:rFonts w:cs="Arial"/>
                <w:b/>
                <w:sz w:val="20"/>
                <w:szCs w:val="20"/>
              </w:rPr>
              <w:t>Unattained Moderate Risk</w:t>
            </w:r>
          </w:p>
          <w:p w14:paraId="3DE1F1C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0045EF1" w14:textId="77777777" w:rsidR="00000000" w:rsidRDefault="00000000">
            <w:pPr>
              <w:keepNext/>
              <w:spacing w:before="60" w:after="60"/>
              <w:jc w:val="center"/>
              <w:rPr>
                <w:rFonts w:cs="Arial"/>
                <w:b/>
                <w:sz w:val="20"/>
                <w:szCs w:val="20"/>
              </w:rPr>
            </w:pPr>
            <w:r>
              <w:rPr>
                <w:rFonts w:cs="Arial"/>
                <w:b/>
                <w:sz w:val="20"/>
                <w:szCs w:val="20"/>
              </w:rPr>
              <w:t>Unattained High Risk</w:t>
            </w:r>
          </w:p>
          <w:p w14:paraId="62BB179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E8600F5" w14:textId="77777777" w:rsidR="00000000" w:rsidRDefault="00000000">
            <w:pPr>
              <w:keepNext/>
              <w:spacing w:before="60" w:after="60"/>
              <w:jc w:val="center"/>
              <w:rPr>
                <w:rFonts w:cs="Arial"/>
                <w:b/>
                <w:sz w:val="20"/>
                <w:szCs w:val="20"/>
              </w:rPr>
            </w:pPr>
            <w:r>
              <w:rPr>
                <w:rFonts w:cs="Arial"/>
                <w:b/>
                <w:sz w:val="20"/>
                <w:szCs w:val="20"/>
              </w:rPr>
              <w:t>Unattained Critical Risk</w:t>
            </w:r>
          </w:p>
          <w:p w14:paraId="35DF9ACF" w14:textId="77777777" w:rsidR="00000000" w:rsidRDefault="00000000">
            <w:pPr>
              <w:keepNext/>
              <w:spacing w:before="60" w:after="60"/>
              <w:jc w:val="center"/>
              <w:rPr>
                <w:rFonts w:cs="Arial"/>
                <w:b/>
                <w:sz w:val="20"/>
                <w:szCs w:val="20"/>
              </w:rPr>
            </w:pPr>
            <w:r>
              <w:rPr>
                <w:rFonts w:cs="Arial"/>
                <w:b/>
                <w:sz w:val="20"/>
                <w:szCs w:val="20"/>
              </w:rPr>
              <w:t>(UA Critical)</w:t>
            </w:r>
          </w:p>
        </w:tc>
      </w:tr>
      <w:tr w:rsidR="00241963" w14:paraId="1D367F62" w14:textId="77777777">
        <w:tc>
          <w:tcPr>
            <w:tcW w:w="1384" w:type="dxa"/>
            <w:vAlign w:val="center"/>
          </w:tcPr>
          <w:p w14:paraId="4409C1E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5617AC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7B05B1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3A46F87"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65781E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61E8DE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41963" w14:paraId="4B312116" w14:textId="77777777">
        <w:tc>
          <w:tcPr>
            <w:tcW w:w="1384" w:type="dxa"/>
            <w:vAlign w:val="center"/>
          </w:tcPr>
          <w:p w14:paraId="4EC1896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1BFF93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CC9C9C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44E42F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96CB53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A708F2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6CF395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6D6704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B9D3E5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A6C4E9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1352"/>
        <w:gridCol w:w="6549"/>
      </w:tblGrid>
      <w:tr w:rsidR="00241963" w14:paraId="428C68CF" w14:textId="77777777">
        <w:tc>
          <w:tcPr>
            <w:tcW w:w="0" w:type="auto"/>
          </w:tcPr>
          <w:p w14:paraId="380FD44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250082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354AD6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41963" w14:paraId="5C1F4DA6" w14:textId="77777777">
        <w:tc>
          <w:tcPr>
            <w:tcW w:w="0" w:type="auto"/>
          </w:tcPr>
          <w:p w14:paraId="1F9DAFB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F6B6D4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74D110B" w14:textId="77777777" w:rsidR="00000000" w:rsidRPr="00BE00C7" w:rsidRDefault="00000000" w:rsidP="00BE00C7">
            <w:pPr>
              <w:pStyle w:val="OutcomeDescription"/>
              <w:spacing w:before="120" w:after="120"/>
              <w:rPr>
                <w:rFonts w:cs="Arial"/>
                <w:lang w:eastAsia="en-NZ"/>
              </w:rPr>
            </w:pPr>
          </w:p>
        </w:tc>
        <w:tc>
          <w:tcPr>
            <w:tcW w:w="0" w:type="auto"/>
          </w:tcPr>
          <w:p w14:paraId="4293A66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632A89"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Limited (HLL) had a Māori Health Plan which guided care delivery for Māori using Te Whare Tapa Whā model, and by ensuring mana motuhake (self-determination) was respected. The plan has been developed with input from cultural advisers and can be used for residents who identify as Māori.</w:t>
            </w:r>
          </w:p>
          <w:p w14:paraId="3863AC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practicing tikanga and learning te reo Māori. There were residents who identified as Māori at the time of the audit. Their whānau reported that their loved ones’ culture was respected. </w:t>
            </w:r>
          </w:p>
          <w:p w14:paraId="62D5DA57" w14:textId="77777777" w:rsidR="00000000" w:rsidRPr="00BE00C7" w:rsidRDefault="00000000" w:rsidP="00BE00C7">
            <w:pPr>
              <w:pStyle w:val="OutcomeDescription"/>
              <w:spacing w:before="120" w:after="120"/>
              <w:rPr>
                <w:rFonts w:cs="Arial"/>
                <w:lang w:eastAsia="en-NZ"/>
              </w:rPr>
            </w:pPr>
            <w:r w:rsidRPr="00BE00C7">
              <w:rPr>
                <w:rFonts w:cs="Arial"/>
                <w:lang w:eastAsia="en-NZ"/>
              </w:rPr>
              <w:t>Input from Māori is supported through the Māori Network Komiti, a group of Māori employees. The Komiti has a mandate to further assist the organisation in relation to its response to the Ngā Paerewa Health and Disability Services Standard NZS 8134:2021, and its Te Tiriti o Waitangi obligations. The Māori Network Komiti has a kaupapa Māori structure and involves people from the clinical leadership group, clinical service managers, site managers, registered nurses (RNs), and other care workers. The group provides information through the clinical governance structure (the clinical advisory group) to the board. Meeting minutes were sighted. Stillwater Gardens Lifecare (Stillwater) can also access support through Te Whatu Ora and through local Māori health providers and local iwi.</w:t>
            </w:r>
          </w:p>
          <w:p w14:paraId="412629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staff recruitment policy is clear that recruitment will be non-discriminatory, and that cultural fit is one aspect of appointing staff. The service supports increasing Māori capacity by employing more Māori staff members across differing levels of the organisation, as outlined in its strategic plan and policy documentation. Ethnicity data is gathered when staff are employed, and this data is analysed at a management level. There were no staff who identified as Māori at the time of the audit.</w:t>
            </w:r>
          </w:p>
          <w:p w14:paraId="7019A52A"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on Te Tiriti o Waitangi is part of the HLL training programme, and this is implemented in the service. The training is designed to assist staff in understanding the key elements of service provision for Māori and tāngata whaikaha, including mana motuhake and the provision of equitable care services. Staff reported, and documentation confirmed, that they have completed cultural training.</w:t>
            </w:r>
          </w:p>
          <w:p w14:paraId="22E23BDD" w14:textId="77777777" w:rsidR="00000000" w:rsidRPr="00BE00C7" w:rsidRDefault="00000000" w:rsidP="00BE00C7">
            <w:pPr>
              <w:pStyle w:val="OutcomeDescription"/>
              <w:spacing w:before="120" w:after="120"/>
              <w:rPr>
                <w:rFonts w:cs="Arial"/>
                <w:lang w:eastAsia="en-NZ"/>
              </w:rPr>
            </w:pPr>
          </w:p>
        </w:tc>
      </w:tr>
      <w:tr w:rsidR="00241963" w14:paraId="7F35C0DF" w14:textId="77777777">
        <w:tc>
          <w:tcPr>
            <w:tcW w:w="0" w:type="auto"/>
          </w:tcPr>
          <w:p w14:paraId="37F2B4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4FA82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960BA49" w14:textId="77777777" w:rsidR="00000000" w:rsidRPr="00BE00C7" w:rsidRDefault="00000000" w:rsidP="00BE00C7">
            <w:pPr>
              <w:pStyle w:val="OutcomeDescription"/>
              <w:spacing w:before="120" w:after="120"/>
              <w:rPr>
                <w:rFonts w:cs="Arial"/>
                <w:lang w:eastAsia="en-NZ"/>
              </w:rPr>
            </w:pPr>
          </w:p>
        </w:tc>
        <w:tc>
          <w:tcPr>
            <w:tcW w:w="0" w:type="auto"/>
          </w:tcPr>
          <w:p w14:paraId="1ED756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191171"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understands the equity issues faced by Pacific peoples and is able to access guidance from people within the organisation around appropriate care and service for Pacific peoples. Two members of the executive team identify as Pacific. They can assist the Board to meet its Ngā Paerewa obligations to Pacific peoples.</w:t>
            </w:r>
          </w:p>
          <w:p w14:paraId="4ABEE5DB" w14:textId="77777777" w:rsidR="00000000" w:rsidRPr="00BE00C7" w:rsidRDefault="00000000" w:rsidP="00BE00C7">
            <w:pPr>
              <w:pStyle w:val="OutcomeDescription"/>
              <w:spacing w:before="120" w:after="120"/>
              <w:rPr>
                <w:rFonts w:cs="Arial"/>
                <w:lang w:eastAsia="en-NZ"/>
              </w:rPr>
            </w:pPr>
            <w:r w:rsidRPr="00BE00C7">
              <w:rPr>
                <w:rFonts w:cs="Arial"/>
                <w:lang w:eastAsia="en-NZ"/>
              </w:rPr>
              <w:t>A Pacific Health Plan is in place, which utilises the Fonofale model of care to document care requirements for Pacific peoples and ensure culturally appropriate services. The plan has been developed with input from cultural advisers. Stillwater has access to local Pacific communities through local Pacific organisations. There were staff who identified as Pacific people who also provide advice and guidance. Staff reported that spiritual beliefs would be embraced.</w:t>
            </w:r>
          </w:p>
          <w:p w14:paraId="1884D9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recruitment policy is clear that recruitment will be non-discriminatory, and that cultural fit is one aspect of appointing staff. The service supports increasing Pacific capacity by employing more Pacific staff members across differing levels of the organisation, and this is outlined in its strategic plan and in policy documentation. Ethnicity data is gathered when staff are employed, and this data is analysed at management level. Training on culturally specific care, including care for Pacific people, is part of the HLL training programme, and this is </w:t>
            </w:r>
            <w:r w:rsidRPr="00BE00C7">
              <w:rPr>
                <w:rFonts w:cs="Arial"/>
                <w:lang w:eastAsia="en-NZ"/>
              </w:rPr>
              <w:lastRenderedPageBreak/>
              <w:t>implemented in the service. The training is geared to assist staff in understanding the key elements of service provision for Pacific people and providing equity in care services.</w:t>
            </w:r>
          </w:p>
          <w:p w14:paraId="3B8C6C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identified as Pacific people in the service. Staff reported, and documentation confirmed, that staff have attended cultural training.</w:t>
            </w:r>
          </w:p>
          <w:p w14:paraId="15231DAA" w14:textId="77777777" w:rsidR="00000000" w:rsidRPr="00BE00C7" w:rsidRDefault="00000000" w:rsidP="00BE00C7">
            <w:pPr>
              <w:pStyle w:val="OutcomeDescription"/>
              <w:spacing w:before="120" w:after="120"/>
              <w:rPr>
                <w:rFonts w:cs="Arial"/>
                <w:lang w:eastAsia="en-NZ"/>
              </w:rPr>
            </w:pPr>
          </w:p>
        </w:tc>
      </w:tr>
      <w:tr w:rsidR="00241963" w14:paraId="71111B38" w14:textId="77777777">
        <w:tc>
          <w:tcPr>
            <w:tcW w:w="0" w:type="auto"/>
          </w:tcPr>
          <w:p w14:paraId="4C351B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C5DAA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0612791" w14:textId="77777777" w:rsidR="00000000" w:rsidRPr="00BE00C7" w:rsidRDefault="00000000" w:rsidP="00BE00C7">
            <w:pPr>
              <w:pStyle w:val="OutcomeDescription"/>
              <w:spacing w:before="120" w:after="120"/>
              <w:rPr>
                <w:rFonts w:cs="Arial"/>
                <w:lang w:eastAsia="en-NZ"/>
              </w:rPr>
            </w:pPr>
          </w:p>
        </w:tc>
        <w:tc>
          <w:tcPr>
            <w:tcW w:w="0" w:type="auto"/>
          </w:tcPr>
          <w:p w14:paraId="4A37B0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6AD7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Ltd and Stillwater management were aware of their responsibilities under the Code of Health and Disability Services Consumers’ Rights (the Code) and policies and procedures were in place to ensure these are respected. Staff interviewed understood the requirements of the Code, including the right to self-determination (mana motuhake), and were observed supporting residents in accordance with their wishes. </w:t>
            </w:r>
          </w:p>
          <w:p w14:paraId="7ED12A0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Copies of the Code are provided to residents on admission and posters detailing the Code in English and te reo Māori are displayed at the entrance.  Residents interviewed confirmed they were provided with opportunities to discuss and clarify their rights.</w:t>
            </w:r>
          </w:p>
          <w:p w14:paraId="39468F69"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independent advocate visits the facility every three months to meet with residents in groups and individually. Any concerns raised are addressed with management; this was confirmed to occur in meeting minutes, emails, and interviews with staff and residents.</w:t>
            </w:r>
          </w:p>
          <w:p w14:paraId="62F87799" w14:textId="77777777" w:rsidR="00000000" w:rsidRPr="00BE00C7" w:rsidRDefault="00000000" w:rsidP="00BE00C7">
            <w:pPr>
              <w:pStyle w:val="OutcomeDescription"/>
              <w:spacing w:before="120" w:after="120"/>
              <w:rPr>
                <w:rFonts w:cs="Arial"/>
                <w:lang w:eastAsia="en-NZ"/>
              </w:rPr>
            </w:pPr>
          </w:p>
        </w:tc>
      </w:tr>
      <w:tr w:rsidR="00241963" w14:paraId="0832A745" w14:textId="77777777">
        <w:tc>
          <w:tcPr>
            <w:tcW w:w="0" w:type="auto"/>
          </w:tcPr>
          <w:p w14:paraId="384E301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2A9819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8193AB3" w14:textId="77777777" w:rsidR="00000000" w:rsidRPr="00BE00C7" w:rsidRDefault="00000000" w:rsidP="00BE00C7">
            <w:pPr>
              <w:pStyle w:val="OutcomeDescription"/>
              <w:spacing w:before="120" w:after="120"/>
              <w:rPr>
                <w:rFonts w:cs="Arial"/>
                <w:lang w:eastAsia="en-NZ"/>
              </w:rPr>
            </w:pPr>
          </w:p>
        </w:tc>
        <w:tc>
          <w:tcPr>
            <w:tcW w:w="0" w:type="auto"/>
          </w:tcPr>
          <w:p w14:paraId="6AED9D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CF55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Stillwater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 </w:t>
            </w:r>
          </w:p>
          <w:p w14:paraId="05054F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or share a room with another person with their consent. </w:t>
            </w:r>
          </w:p>
          <w:p w14:paraId="37C54C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Te reo Māori and tikanga Māori are promoted within the service through policy and education of staff.  Staff described learning te reo Māori words, and Māori residents interviewed were appreciative of the effort staff were making. Bilingual signage was evident throughout the facility, and key resident information such as the Code of Rights was displayed in te reo Māori. </w:t>
            </w:r>
          </w:p>
          <w:p w14:paraId="27131D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undertaken training in Te Tiriti o Waitangi and understood the principles and how to apply these in their daily work. </w:t>
            </w:r>
          </w:p>
          <w:p w14:paraId="235A52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including residents supported under the younger persons with a physical disability (YPD) contract, were responded to, including their participation in te ao Māori.</w:t>
            </w:r>
          </w:p>
          <w:p w14:paraId="5B0C76B3" w14:textId="77777777" w:rsidR="00000000" w:rsidRPr="00BE00C7" w:rsidRDefault="00000000" w:rsidP="00BE00C7">
            <w:pPr>
              <w:pStyle w:val="OutcomeDescription"/>
              <w:spacing w:before="120" w:after="120"/>
              <w:rPr>
                <w:rFonts w:cs="Arial"/>
                <w:lang w:eastAsia="en-NZ"/>
              </w:rPr>
            </w:pPr>
          </w:p>
        </w:tc>
      </w:tr>
      <w:tr w:rsidR="00241963" w14:paraId="2074BBA8" w14:textId="77777777">
        <w:tc>
          <w:tcPr>
            <w:tcW w:w="0" w:type="auto"/>
          </w:tcPr>
          <w:p w14:paraId="1A47A7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9EA3F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A9C1EC9" w14:textId="77777777" w:rsidR="00000000" w:rsidRPr="00BE00C7" w:rsidRDefault="00000000" w:rsidP="00BE00C7">
            <w:pPr>
              <w:pStyle w:val="OutcomeDescription"/>
              <w:spacing w:before="120" w:after="120"/>
              <w:rPr>
                <w:rFonts w:cs="Arial"/>
                <w:lang w:eastAsia="en-NZ"/>
              </w:rPr>
            </w:pPr>
          </w:p>
        </w:tc>
        <w:tc>
          <w:tcPr>
            <w:tcW w:w="0" w:type="auto"/>
          </w:tcPr>
          <w:p w14:paraId="1255D8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6A9A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HLL policy on abuse and neglect, including what to do should there be any signs of such behaviour.  There were no examples of discrimination, coercion, or harassment identified during the audit through staff, resident, whānau and Enduring Power of Attorney (EPOA) interviews, or in documentation reviewed.  </w:t>
            </w:r>
          </w:p>
          <w:p w14:paraId="4EA5727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was labelled on admission, and residents’ whānau and EPOA interviewed reported that residents’ property was respected and well cared for. Resident finances are protected, and staff do not handle residents’ money.</w:t>
            </w:r>
          </w:p>
          <w:p w14:paraId="3C2515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were maintained by staff.  Staff interviewed felt comfortable in raising any concerns in relation to institutional and systemic racism, and that any concerns would be acted upon. </w:t>
            </w:r>
          </w:p>
          <w:p w14:paraId="75B5B66B"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provision was holistic, encompassing the pillars of Te Whare Tapa Whā, and is based on the identified strengths of residents. Well-being outcomes for all residents, including Māori, are evaluated as part of the assessment and care planning process six-monthly in order to ensure the needs of residents are met.</w:t>
            </w:r>
          </w:p>
          <w:p w14:paraId="5724238D" w14:textId="77777777" w:rsidR="00000000" w:rsidRPr="00BE00C7" w:rsidRDefault="00000000" w:rsidP="00BE00C7">
            <w:pPr>
              <w:pStyle w:val="OutcomeDescription"/>
              <w:spacing w:before="120" w:after="120"/>
              <w:rPr>
                <w:rFonts w:cs="Arial"/>
                <w:lang w:eastAsia="en-NZ"/>
              </w:rPr>
            </w:pPr>
          </w:p>
        </w:tc>
      </w:tr>
      <w:tr w:rsidR="00241963" w14:paraId="34B20430" w14:textId="77777777">
        <w:tc>
          <w:tcPr>
            <w:tcW w:w="0" w:type="auto"/>
          </w:tcPr>
          <w:p w14:paraId="394FD0E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460F1D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CE94FDE" w14:textId="77777777" w:rsidR="00000000" w:rsidRPr="00BE00C7" w:rsidRDefault="00000000" w:rsidP="00BE00C7">
            <w:pPr>
              <w:pStyle w:val="OutcomeDescription"/>
              <w:spacing w:before="120" w:after="120"/>
              <w:rPr>
                <w:rFonts w:cs="Arial"/>
                <w:lang w:eastAsia="en-NZ"/>
              </w:rPr>
            </w:pPr>
          </w:p>
        </w:tc>
        <w:tc>
          <w:tcPr>
            <w:tcW w:w="0" w:type="auto"/>
          </w:tcPr>
          <w:p w14:paraId="2DA9CC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2A01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including residents supported under the younger persons with a physical disability contract, reported that communication was open and effective, and they felt listened to. </w:t>
            </w:r>
            <w:r w:rsidRPr="00BE00C7">
              <w:rPr>
                <w:rFonts w:cs="Arial"/>
                <w:lang w:eastAsia="en-NZ"/>
              </w:rPr>
              <w:lastRenderedPageBreak/>
              <w:t>Information was provided in an easy-to-understand format; staff described the use of whiteboards and pictorial aids with residents who had difficulties with communication.</w:t>
            </w:r>
          </w:p>
          <w:p w14:paraId="74957F93"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to residents’ health status were communicated to EPOA and whānau in a timely manner.  Where other agencies were involved in care, communication had occurred. The general practitioner interviewed stated communication from staff was appropriate, timely, and included all relevant information.</w:t>
            </w:r>
          </w:p>
          <w:p w14:paraId="264C2E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53AF269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01690358" w14:textId="77777777" w:rsidR="00000000" w:rsidRPr="00BE00C7" w:rsidRDefault="00000000" w:rsidP="00BE00C7">
            <w:pPr>
              <w:pStyle w:val="OutcomeDescription"/>
              <w:spacing w:before="120" w:after="120"/>
              <w:rPr>
                <w:rFonts w:cs="Arial"/>
                <w:lang w:eastAsia="en-NZ"/>
              </w:rPr>
            </w:pPr>
          </w:p>
        </w:tc>
      </w:tr>
      <w:tr w:rsidR="00241963" w14:paraId="0AAF87A7" w14:textId="77777777">
        <w:tc>
          <w:tcPr>
            <w:tcW w:w="0" w:type="auto"/>
          </w:tcPr>
          <w:p w14:paraId="2C5768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0482B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BC02655" w14:textId="77777777" w:rsidR="00000000" w:rsidRPr="00BE00C7" w:rsidRDefault="00000000" w:rsidP="00BE00C7">
            <w:pPr>
              <w:pStyle w:val="OutcomeDescription"/>
              <w:spacing w:before="120" w:after="120"/>
              <w:rPr>
                <w:rFonts w:cs="Arial"/>
                <w:lang w:eastAsia="en-NZ"/>
              </w:rPr>
            </w:pPr>
          </w:p>
        </w:tc>
        <w:tc>
          <w:tcPr>
            <w:tcW w:w="0" w:type="auto"/>
          </w:tcPr>
          <w:p w14:paraId="758B7F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B8998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legal representative are provided with the information necessary to make informed decisions. Informed consent processes complied with the Code. With the consent of the resident, whānau were included in decision-making. Those residents, whānau and EPOA interviewed felt empowered to actively participate in decision-making. Nursing and care staff interviewed understood the principles and practice of informed consent and described involving residents and whānau in the process. Tikanga guidelines were available to support staff when working with Māori residents and whānau; these were known to staff.</w:t>
            </w:r>
          </w:p>
          <w:p w14:paraId="5BE744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care planning, establishing and documenting of EPOA requirements and processes for residents unable to consent are documented, as relevant, in the resident’s record.  All residents in the secure dementia unit had a documented EPOA or welfare guardian on file that had been activated by an appropriate medical practitioner.  </w:t>
            </w:r>
          </w:p>
          <w:p w14:paraId="523D09D8" w14:textId="77777777" w:rsidR="00000000" w:rsidRPr="00BE00C7" w:rsidRDefault="00000000" w:rsidP="00BE00C7">
            <w:pPr>
              <w:pStyle w:val="OutcomeDescription"/>
              <w:spacing w:before="120" w:after="120"/>
              <w:rPr>
                <w:rFonts w:cs="Arial"/>
                <w:lang w:eastAsia="en-NZ"/>
              </w:rPr>
            </w:pPr>
          </w:p>
        </w:tc>
      </w:tr>
      <w:tr w:rsidR="00241963" w14:paraId="0FABD93A" w14:textId="77777777">
        <w:tc>
          <w:tcPr>
            <w:tcW w:w="0" w:type="auto"/>
          </w:tcPr>
          <w:p w14:paraId="0AF3BF8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40757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improving the system and </w:t>
            </w:r>
            <w:r w:rsidRPr="00BE00C7">
              <w:rPr>
                <w:rFonts w:cs="Arial"/>
                <w:lang w:eastAsia="en-NZ"/>
              </w:rPr>
              <w:lastRenderedPageBreak/>
              <w:t>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8C0A21F" w14:textId="77777777" w:rsidR="00000000" w:rsidRPr="00BE00C7" w:rsidRDefault="00000000" w:rsidP="00BE00C7">
            <w:pPr>
              <w:pStyle w:val="OutcomeDescription"/>
              <w:spacing w:before="120" w:after="120"/>
              <w:rPr>
                <w:rFonts w:cs="Arial"/>
                <w:lang w:eastAsia="en-NZ"/>
              </w:rPr>
            </w:pPr>
          </w:p>
        </w:tc>
        <w:tc>
          <w:tcPr>
            <w:tcW w:w="0" w:type="auto"/>
          </w:tcPr>
          <w:p w14:paraId="41187E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AB0C3A"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meets the requirements of the Code. Residents and whānau understood their right to make a complaint and knew how to do so.</w:t>
            </w:r>
          </w:p>
          <w:p w14:paraId="34010A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Complaint forms and a box are located at reception, and in the secure dementia wing. The Code is available in te reo Māori and English. </w:t>
            </w:r>
          </w:p>
          <w:p w14:paraId="26F40D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complaints register showed that actions taken, through to an agreed resolution, are documented and completed within the timeframes.  </w:t>
            </w:r>
          </w:p>
          <w:p w14:paraId="7BAE1B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t>
            </w:r>
          </w:p>
          <w:p w14:paraId="6156A5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 complaints have been received since the last audit from external sources. Staff reported they knew what to do should they receive a complaint. </w:t>
            </w:r>
          </w:p>
          <w:p w14:paraId="5425A8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CHVM is responsible for complaints management and follow-up. </w:t>
            </w:r>
          </w:p>
          <w:p w14:paraId="43AE32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process in place to ensure that complaints from Māori can be handled in a culturally appropriate manner. The CHVM reported, and documentation evidenced, that a translator who identified as Māori would be available to support people if needed. There have been no complaints received by Māori to date.</w:t>
            </w:r>
          </w:p>
          <w:p w14:paraId="0CD62DE8" w14:textId="77777777" w:rsidR="00000000" w:rsidRPr="00BE00C7" w:rsidRDefault="00000000" w:rsidP="00BE00C7">
            <w:pPr>
              <w:pStyle w:val="OutcomeDescription"/>
              <w:spacing w:before="120" w:after="120"/>
              <w:rPr>
                <w:rFonts w:cs="Arial"/>
                <w:lang w:eastAsia="en-NZ"/>
              </w:rPr>
            </w:pPr>
          </w:p>
        </w:tc>
      </w:tr>
      <w:tr w:rsidR="00241963" w14:paraId="2F8BC307" w14:textId="77777777">
        <w:tc>
          <w:tcPr>
            <w:tcW w:w="0" w:type="auto"/>
          </w:tcPr>
          <w:p w14:paraId="4EB945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4AD6C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C35464C" w14:textId="77777777" w:rsidR="00000000" w:rsidRPr="00BE00C7" w:rsidRDefault="00000000" w:rsidP="00BE00C7">
            <w:pPr>
              <w:pStyle w:val="OutcomeDescription"/>
              <w:spacing w:before="120" w:after="120"/>
              <w:rPr>
                <w:rFonts w:cs="Arial"/>
                <w:lang w:eastAsia="en-NZ"/>
              </w:rPr>
            </w:pPr>
          </w:p>
        </w:tc>
        <w:tc>
          <w:tcPr>
            <w:tcW w:w="0" w:type="auto"/>
          </w:tcPr>
          <w:p w14:paraId="22D6DB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BA39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through supporting meaningful inclusion of Māori and Pacific peoples in governance groups, honouring Te Tiriti o Waitangi and being focused on improving outcomes for Māori, Pacific peoples, and tāngata whaikaha. Heritage Lifecare has a legal team who monitor changes to legislative and clinical requirements and have access to domestic and international legal advice.</w:t>
            </w:r>
          </w:p>
          <w:p w14:paraId="2E2ADCA5"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Pacific peoples and tāngata whaikaha is addressed through the policy documentation and enabled through choice and control over supports and the removal of barriers that prevent access to information (e.g., information in other languages for the Code of Rights, infection prevention and control). Heritage Lifecare also utilises the skills of staff and senior managers and supports them in ensuring that barriers to equitable service delivery are surmounted.</w:t>
            </w:r>
          </w:p>
          <w:p w14:paraId="3D5F7F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Heritage Lifecare is committed to supporting a person and whānau-centred health and disability service. </w:t>
            </w:r>
          </w:p>
          <w:p w14:paraId="13B02D97"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has a strategic plan in place which outlines the organisation’s structure, purpose, values, scope, direction, performance, and goals. The plan incorporates the Ngā Paerewa Standard in relation to antimicrobial stewardship (AMS) and restraint elimination across ethnicity. Ethnicity data is collected to support equitable service delivery. The Stillwater 2025 business plan, reviewed quarterly, describes annual and longer-term objectives, and was sighted.</w:t>
            </w:r>
          </w:p>
          <w:p w14:paraId="68D1B5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an experienced care home and village manager (CHVM) who has been in the role for two months. The role is shared across another local Heritage facility. A clinical services manager (CSM) overseas the clinical care provided at Stillwater. Support is provided by the regional clinical and quality manager (RCQM) and the regional business manager (RBM), who were both on site during the audit.</w:t>
            </w:r>
          </w:p>
          <w:p w14:paraId="501E5A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Governance and the senior leadership team commit to quality and risk via policy and processes, and through feedback mechanisms. This includes receiving regular information from each of its care facilities. The HLL reporting structure relies on information from its strategic plan to inform facility-based business plans. Internal data collection, for example adverse events, infections, audits, and complaints are aggregated, and corrective actions at facility-level are actioned. Feedback is provided to the clinical governance group and to the board. Changes are made to business and/or the strategic plans as required. </w:t>
            </w:r>
          </w:p>
          <w:p w14:paraId="37736A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Job/role descriptions are in place for all positions, including senior positions. These specify the requirements for the position and key performance indicators (KPIs) to assess performance. Heritage Lifecare uses an interview panel for senior managers. Recruiting and retaining people is a focus for HLL, it looks for the ‘right people in the right place’ and aims to keep them in place for a longer period to promote stability. It also uses feedback from cultural advisers, including the Māori Network Komiti, to inform workforce planning, sensitive and </w:t>
            </w:r>
            <w:r w:rsidRPr="00BE00C7">
              <w:rPr>
                <w:rFonts w:cs="Arial"/>
                <w:lang w:eastAsia="en-NZ"/>
              </w:rPr>
              <w:lastRenderedPageBreak/>
              <w:t>appropriate collection and use of ethnicity data, and how it can support its ethnically diverse staff.</w:t>
            </w:r>
          </w:p>
          <w:p w14:paraId="61BF9B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supports people to participate locally through resident meetings, and through satisfaction surveys. There is also a staff satisfaction survey, for a wider view of how residents and staff are being supported. Results of both are used to improve services. </w:t>
            </w:r>
          </w:p>
          <w:p w14:paraId="0EB78279" w14:textId="77777777" w:rsidR="00000000" w:rsidRPr="00BE00C7" w:rsidRDefault="00000000" w:rsidP="00BE00C7">
            <w:pPr>
              <w:pStyle w:val="OutcomeDescription"/>
              <w:spacing w:before="120" w:after="120"/>
              <w:rPr>
                <w:rFonts w:cs="Arial"/>
                <w:lang w:eastAsia="en-NZ"/>
              </w:rPr>
            </w:pPr>
            <w:r w:rsidRPr="00BE00C7">
              <w:rPr>
                <w:rFonts w:cs="Arial"/>
                <w:lang w:eastAsia="en-NZ"/>
              </w:rPr>
              <w:t>Directors of HLL have undertaken the e-learning education on Te Tiriti, health equity, and cultural safety provided by Manatū Hauora – Health New Zealand (Manatū Hauora).</w:t>
            </w:r>
          </w:p>
          <w:p w14:paraId="311506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service. Meeting minutes were sighted.</w:t>
            </w:r>
          </w:p>
          <w:p w14:paraId="0EB915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Te Whatu Ora for respite, rest home, hospital and dementia level of care for up to 88 residents. </w:t>
            </w:r>
          </w:p>
          <w:p w14:paraId="6D7EE061"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contract is also held for long-term support – chronic health conditions (LTSCHC).</w:t>
            </w:r>
          </w:p>
          <w:p w14:paraId="3772D9DB" w14:textId="77777777" w:rsidR="00000000" w:rsidRPr="00BE00C7" w:rsidRDefault="00000000" w:rsidP="00BE00C7">
            <w:pPr>
              <w:pStyle w:val="OutcomeDescription"/>
              <w:spacing w:before="120" w:after="120"/>
              <w:rPr>
                <w:rFonts w:cs="Arial"/>
                <w:lang w:eastAsia="en-NZ"/>
              </w:rPr>
            </w:pPr>
            <w:r w:rsidRPr="00BE00C7">
              <w:rPr>
                <w:rFonts w:cs="Arial"/>
                <w:lang w:eastAsia="en-NZ"/>
              </w:rPr>
              <w:t>Contracts are held with the Ministry of Social Development – Te Manatū Whakahiato Ora for young people with a disability (YPD).</w:t>
            </w:r>
          </w:p>
          <w:p w14:paraId="4C1C80B2"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66 residents were receiving services.</w:t>
            </w:r>
          </w:p>
          <w:p w14:paraId="7C821A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Nineteen residents were receiving rest home services, including one person under the YPD contract, along with four residents in care suites under occupation rights agreements assessed as requiring care. </w:t>
            </w:r>
          </w:p>
          <w:p w14:paraId="26345286" w14:textId="77777777" w:rsidR="00000000" w:rsidRPr="00BE00C7" w:rsidRDefault="00000000" w:rsidP="00BE00C7">
            <w:pPr>
              <w:pStyle w:val="OutcomeDescription"/>
              <w:spacing w:before="120" w:after="120"/>
              <w:rPr>
                <w:rFonts w:cs="Arial"/>
                <w:lang w:eastAsia="en-NZ"/>
              </w:rPr>
            </w:pPr>
            <w:r w:rsidRPr="00BE00C7">
              <w:rPr>
                <w:rFonts w:cs="Arial"/>
                <w:lang w:eastAsia="en-NZ"/>
              </w:rPr>
              <w:t>Thirty-two residents were receiving hospital-level services, including one person under the YPD contract.</w:t>
            </w:r>
          </w:p>
          <w:p w14:paraId="404EAE7B" w14:textId="77777777" w:rsidR="00000000" w:rsidRPr="00BE00C7" w:rsidRDefault="00000000" w:rsidP="00BE00C7">
            <w:pPr>
              <w:pStyle w:val="OutcomeDescription"/>
              <w:spacing w:before="120" w:after="120"/>
              <w:rPr>
                <w:rFonts w:cs="Arial"/>
                <w:lang w:eastAsia="en-NZ"/>
              </w:rPr>
            </w:pPr>
            <w:r w:rsidRPr="00BE00C7">
              <w:rPr>
                <w:rFonts w:cs="Arial"/>
                <w:lang w:eastAsia="en-NZ"/>
              </w:rPr>
              <w:t>Fifteen residents were receiving care in the secure dementia wing.</w:t>
            </w:r>
          </w:p>
          <w:p w14:paraId="25886952" w14:textId="77777777" w:rsidR="00000000" w:rsidRPr="00BE00C7" w:rsidRDefault="00000000" w:rsidP="00BE00C7">
            <w:pPr>
              <w:pStyle w:val="OutcomeDescription"/>
              <w:spacing w:before="120" w:after="120"/>
              <w:rPr>
                <w:rFonts w:cs="Arial"/>
                <w:lang w:eastAsia="en-NZ"/>
              </w:rPr>
            </w:pPr>
            <w:r w:rsidRPr="00BE00C7">
              <w:rPr>
                <w:rFonts w:cs="Arial"/>
                <w:lang w:eastAsia="en-NZ"/>
              </w:rPr>
              <w:t>Fifty-three beds are dual-purpose beds.</w:t>
            </w:r>
          </w:p>
          <w:p w14:paraId="7D3D30F3" w14:textId="77777777" w:rsidR="00000000" w:rsidRPr="00BE00C7" w:rsidRDefault="00000000" w:rsidP="00BE00C7">
            <w:pPr>
              <w:pStyle w:val="OutcomeDescription"/>
              <w:spacing w:before="120" w:after="120"/>
              <w:rPr>
                <w:rFonts w:cs="Arial"/>
                <w:lang w:eastAsia="en-NZ"/>
              </w:rPr>
            </w:pPr>
          </w:p>
        </w:tc>
      </w:tr>
      <w:tr w:rsidR="00241963" w14:paraId="6EBA0E07" w14:textId="77777777">
        <w:tc>
          <w:tcPr>
            <w:tcW w:w="0" w:type="auto"/>
          </w:tcPr>
          <w:p w14:paraId="1FC5BA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FA32E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w:t>
            </w:r>
            <w:r w:rsidRPr="00BE00C7">
              <w:rPr>
                <w:rFonts w:cs="Arial"/>
                <w:lang w:eastAsia="en-NZ"/>
              </w:rPr>
              <w:lastRenderedPageBreak/>
              <w:t>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2385C52" w14:textId="77777777" w:rsidR="00000000" w:rsidRPr="00BE00C7" w:rsidRDefault="00000000" w:rsidP="00BE00C7">
            <w:pPr>
              <w:pStyle w:val="OutcomeDescription"/>
              <w:spacing w:before="120" w:after="120"/>
              <w:rPr>
                <w:rFonts w:cs="Arial"/>
                <w:lang w:eastAsia="en-NZ"/>
              </w:rPr>
            </w:pPr>
          </w:p>
        </w:tc>
        <w:tc>
          <w:tcPr>
            <w:tcW w:w="0" w:type="auto"/>
          </w:tcPr>
          <w:p w14:paraId="373A78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1E4D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the management of incidents/accidents/hazards (including the monitoring of clinical incidents such as falls, pressure injuries, infections, wounds, </w:t>
            </w:r>
            <w:r w:rsidRPr="00BE00C7">
              <w:rPr>
                <w:rFonts w:cs="Arial"/>
                <w:lang w:eastAsia="en-NZ"/>
              </w:rPr>
              <w:lastRenderedPageBreak/>
              <w:t>and medication errors), complaints, audit activities, and policies and procedures. The RCQM felt well informed on progress, quality and risk.</w:t>
            </w:r>
          </w:p>
          <w:p w14:paraId="7A9A4D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2025 internal audit schedule was sighted. A sample of completed audits – including medication, infection prevention and control, and progress notes – was sighted. Relevant corrective actions are developed and implemented to address any shortfalls. Progress against quality outcomes is evaluated.</w:t>
            </w:r>
          </w:p>
          <w:p w14:paraId="0CA072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CHVM is responsible for quality.  </w:t>
            </w:r>
          </w:p>
          <w:p w14:paraId="02452E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quality and risk-related meeting minutes was reviewed and confirmed there have been regular reviews and analysis of quality indicators, and that related information is reported and discussed. This was confirmed by staff at interview. There have been monthly staff meetings and regular resident meetings. Topics include health and safety, infection control, falls, nil restraint, complaints, and survey outcomes. A sample of meeting minutes evidenced comprehensive reporting.  Trends are graphed and displayed on notice boards in public and staff areas. </w:t>
            </w:r>
          </w:p>
          <w:p w14:paraId="3312D8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contractual requirements and were current. </w:t>
            </w:r>
          </w:p>
          <w:p w14:paraId="74FC02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CHVM and understood the processes for the identification of external and internal risks, documentation, monitoring, review, and reporting of risks, including health and safety risks, and development of mitigation strategies. Staff reported at interview that they knew to report risks.  Potential inequities are identified and addressed through training, care planning, and communicating with the resident.</w:t>
            </w:r>
          </w:p>
          <w:p w14:paraId="02EF422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contribute to quality improvement through the ability to give feedback at meetings and in surveys. The CHVM reported that residents have three-monthly meetings facilitated by an independent advocate. Minutes evidenced residents were happy with their care.</w:t>
            </w:r>
          </w:p>
          <w:p w14:paraId="2FCA3B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satisfaction survey completed during April 2025 showed that residents were satisfied with the level of care provided. The results were described and displayed on the wall adjacent to reception. </w:t>
            </w:r>
          </w:p>
          <w:p w14:paraId="7C50A3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last staff survey completed during July 2025 evidenced staff were very satisfied. The BCM reported that staff were informed of the results at the recent roadshow led by staff from the Heritage management.</w:t>
            </w:r>
          </w:p>
          <w:p w14:paraId="3C8F0A6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forms reviewed showed these were fully completed, incidents were investigated, action plans developed, and any corrective actions followed up in a timely manner.</w:t>
            </w:r>
          </w:p>
          <w:p w14:paraId="568EA3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CHVM, RCQM and CSM understood and have complied with essential notification reporting requirements. There have been six Section 31 notifications completed in the last 12 months. One related to the recent change of CSM, one related to the change of CHVM, four related to fractures, and one related to an outbreak, which was also reported to public health.  </w:t>
            </w:r>
          </w:p>
          <w:p w14:paraId="39281049" w14:textId="77777777" w:rsidR="00000000" w:rsidRPr="00BE00C7" w:rsidRDefault="00000000" w:rsidP="00BE00C7">
            <w:pPr>
              <w:pStyle w:val="OutcomeDescription"/>
              <w:spacing w:before="120" w:after="120"/>
              <w:rPr>
                <w:rFonts w:cs="Arial"/>
                <w:lang w:eastAsia="en-NZ"/>
              </w:rPr>
            </w:pPr>
            <w:r w:rsidRPr="00BE00C7">
              <w:rPr>
                <w:rFonts w:cs="Arial"/>
                <w:lang w:eastAsia="en-NZ"/>
              </w:rPr>
              <w:t>Nine reports to the Health Quality &amp; Safety Commission relating to fractures and pressure injuries were sighted.</w:t>
            </w:r>
          </w:p>
          <w:p w14:paraId="51058E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not been any coroners’ inquests, or issues-based audits.</w:t>
            </w:r>
          </w:p>
          <w:p w14:paraId="5D2DE20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supported to deliver high-quality health care to residents who identify as Māori through, for example, training, including cultural safety training, cultural assessments, care planning, handover, and communicating with the resident and whānau. Staff reported they are learning te reo Māori and gave examples of tikanga.</w:t>
            </w:r>
          </w:p>
          <w:p w14:paraId="4445A8D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Critical analysis of organisational practices to improve health equity is occurring, with appropriate follow-up and reporting. The CSM reported, and evidence was sighted, of critical analysis of practices. The RCQM reported that results were average compared to other Heritage facilities. Graphs and narratives were sighted.</w:t>
            </w:r>
          </w:p>
          <w:p w14:paraId="3F6A5E8D" w14:textId="77777777" w:rsidR="00000000" w:rsidRPr="00BE00C7" w:rsidRDefault="00000000" w:rsidP="00BE00C7">
            <w:pPr>
              <w:pStyle w:val="OutcomeDescription"/>
              <w:spacing w:before="120" w:after="120"/>
              <w:rPr>
                <w:rFonts w:cs="Arial"/>
                <w:lang w:eastAsia="en-NZ"/>
              </w:rPr>
            </w:pPr>
          </w:p>
        </w:tc>
      </w:tr>
      <w:tr w:rsidR="00241963" w14:paraId="207AE92C" w14:textId="77777777">
        <w:tc>
          <w:tcPr>
            <w:tcW w:w="0" w:type="auto"/>
          </w:tcPr>
          <w:p w14:paraId="72B915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17442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w:t>
            </w:r>
            <w:r w:rsidRPr="00BE00C7">
              <w:rPr>
                <w:rFonts w:cs="Arial"/>
                <w:lang w:eastAsia="en-NZ"/>
              </w:rPr>
              <w:lastRenderedPageBreak/>
              <w:t>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41CCD7D" w14:textId="77777777" w:rsidR="00000000" w:rsidRPr="00BE00C7" w:rsidRDefault="00000000" w:rsidP="00BE00C7">
            <w:pPr>
              <w:pStyle w:val="OutcomeDescription"/>
              <w:spacing w:before="120" w:after="120"/>
              <w:rPr>
                <w:rFonts w:cs="Arial"/>
                <w:lang w:eastAsia="en-NZ"/>
              </w:rPr>
            </w:pPr>
          </w:p>
        </w:tc>
        <w:tc>
          <w:tcPr>
            <w:tcW w:w="0" w:type="auto"/>
          </w:tcPr>
          <w:p w14:paraId="0003EC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A458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A Safe Rostering tool was used. The facility adjusts staffing levels to meet the changing needs of residents. A multidisciplinary team (MDT) approach ensures all aspects of service delivery are met. Those providing care reported </w:t>
            </w:r>
            <w:r w:rsidRPr="00BE00C7">
              <w:rPr>
                <w:rFonts w:cs="Arial"/>
                <w:lang w:eastAsia="en-NZ"/>
              </w:rPr>
              <w:lastRenderedPageBreak/>
              <w:t xml:space="preserve">there were adequate staff to complete the work allocated to them. Residents interviewed supported this. At least one staff member on duty has a current first aid certificate, and there is 24/7 RN coverage in the hospital. Two qualified diversional therapists work five days a week, with one allocated to work in the secure dementia unit each day. They are supported by two casual activities coordinators who have been appointed to provided activity support at the weekends. </w:t>
            </w:r>
          </w:p>
          <w:p w14:paraId="08E2EB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staff who have worked in this care home for between two months and at least eight years. </w:t>
            </w:r>
          </w:p>
          <w:p w14:paraId="047C26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after-hours on-call system is in place, with the CSM providing clinical cover and the CHVM providing support for all other areas 24/7. Staff reported that good access to advice is available when needed.  </w:t>
            </w:r>
          </w:p>
          <w:p w14:paraId="29DBA9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CHVM described the recruitment process, which includes interviews, qualifications, experience, and referee and police checks.</w:t>
            </w:r>
          </w:p>
          <w:p w14:paraId="6B1129B7"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Related competencies are assessed and support equitable service delivery. The CHVM reported, and staff confirmed, that staff hold Level 2, 3 and 4 New Zealand Qualification Authority (NZQA) education qualifications to meet the requirements of the provider’s agreements with Te Whatu Ora. Staff reported attending training. Records reviewed demonstrated completion of the required training and competency assessments.</w:t>
            </w:r>
          </w:p>
          <w:p w14:paraId="0C7A352D" w14:textId="77777777" w:rsidR="00000000" w:rsidRPr="00BE00C7" w:rsidRDefault="00000000" w:rsidP="00BE00C7">
            <w:pPr>
              <w:pStyle w:val="OutcomeDescription"/>
              <w:spacing w:before="120" w:after="120"/>
              <w:rPr>
                <w:rFonts w:cs="Arial"/>
                <w:lang w:eastAsia="en-NZ"/>
              </w:rPr>
            </w:pPr>
            <w:r w:rsidRPr="00BE00C7">
              <w:rPr>
                <w:rFonts w:cs="Arial"/>
                <w:lang w:eastAsia="en-NZ"/>
              </w:rPr>
              <w:t>Meetings are held with the resident and their whānau to discuss and sign care plans. Residents’ meetings are held bi-monthly and are an opportunity for people to discuss and express opinions on aspects of the service. Minutes evidenced people are happy with the meals and participate in choosing activities.</w:t>
            </w:r>
          </w:p>
          <w:p w14:paraId="4756B9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collection and sharing of high-quality Māori health information across the service is through policy and procedure, resources, appropriate care planning using relevant models of care, resident and whānau engagement, and through staff education. </w:t>
            </w:r>
          </w:p>
          <w:p w14:paraId="6519CE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CSM reported that, where health equity expertise is not available, external agencies are contacted to support in the development of health equity expertise for health care and support workers. For </w:t>
            </w:r>
            <w:r w:rsidRPr="00BE00C7">
              <w:rPr>
                <w:rFonts w:cs="Arial"/>
                <w:lang w:eastAsia="en-NZ"/>
              </w:rPr>
              <w:lastRenderedPageBreak/>
              <w:t>example, Te Whatu Ora gerontology staff, and external community health providers.</w:t>
            </w:r>
          </w:p>
          <w:p w14:paraId="2A1AF5B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is available to staff who may require extra support.</w:t>
            </w:r>
          </w:p>
          <w:p w14:paraId="6750C3F8" w14:textId="77777777" w:rsidR="00000000" w:rsidRPr="00BE00C7" w:rsidRDefault="00000000" w:rsidP="00BE00C7">
            <w:pPr>
              <w:pStyle w:val="OutcomeDescription"/>
              <w:spacing w:before="120" w:after="120"/>
              <w:rPr>
                <w:rFonts w:cs="Arial"/>
                <w:lang w:eastAsia="en-NZ"/>
              </w:rPr>
            </w:pPr>
          </w:p>
        </w:tc>
      </w:tr>
      <w:tr w:rsidR="00241963" w14:paraId="4AC6712B" w14:textId="77777777">
        <w:tc>
          <w:tcPr>
            <w:tcW w:w="0" w:type="auto"/>
          </w:tcPr>
          <w:p w14:paraId="264FFB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5807C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D3EC0CC" w14:textId="77777777" w:rsidR="00000000" w:rsidRPr="00BE00C7" w:rsidRDefault="00000000" w:rsidP="00BE00C7">
            <w:pPr>
              <w:pStyle w:val="OutcomeDescription"/>
              <w:spacing w:before="120" w:after="120"/>
              <w:rPr>
                <w:rFonts w:cs="Arial"/>
                <w:lang w:eastAsia="en-NZ"/>
              </w:rPr>
            </w:pPr>
          </w:p>
        </w:tc>
        <w:tc>
          <w:tcPr>
            <w:tcW w:w="0" w:type="auto"/>
          </w:tcPr>
          <w:p w14:paraId="3B770C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37D07D"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ten staff records reviewed confirmed the organisation’s policies are being consistently implemented.</w:t>
            </w:r>
          </w:p>
          <w:p w14:paraId="354636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Position descriptions were documented and were sighted in the files reviewed. </w:t>
            </w:r>
          </w:p>
          <w:p w14:paraId="61B63B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were validated prior to employment and then checked and documented annually. Current annual practicing certificates were sighted for the eleven RNs, four pharmacists, the dietitian, two general practitioners, the nurse practitioner, the physiotherapist, two diversional therapists, and the podiatrist.  </w:t>
            </w:r>
          </w:p>
          <w:p w14:paraId="2711AA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orientation programme prepared them well and includes all necessary components relevant to the role, including for those staff working in the secure dementia care unit.  Staff described their orientation and that they are buddied with an experienced staff member for as long as necessary to ensure competency. Evidence of this was seen in files reviewed.  </w:t>
            </w:r>
          </w:p>
          <w:p w14:paraId="6BBFE5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of the thirteen staff working in the secure dementia unit have completed the required standard units. Three have three units and are studying towards the fourth unit. Four staff are enrolled to begin the training. </w:t>
            </w:r>
          </w:p>
          <w:p w14:paraId="3BDC030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confirmed that performance is reviewed and discussed during and after orientation, and annually thereafter.  Completed reviews were sighted.</w:t>
            </w:r>
          </w:p>
          <w:p w14:paraId="026D1F41"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accurate, relevant, secure, stored, and archived confidentially. Electronic data is username- and password-</w:t>
            </w:r>
            <w:r w:rsidRPr="00BE00C7">
              <w:rPr>
                <w:rFonts w:cs="Arial"/>
                <w:lang w:eastAsia="en-NZ"/>
              </w:rPr>
              <w:lastRenderedPageBreak/>
              <w:t>protected. Information is available only to those authorised to use it. Ethnicity data is recorded and used in accordance with Health Information Standards Organisation (HISO) requirements.</w:t>
            </w:r>
          </w:p>
          <w:p w14:paraId="2F54AFD2" w14:textId="77777777" w:rsidR="00000000" w:rsidRPr="00BE00C7" w:rsidRDefault="00000000" w:rsidP="00BE00C7">
            <w:pPr>
              <w:pStyle w:val="OutcomeDescription"/>
              <w:spacing w:before="120" w:after="120"/>
              <w:rPr>
                <w:rFonts w:cs="Arial"/>
                <w:lang w:eastAsia="en-NZ"/>
              </w:rPr>
            </w:pPr>
            <w:r w:rsidRPr="00BE00C7">
              <w:rPr>
                <w:rFonts w:cs="Arial"/>
                <w:lang w:eastAsia="en-NZ"/>
              </w:rPr>
              <w:t>Debrief for staff is outlined in policy; staff interviewed confirmed that the opportunity for debrief and support is available to them. Staff reported that incident reports are discussed at staff meetings. They have the opportunity to be involved in a debrief and discussion and receive support following incidents, to ensure wellbeing.</w:t>
            </w:r>
          </w:p>
          <w:p w14:paraId="5EE9CF66" w14:textId="77777777" w:rsidR="00000000" w:rsidRPr="00BE00C7" w:rsidRDefault="00000000" w:rsidP="00BE00C7">
            <w:pPr>
              <w:pStyle w:val="OutcomeDescription"/>
              <w:spacing w:before="120" w:after="120"/>
              <w:rPr>
                <w:rFonts w:cs="Arial"/>
                <w:lang w:eastAsia="en-NZ"/>
              </w:rPr>
            </w:pPr>
          </w:p>
        </w:tc>
      </w:tr>
      <w:tr w:rsidR="00241963" w14:paraId="03E5B5E9" w14:textId="77777777">
        <w:tc>
          <w:tcPr>
            <w:tcW w:w="0" w:type="auto"/>
          </w:tcPr>
          <w:p w14:paraId="39F054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3F19E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768DAE0" w14:textId="77777777" w:rsidR="00000000" w:rsidRPr="00BE00C7" w:rsidRDefault="00000000" w:rsidP="00BE00C7">
            <w:pPr>
              <w:pStyle w:val="OutcomeDescription"/>
              <w:spacing w:before="120" w:after="120"/>
              <w:rPr>
                <w:rFonts w:cs="Arial"/>
                <w:lang w:eastAsia="en-NZ"/>
              </w:rPr>
            </w:pPr>
          </w:p>
        </w:tc>
        <w:tc>
          <w:tcPr>
            <w:tcW w:w="0" w:type="auto"/>
          </w:tcPr>
          <w:p w14:paraId="0CA1CB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1AC8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quality records that comply with relevant legislation, health information standards, and professional guidelines. Most information is held electronically and is username and password protected. Any paper-based records are held securely and available only to authorised users. Information is accessible for all those who need it.</w:t>
            </w:r>
          </w:p>
          <w:p w14:paraId="3C7893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staff and residents’ files sampled for review. Clinical notes were current, integrated and legible, and met current documentation standards. </w:t>
            </w:r>
          </w:p>
          <w:p w14:paraId="78C72E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Files for residents and staff are held securely for the required period before being destroyed. </w:t>
            </w:r>
          </w:p>
          <w:p w14:paraId="0C40100F" w14:textId="77777777" w:rsidR="00000000" w:rsidRPr="00BE00C7" w:rsidRDefault="00000000" w:rsidP="00BE00C7">
            <w:pPr>
              <w:pStyle w:val="OutcomeDescription"/>
              <w:spacing w:before="120" w:after="120"/>
              <w:rPr>
                <w:rFonts w:cs="Arial"/>
                <w:lang w:eastAsia="en-NZ"/>
              </w:rPr>
            </w:pPr>
            <w:r w:rsidRPr="00BE00C7">
              <w:rPr>
                <w:rFonts w:cs="Arial"/>
                <w:lang w:eastAsia="en-NZ"/>
              </w:rPr>
              <w:t>Stillwater is not responsible for National Health Index registration of people receiving services.</w:t>
            </w:r>
          </w:p>
          <w:p w14:paraId="10B4D1EA" w14:textId="77777777" w:rsidR="00000000" w:rsidRPr="00BE00C7" w:rsidRDefault="00000000" w:rsidP="00BE00C7">
            <w:pPr>
              <w:pStyle w:val="OutcomeDescription"/>
              <w:spacing w:before="120" w:after="120"/>
              <w:rPr>
                <w:rFonts w:cs="Arial"/>
                <w:lang w:eastAsia="en-NZ"/>
              </w:rPr>
            </w:pPr>
          </w:p>
        </w:tc>
      </w:tr>
      <w:tr w:rsidR="00241963" w14:paraId="0BCD0DCE" w14:textId="77777777">
        <w:tc>
          <w:tcPr>
            <w:tcW w:w="0" w:type="auto"/>
          </w:tcPr>
          <w:p w14:paraId="1E804C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3AF3DA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w:t>
            </w:r>
            <w:r w:rsidRPr="00BE00C7">
              <w:rPr>
                <w:rFonts w:cs="Arial"/>
                <w:lang w:eastAsia="en-NZ"/>
              </w:rPr>
              <w:lastRenderedPageBreak/>
              <w:t>focus on their needs and goals and encourage input from whānau. Where we are unable to meet these needs, adequate information about the reasons for this decision is documented and communicated to the person and whānau.</w:t>
            </w:r>
          </w:p>
          <w:p w14:paraId="381D0EFC" w14:textId="77777777" w:rsidR="00000000" w:rsidRPr="00BE00C7" w:rsidRDefault="00000000" w:rsidP="00BE00C7">
            <w:pPr>
              <w:pStyle w:val="OutcomeDescription"/>
              <w:spacing w:before="120" w:after="120"/>
              <w:rPr>
                <w:rFonts w:cs="Arial"/>
                <w:lang w:eastAsia="en-NZ"/>
              </w:rPr>
            </w:pPr>
          </w:p>
        </w:tc>
        <w:tc>
          <w:tcPr>
            <w:tcW w:w="0" w:type="auto"/>
          </w:tcPr>
          <w:p w14:paraId="4DD4BB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31C0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the service based on documented entry criteria available to the community and understood by staff. Residents were welcomed into Stillwater when they had been assessed and confirmed by the local Needs Assessment and Service Coordination (NASC) agency as requiring the level of care Stillwater provides. All residents admitted to the secure dementia unit had a specialist’s authorisation for placement and were admitted with the consent of their activated EPOA.  </w:t>
            </w:r>
          </w:p>
          <w:p w14:paraId="10AA66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and whānau/EPOA interviewed were satisfied with the admission process and the information that had been made available to them on admission.  </w:t>
            </w:r>
          </w:p>
          <w:p w14:paraId="7429DB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is declined entry, this is documented, and there are processes for communicating the decision. Related data is documented and analysed, including decline rates for Māori. </w:t>
            </w:r>
          </w:p>
          <w:p w14:paraId="04C4F9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 Interviews with Māori confirmed their needs are met.</w:t>
            </w:r>
          </w:p>
          <w:p w14:paraId="13A3BE6D" w14:textId="77777777" w:rsidR="00000000" w:rsidRPr="00BE00C7" w:rsidRDefault="00000000" w:rsidP="00BE00C7">
            <w:pPr>
              <w:pStyle w:val="OutcomeDescription"/>
              <w:spacing w:before="120" w:after="120"/>
              <w:rPr>
                <w:rFonts w:cs="Arial"/>
                <w:lang w:eastAsia="en-NZ"/>
              </w:rPr>
            </w:pPr>
          </w:p>
        </w:tc>
      </w:tr>
      <w:tr w:rsidR="00241963" w14:paraId="33BAD1CE" w14:textId="77777777">
        <w:tc>
          <w:tcPr>
            <w:tcW w:w="0" w:type="auto"/>
          </w:tcPr>
          <w:p w14:paraId="54973F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97661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D8D0B86" w14:textId="77777777" w:rsidR="00000000" w:rsidRPr="00BE00C7" w:rsidRDefault="00000000" w:rsidP="00BE00C7">
            <w:pPr>
              <w:pStyle w:val="OutcomeDescription"/>
              <w:spacing w:before="120" w:after="120"/>
              <w:rPr>
                <w:rFonts w:cs="Arial"/>
                <w:lang w:eastAsia="en-NZ"/>
              </w:rPr>
            </w:pPr>
          </w:p>
        </w:tc>
        <w:tc>
          <w:tcPr>
            <w:tcW w:w="0" w:type="auto"/>
          </w:tcPr>
          <w:p w14:paraId="06FFF4F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4646C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at Stillwater works in partnership with the resident and whānau to support wellbeing.  Eleven resident files were reviewed: four residents receiving hospital-level care, three rest home-level care, and four from the secure dementia unit. </w:t>
            </w:r>
          </w:p>
          <w:p w14:paraId="3B972E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files reviewed verified that a RN developed a plan of care to suit the resident’s needs following a comprehensive assessment. This audit reviewed aspects of assessment and care at the request of Manatū Hauora; no deficits were found. The files sampled confirmed that assessments included a range of clinical areas, which were well documented including, but not limited to, nutrition and hydration, pain, mobility needs, skin integrity, and social/activity needs. The assessments considered the person’s lived experience, cultural needs, values, and beliefs, and included wider service integration, where required. Assessments included resident and whānau input (as applicable). </w:t>
            </w:r>
          </w:p>
          <w:p w14:paraId="31DECB46" w14:textId="77777777" w:rsidR="00000000" w:rsidRPr="00BE00C7" w:rsidRDefault="00000000" w:rsidP="00BE00C7">
            <w:pPr>
              <w:pStyle w:val="OutcomeDescription"/>
              <w:spacing w:before="120" w:after="120"/>
              <w:rPr>
                <w:rFonts w:cs="Arial"/>
                <w:lang w:eastAsia="en-NZ"/>
              </w:rPr>
            </w:pPr>
            <w:r w:rsidRPr="00BE00C7">
              <w:rPr>
                <w:rFonts w:cs="Arial"/>
                <w:lang w:eastAsia="en-NZ"/>
              </w:rPr>
              <w:t>Timeframes for the initial assessment, general practitioner (GP) input, initial care plan, interRAI assessments, short-term care plans, and review/evaluation met contractual requirements. However, not all long-term care plans were developed within the contractually required time frame following admission; refer criterion 3.2.1.</w:t>
            </w:r>
          </w:p>
          <w:p w14:paraId="4B2904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Short-term care plans were developed, when necessary, </w:t>
            </w:r>
            <w:r w:rsidRPr="00BE00C7">
              <w:rPr>
                <w:rFonts w:cs="Arial"/>
                <w:lang w:eastAsia="en-NZ"/>
              </w:rPr>
              <w:lastRenderedPageBreak/>
              <w:t xml:space="preserve">and examples were sighted for weight loss, infections, and wound care. These were reviewed weekly, or earlier if clinically indicated. </w:t>
            </w:r>
          </w:p>
          <w:p w14:paraId="7FAA64DE" w14:textId="77777777" w:rsidR="00000000" w:rsidRPr="00BE00C7" w:rsidRDefault="00000000" w:rsidP="00BE00C7">
            <w:pPr>
              <w:pStyle w:val="OutcomeDescription"/>
              <w:spacing w:before="120" w:after="120"/>
              <w:rPr>
                <w:rFonts w:cs="Arial"/>
                <w:lang w:eastAsia="en-NZ"/>
              </w:rPr>
            </w:pPr>
            <w:r w:rsidRPr="00BE00C7">
              <w:rPr>
                <w:rFonts w:cs="Arial"/>
                <w:lang w:eastAsia="en-NZ"/>
              </w:rPr>
              <w:t>Needs and risk assessments were an ongoing process and changes were documented. Where progress was different from that expected, changes were made to the care plan in collaboration with the resident and/or whānau. Residents and whānau interviewed confirmed active involvement in the process, including three EPOAs for residents in the secure dementia unit.</w:t>
            </w:r>
          </w:p>
          <w:p w14:paraId="46EC9986"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a resident’s needs change and their assessed level of care is no longer meeting their needs, referral is made to the NASC for reassessment of needs in collaboration with the resident and their whānau. If Stillwater is not able to provide the level of care needed, the resident and whānau are assisted to find an appropriate facility. Examples of this occurring were sighted, and the GP confirmed that nurses identify when a resident’s needs change and that they are called appropriately for input.</w:t>
            </w:r>
          </w:p>
          <w:p w14:paraId="7DCA93B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need for residents and whānau, including Māori, to have input into their care and identify their own goals or outcomes. Nursing and medical review occurs with resident and whānau input when possible. Residents and whānau are given choices and staff ensure they have access to information.  The EPOA or welfare guardian is involved at every step of the assessment, care planning and review process for residents in the secure dementia unit. Those interviewed confirmed active involvement in the assessment, care planning and review process, including younger residents with a disability.</w:t>
            </w:r>
          </w:p>
          <w:p w14:paraId="5F913B0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processes were in place to ensure tāngata whaikaha and whānau participate in service development. Examples of choices and control over service delivery were discussed with staff, residents and whānau.  Tāngata whaikaha and whānau can independently access information.</w:t>
            </w:r>
          </w:p>
          <w:p w14:paraId="619359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GP was interviewed and stated that the care was good. Residents and whānau interviewed were very positive about the care received at Stillwater and appreciated the level of communication from staff.    </w:t>
            </w:r>
          </w:p>
          <w:p w14:paraId="0DF2B949" w14:textId="77777777" w:rsidR="00000000" w:rsidRPr="00BE00C7" w:rsidRDefault="00000000" w:rsidP="00201999">
            <w:pPr>
              <w:pStyle w:val="OutcomeDescription"/>
              <w:spacing w:before="120" w:after="120"/>
              <w:rPr>
                <w:rFonts w:cs="Arial"/>
                <w:lang w:eastAsia="en-NZ"/>
              </w:rPr>
            </w:pPr>
          </w:p>
        </w:tc>
      </w:tr>
      <w:tr w:rsidR="00241963" w14:paraId="408518A4" w14:textId="77777777">
        <w:tc>
          <w:tcPr>
            <w:tcW w:w="0" w:type="auto"/>
          </w:tcPr>
          <w:p w14:paraId="210F8C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C967A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3E99D1D" w14:textId="77777777" w:rsidR="00000000" w:rsidRPr="00BE00C7" w:rsidRDefault="00000000" w:rsidP="00BE00C7">
            <w:pPr>
              <w:pStyle w:val="OutcomeDescription"/>
              <w:spacing w:before="120" w:after="120"/>
              <w:rPr>
                <w:rFonts w:cs="Arial"/>
                <w:lang w:eastAsia="en-NZ"/>
              </w:rPr>
            </w:pPr>
          </w:p>
        </w:tc>
        <w:tc>
          <w:tcPr>
            <w:tcW w:w="0" w:type="auto"/>
          </w:tcPr>
          <w:p w14:paraId="143D4C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AB06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provided by two diversional therapists (DT) and two casual activities coordinators, and operates seven days a week in the secure dementia unit. The programme is further supported by caregivers when the activities team are not present. </w:t>
            </w:r>
          </w:p>
          <w:p w14:paraId="52145A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programme supports residents to maintain and develop their interests and was suitable for their age and stage of life. Personal profiles identify individual interests and consider the person’s identity.  A diversional therapy plan is developed for all residents, including younger persons with a physical disability, and in files reviewed for the secure dementia unit residents, this identified activities over a 24-hour period.</w:t>
            </w:r>
          </w:p>
          <w:p w14:paraId="71D9D2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Individual and group activities were planned and reflected residents’ goals and interest, and ordinary patterns of life, and included normal community activities. A variety of activities were observed during the audit including music, newspaper reading, quizzes, and gardening.  Quiet areas are available should the resident or whānau want time to themselves. The garden allows space for walking, and puzzles and books are available for individual activities. In the secure dementia unit, there are activities prepared by the DT for use by the caregivers after hours. </w:t>
            </w:r>
          </w:p>
          <w:p w14:paraId="4C7538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Opportunities for Māori and whānau to participate in te ao Māori are facilitated. Community initiatives meet the needs of Māori.  This was confirmed in interview with Māori whānau. </w:t>
            </w:r>
          </w:p>
          <w:p w14:paraId="47FA039F"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is provided through resident meetings and surveys.  Those interviewed confirmed they find the programme meets their needs.</w:t>
            </w:r>
          </w:p>
          <w:p w14:paraId="5D69D7B5" w14:textId="77777777" w:rsidR="00000000" w:rsidRPr="00BE00C7" w:rsidRDefault="00000000" w:rsidP="00BE00C7">
            <w:pPr>
              <w:pStyle w:val="OutcomeDescription"/>
              <w:spacing w:before="120" w:after="120"/>
              <w:rPr>
                <w:rFonts w:cs="Arial"/>
                <w:lang w:eastAsia="en-NZ"/>
              </w:rPr>
            </w:pPr>
          </w:p>
        </w:tc>
      </w:tr>
      <w:tr w:rsidR="00241963" w14:paraId="6214382E" w14:textId="77777777">
        <w:tc>
          <w:tcPr>
            <w:tcW w:w="0" w:type="auto"/>
          </w:tcPr>
          <w:p w14:paraId="4D0F15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6C846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5C3E4D84" w14:textId="77777777" w:rsidR="00000000" w:rsidRPr="00BE00C7" w:rsidRDefault="00000000" w:rsidP="00BE00C7">
            <w:pPr>
              <w:pStyle w:val="OutcomeDescription"/>
              <w:spacing w:before="120" w:after="120"/>
              <w:rPr>
                <w:rFonts w:cs="Arial"/>
                <w:lang w:eastAsia="en-NZ"/>
              </w:rPr>
            </w:pPr>
          </w:p>
        </w:tc>
        <w:tc>
          <w:tcPr>
            <w:tcW w:w="0" w:type="auto"/>
          </w:tcPr>
          <w:p w14:paraId="5D30B4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91C2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w:t>
            </w:r>
          </w:p>
          <w:p w14:paraId="62E613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All medications sighted were within current use-by dates.  The required </w:t>
            </w:r>
            <w:r w:rsidRPr="00BE00C7">
              <w:rPr>
                <w:rFonts w:cs="Arial"/>
                <w:lang w:eastAsia="en-NZ"/>
              </w:rPr>
              <w:lastRenderedPageBreak/>
              <w:t xml:space="preserve">stock checks had been completed.  Medicines stored were within the recommended temperature range. </w:t>
            </w:r>
          </w:p>
          <w:p w14:paraId="2F843FB9"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and medication reconciliation occurs.  Over-the-counter medication and supplements are considered by the prescriber as part of the person’s medication.</w:t>
            </w:r>
          </w:p>
          <w:p w14:paraId="7F8D71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Medicine-related allergies or sensitivities were recorded, and any adverse events responded to appropriately. The required three-monthly GP review was consistently recorded on the medicine chart.  </w:t>
            </w:r>
          </w:p>
          <w:p w14:paraId="7038C4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were not used. </w:t>
            </w:r>
          </w:p>
          <w:p w14:paraId="4CD9CB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 residents were self-administrating medication at the time of audit. The RN interviewed described how this would be managed safely when required, and residents in the secure dementia unit did not self-administer medications. </w:t>
            </w:r>
          </w:p>
          <w:p w14:paraId="5A613C8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including Māori residents and their whānau, are supported to understand their medications.</w:t>
            </w:r>
          </w:p>
          <w:p w14:paraId="5F5BDC03" w14:textId="77777777" w:rsidR="00000000" w:rsidRPr="00BE00C7" w:rsidRDefault="00000000" w:rsidP="00BE00C7">
            <w:pPr>
              <w:pStyle w:val="OutcomeDescription"/>
              <w:spacing w:before="120" w:after="120"/>
              <w:rPr>
                <w:rFonts w:cs="Arial"/>
                <w:lang w:eastAsia="en-NZ"/>
              </w:rPr>
            </w:pPr>
          </w:p>
        </w:tc>
      </w:tr>
      <w:tr w:rsidR="00241963" w14:paraId="358C56A1" w14:textId="77777777">
        <w:tc>
          <w:tcPr>
            <w:tcW w:w="0" w:type="auto"/>
          </w:tcPr>
          <w:p w14:paraId="3CBC156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68ED2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03B263A" w14:textId="77777777" w:rsidR="00000000" w:rsidRPr="00BE00C7" w:rsidRDefault="00000000" w:rsidP="00BE00C7">
            <w:pPr>
              <w:pStyle w:val="OutcomeDescription"/>
              <w:spacing w:before="120" w:after="120"/>
              <w:rPr>
                <w:rFonts w:cs="Arial"/>
                <w:lang w:eastAsia="en-NZ"/>
              </w:rPr>
            </w:pPr>
          </w:p>
        </w:tc>
        <w:tc>
          <w:tcPr>
            <w:tcW w:w="0" w:type="auto"/>
          </w:tcPr>
          <w:p w14:paraId="783621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A8D4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has been reviewed by a qualified dietitian within the last two years (23 April 2025).  Recommendations made at that time have been implemented. </w:t>
            </w:r>
          </w:p>
          <w:p w14:paraId="1AE484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aspects of food management comply with current legislation and guidelines. The service operates with an approved food safety plan and registration, which expires on 31 July 2026. </w:t>
            </w:r>
          </w:p>
          <w:p w14:paraId="4BB570D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wish to be involved in the preparation of food have this facilitated through the activities programme.</w:t>
            </w:r>
          </w:p>
          <w:p w14:paraId="0AB7D3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and a dietary profile is provided to the kitchen.  Personal food preferences, any special diets, intolerances, allergies and modified texture requirements are accommodated in the daily meal plan.  Māori and their whānau have menu options that are culturally specific to te ao Māori.  </w:t>
            </w:r>
          </w:p>
          <w:p w14:paraId="492B9B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residents at Stillwater, including those in the secure dementia unit, have access to snacks such as sandwiches, fruit and biscuits 24 hours a day.</w:t>
            </w:r>
          </w:p>
          <w:p w14:paraId="28E89B3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given sufficient time to eat their meals in an unhurried fashion, and those requiring assistance had this provided with dignity. Evidence of resident satisfaction with meals was verified by resident and whānau interviews, satisfaction surveys, and resident meeting minutes.</w:t>
            </w:r>
          </w:p>
          <w:p w14:paraId="7E98589C" w14:textId="77777777" w:rsidR="00000000" w:rsidRPr="00BE00C7" w:rsidRDefault="00000000" w:rsidP="00BE00C7">
            <w:pPr>
              <w:pStyle w:val="OutcomeDescription"/>
              <w:spacing w:before="120" w:after="120"/>
              <w:rPr>
                <w:rFonts w:cs="Arial"/>
                <w:lang w:eastAsia="en-NZ"/>
              </w:rPr>
            </w:pPr>
          </w:p>
        </w:tc>
      </w:tr>
      <w:tr w:rsidR="00241963" w14:paraId="7C58685C" w14:textId="77777777">
        <w:tc>
          <w:tcPr>
            <w:tcW w:w="0" w:type="auto"/>
          </w:tcPr>
          <w:p w14:paraId="63E41F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1862B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34EFBC8" w14:textId="77777777" w:rsidR="00000000" w:rsidRPr="00BE00C7" w:rsidRDefault="00000000" w:rsidP="00BE00C7">
            <w:pPr>
              <w:pStyle w:val="OutcomeDescription"/>
              <w:spacing w:before="120" w:after="120"/>
              <w:rPr>
                <w:rFonts w:cs="Arial"/>
                <w:lang w:eastAsia="en-NZ"/>
              </w:rPr>
            </w:pPr>
          </w:p>
        </w:tc>
        <w:tc>
          <w:tcPr>
            <w:tcW w:w="0" w:type="auto"/>
          </w:tcPr>
          <w:p w14:paraId="181E10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73BC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Stillwater is planned and managed safely, with coordination between services and in collaboration with the resident and whānau/EPOA. Risks and current support needs are identified and managed. Options to access other health and disability services and social/cultural supports are discussed, where appropriate. </w:t>
            </w:r>
          </w:p>
          <w:p w14:paraId="77157464"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actions taken to transfer residents to acute services was sighted. Whānau/EPOA reported being kept well informed during the transfer of their relative.</w:t>
            </w:r>
          </w:p>
          <w:p w14:paraId="0D1F143F" w14:textId="77777777" w:rsidR="00000000" w:rsidRPr="00BE00C7" w:rsidRDefault="00000000" w:rsidP="00BE00C7">
            <w:pPr>
              <w:pStyle w:val="OutcomeDescription"/>
              <w:spacing w:before="120" w:after="120"/>
              <w:rPr>
                <w:rFonts w:cs="Arial"/>
                <w:lang w:eastAsia="en-NZ"/>
              </w:rPr>
            </w:pPr>
          </w:p>
        </w:tc>
      </w:tr>
      <w:tr w:rsidR="00241963" w14:paraId="0AD16C93" w14:textId="77777777">
        <w:tc>
          <w:tcPr>
            <w:tcW w:w="0" w:type="auto"/>
          </w:tcPr>
          <w:p w14:paraId="66A8897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AAE27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61CAD29" w14:textId="77777777" w:rsidR="00000000" w:rsidRPr="00BE00C7" w:rsidRDefault="00000000" w:rsidP="00BE00C7">
            <w:pPr>
              <w:pStyle w:val="OutcomeDescription"/>
              <w:spacing w:before="120" w:after="120"/>
              <w:rPr>
                <w:rFonts w:cs="Arial"/>
                <w:lang w:eastAsia="en-NZ"/>
              </w:rPr>
            </w:pPr>
          </w:p>
        </w:tc>
        <w:tc>
          <w:tcPr>
            <w:tcW w:w="0" w:type="auto"/>
          </w:tcPr>
          <w:p w14:paraId="052BC1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A77F81" w14:textId="77777777" w:rsidR="00000000" w:rsidRPr="00BE00C7" w:rsidRDefault="00000000" w:rsidP="00BE00C7">
            <w:pPr>
              <w:pStyle w:val="OutcomeDescription"/>
              <w:spacing w:before="120" w:after="120"/>
              <w:rPr>
                <w:rFonts w:cs="Arial"/>
                <w:lang w:eastAsia="en-NZ"/>
              </w:rPr>
            </w:pPr>
            <w:r w:rsidRPr="00BE00C7">
              <w:rPr>
                <w:rFonts w:cs="Arial"/>
                <w:lang w:eastAsia="en-NZ"/>
              </w:rPr>
              <w:t>A current building warrant of fitness is publicly displayed.  It expires on 26 July 2026.</w:t>
            </w:r>
          </w:p>
          <w:p w14:paraId="06D378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were in place to ensure the residents’ physical environment and facilities, internal and external, were fit for their purpose, well maintained, and that they meet legislative requirements. The maintenance personnel described the maintenance schedule, which was sighted. </w:t>
            </w:r>
          </w:p>
          <w:p w14:paraId="79B1F5E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confirmed they knew the processes they should follow if any repair or maintenance was required, and any requests were appropriately actioned.</w:t>
            </w:r>
          </w:p>
          <w:p w14:paraId="3B343F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Equipment tagging and testing was current, as confirmed in interviews with the maintenance personnel, CHVM, documentation and observation. Current calibration of biomedical records was sighted. </w:t>
            </w:r>
          </w:p>
          <w:p w14:paraId="5E6545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w:t>
            </w:r>
          </w:p>
          <w:p w14:paraId="6E3A3B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Personalised equipment was available for residents with disabilities to meet their needs. There is room to store mobility aids and wheelchairs. </w:t>
            </w:r>
          </w:p>
          <w:p w14:paraId="4B0A43E5"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Communal areas are available for residents to engage in activities.</w:t>
            </w:r>
          </w:p>
          <w:p w14:paraId="63DB75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includes places where young people with disabilities can find privacy within communal spaces. There is consideration of compatibility with residents.</w:t>
            </w:r>
          </w:p>
          <w:p w14:paraId="752F94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secure dementia unit had spacious rooms, all with an ensuite, and a ranch slider door allowing access to the secure outside area. External areas, including an internal courtyard, are secure and safely maintained, and were appropriate for people with dementia. There was a lounge/dining room, and two separate small lounges available for residents. The carpet has been replaced since the last audit, and the area is now decorated with pictures and wall decorations. Sensory objects are available for the residents. There is adequate space to provide group activities in these lounge areas. The environment design provides safe areas that encourage purposeful walking.</w:t>
            </w:r>
          </w:p>
          <w:p w14:paraId="3D633B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hospital, rest home and care suites provided an environment that was comfortable and accessible, promoting independence and safe mobility and minimising risk of harm.   </w:t>
            </w:r>
          </w:p>
          <w:p w14:paraId="22F7C3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a number of areas where residents can relax, sit in small and larger groups for private conversations or undertake activities. This was observed in both the rest home and hospital areas.  </w:t>
            </w:r>
          </w:p>
          <w:p w14:paraId="160E8A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dining areas and the lounge areas are spacious and enable easy access for residents and staff. Furniture is appropriate to the setting and residents’ needs. </w:t>
            </w:r>
          </w:p>
          <w:p w14:paraId="46DF32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Bedrooms throughout the facility have full ensuites. The number of toilet and bathroom facilities for visitors and staff are adequate. The fixtures, fittings, floors, and wall surfaces are constructed from materials that can be easily cleaned. Appropriately secured and </w:t>
            </w:r>
            <w:r w:rsidRPr="00BE00C7">
              <w:rPr>
                <w:rFonts w:cs="Arial"/>
                <w:lang w:eastAsia="en-NZ"/>
              </w:rPr>
              <w:lastRenderedPageBreak/>
              <w:t>approved handrails are provided, along with other equipment/accessories that are required to promote residents’ independence.</w:t>
            </w:r>
          </w:p>
          <w:p w14:paraId="7B95F0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personal space is provided to allow residents and staff to move around within the bedrooms safely.  Rooms are personalised with furnishings, photographs and other personal items displayed. Residents, whānau and staff reported the adequacy of bedrooms. All rooms have a window allowing for natural light, with safety catches for security.  </w:t>
            </w:r>
          </w:p>
          <w:p w14:paraId="424A5281" w14:textId="77777777" w:rsidR="00000000" w:rsidRPr="00BE00C7" w:rsidRDefault="00000000" w:rsidP="00BE00C7">
            <w:pPr>
              <w:pStyle w:val="OutcomeDescription"/>
              <w:spacing w:before="120" w:after="120"/>
              <w:rPr>
                <w:rFonts w:cs="Arial"/>
                <w:lang w:eastAsia="en-NZ"/>
              </w:rPr>
            </w:pPr>
            <w:r w:rsidRPr="00BE00C7">
              <w:rPr>
                <w:rFonts w:cs="Arial"/>
                <w:lang w:eastAsia="en-NZ"/>
              </w:rPr>
              <w:t>Underfloor heating is provided in the facility, which can be adjusted depending on seasonality and outside temperature.</w:t>
            </w:r>
          </w:p>
          <w:p w14:paraId="384BF4C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Spaces are culturally inclusive and suited the needs of the resident groups.</w:t>
            </w:r>
          </w:p>
          <w:p w14:paraId="54FB69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CHVM reported that a cultural advisor who identified as Māori would be consulted and involved in the design of any new buildings.  Heritage directors are aware of the need to consult with Māori.</w:t>
            </w:r>
          </w:p>
          <w:p w14:paraId="4C1633E3" w14:textId="77777777" w:rsidR="00000000" w:rsidRPr="00BE00C7" w:rsidRDefault="00000000" w:rsidP="00BE00C7">
            <w:pPr>
              <w:pStyle w:val="OutcomeDescription"/>
              <w:spacing w:before="120" w:after="120"/>
              <w:rPr>
                <w:rFonts w:cs="Arial"/>
                <w:lang w:eastAsia="en-NZ"/>
              </w:rPr>
            </w:pPr>
          </w:p>
        </w:tc>
      </w:tr>
      <w:tr w:rsidR="00241963" w14:paraId="79FEB081" w14:textId="77777777">
        <w:tc>
          <w:tcPr>
            <w:tcW w:w="0" w:type="auto"/>
          </w:tcPr>
          <w:p w14:paraId="1F3F06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FE7CC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A9D89CC" w14:textId="77777777" w:rsidR="00000000" w:rsidRPr="00BE00C7" w:rsidRDefault="00000000" w:rsidP="00BE00C7">
            <w:pPr>
              <w:pStyle w:val="OutcomeDescription"/>
              <w:spacing w:before="120" w:after="120"/>
              <w:rPr>
                <w:rFonts w:cs="Arial"/>
                <w:lang w:eastAsia="en-NZ"/>
              </w:rPr>
            </w:pPr>
          </w:p>
        </w:tc>
        <w:tc>
          <w:tcPr>
            <w:tcW w:w="0" w:type="auto"/>
          </w:tcPr>
          <w:p w14:paraId="58BC00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5F60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fire evacuation plan was approved by the New Zealand Fire Service on 28 August 2009.</w:t>
            </w:r>
          </w:p>
          <w:p w14:paraId="48F81B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trial evacuation and training take place six-monthly, with a record sent to Fire and Emergency New Zealand (FENZ), the most recent being on 18 September 2025. The record was sighted.  </w:t>
            </w:r>
          </w:p>
          <w:p w14:paraId="71511458"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A wall-mounted flip chart provides guidance for staff on responding to civil emergency and disaster events. The emergency plan considers the special needs of people with dementia in an emergency. Emergency evacuation plans were displayed and known to staff. Staff reported attending fire safety training, and records confirmed this.</w:t>
            </w:r>
          </w:p>
          <w:p w14:paraId="4E865CDE" w14:textId="77777777" w:rsidR="00000000" w:rsidRPr="00BE00C7" w:rsidRDefault="00000000" w:rsidP="00BE00C7">
            <w:pPr>
              <w:pStyle w:val="OutcomeDescription"/>
              <w:spacing w:before="120" w:after="120"/>
              <w:rPr>
                <w:rFonts w:cs="Arial"/>
                <w:lang w:eastAsia="en-NZ"/>
              </w:rPr>
            </w:pPr>
            <w:r w:rsidRPr="00BE00C7">
              <w:rPr>
                <w:rFonts w:cs="Arial"/>
                <w:lang w:eastAsia="en-NZ"/>
              </w:rPr>
              <w:t>Fire extinguishers, call boxes, floor plans, sprinkler alarms, exit signs, and fire action notices were sighted.  Residents were informed of the emergency and security arrangements at entry.</w:t>
            </w:r>
          </w:p>
          <w:p w14:paraId="13A595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Adequate supplies for use in the event of a civil defence emergency, including dry food, medical supplies, and PPE, were sighted. Supplies were last checked on 22 September 2025. Sufficient stored water was sighted to meet the National Emergency Management Agency recommendations for the region. The maintenance personnel and CHVM reported that alternative lighting and cooking facilities were available. The CHVM reported that a generator would be hired if necessary, during an emergency.</w:t>
            </w:r>
          </w:p>
          <w:p w14:paraId="52739B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first aid certified staff member on duty 24/7 and the DT holds a current first aid certificate. A sample of certificates were sighted. All staff were noted to be wearing uniforms and name badges during the audit.</w:t>
            </w:r>
          </w:p>
          <w:p w14:paraId="381E71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reported staff responded promptly to call bells. </w:t>
            </w:r>
          </w:p>
          <w:p w14:paraId="02F136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Appropriate security arrangements were in place, including in the secure dementia unit. Doors and windows were locked at a predetermined time, and a security company checked the premises at night.</w:t>
            </w:r>
          </w:p>
          <w:p w14:paraId="7AD289D5" w14:textId="77777777" w:rsidR="00000000" w:rsidRPr="00BE00C7" w:rsidRDefault="00000000" w:rsidP="00BE00C7">
            <w:pPr>
              <w:pStyle w:val="OutcomeDescription"/>
              <w:spacing w:before="120" w:after="120"/>
              <w:rPr>
                <w:rFonts w:cs="Arial"/>
                <w:lang w:eastAsia="en-NZ"/>
              </w:rPr>
            </w:pPr>
          </w:p>
        </w:tc>
      </w:tr>
      <w:tr w:rsidR="00241963" w14:paraId="18CAB62C" w14:textId="77777777">
        <w:tc>
          <w:tcPr>
            <w:tcW w:w="0" w:type="auto"/>
          </w:tcPr>
          <w:p w14:paraId="3AC64D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48521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2580C80" w14:textId="77777777" w:rsidR="00000000" w:rsidRPr="00BE00C7" w:rsidRDefault="00000000" w:rsidP="00BE00C7">
            <w:pPr>
              <w:pStyle w:val="OutcomeDescription"/>
              <w:spacing w:before="120" w:after="120"/>
              <w:rPr>
                <w:rFonts w:cs="Arial"/>
                <w:lang w:eastAsia="en-NZ"/>
              </w:rPr>
            </w:pPr>
          </w:p>
        </w:tc>
        <w:tc>
          <w:tcPr>
            <w:tcW w:w="0" w:type="auto"/>
          </w:tcPr>
          <w:p w14:paraId="66E47C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8205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were appropriate to the size and complexity of the service, had been approved by the governing body, were linked to the quality improvement system, and were being reviewed and reported on yearly. </w:t>
            </w:r>
          </w:p>
          <w:p w14:paraId="2528ED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has IP and AMS outlined in its policy documents. This is being supported at governance level through clinically competent specialist personnel who make sure that IP and AMS are being appropriately handled at facility level and to support facilities as required. </w:t>
            </w:r>
          </w:p>
          <w:p w14:paraId="2E206A30"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specialists can access IP and AMS expertise through Te Whatu Ora, GPs, and the RCQM.</w:t>
            </w:r>
          </w:p>
          <w:p w14:paraId="2C9670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AMS information is discussed at facility level and at clinical governance meetings, and is reported to the board at </w:t>
            </w:r>
            <w:r w:rsidRPr="00BE00C7">
              <w:rPr>
                <w:rFonts w:cs="Arial"/>
                <w:lang w:eastAsia="en-NZ"/>
              </w:rPr>
              <w:lastRenderedPageBreak/>
              <w:t>board meetings. Infection prevention and control information presented to the board includes ethnicity data.</w:t>
            </w:r>
          </w:p>
          <w:p w14:paraId="22725F9C" w14:textId="77777777" w:rsidR="00000000" w:rsidRPr="00BE00C7" w:rsidRDefault="00000000" w:rsidP="00BE00C7">
            <w:pPr>
              <w:pStyle w:val="OutcomeDescription"/>
              <w:spacing w:before="120" w:after="120"/>
              <w:rPr>
                <w:rFonts w:cs="Arial"/>
                <w:lang w:eastAsia="en-NZ"/>
              </w:rPr>
            </w:pPr>
          </w:p>
        </w:tc>
      </w:tr>
      <w:tr w:rsidR="00241963" w14:paraId="7ECE9699" w14:textId="77777777">
        <w:tc>
          <w:tcPr>
            <w:tcW w:w="0" w:type="auto"/>
          </w:tcPr>
          <w:p w14:paraId="33BB68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7B586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9F3934A" w14:textId="77777777" w:rsidR="00000000" w:rsidRPr="00BE00C7" w:rsidRDefault="00000000" w:rsidP="00BE00C7">
            <w:pPr>
              <w:pStyle w:val="OutcomeDescription"/>
              <w:spacing w:before="120" w:after="120"/>
              <w:rPr>
                <w:rFonts w:cs="Arial"/>
                <w:lang w:eastAsia="en-NZ"/>
              </w:rPr>
            </w:pPr>
          </w:p>
        </w:tc>
        <w:tc>
          <w:tcPr>
            <w:tcW w:w="0" w:type="auto"/>
          </w:tcPr>
          <w:p w14:paraId="206649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1DFE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There is an IP and AMS programme in place that has been developed by those with IP expertise, is linked to the quality improvement programme, and has been approved by the Heritage Lifecare governing body. Annual review of the programme, with reporting to governance, has occurred.</w:t>
            </w:r>
          </w:p>
          <w:p w14:paraId="0CB76A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who is a RN, is responsible for overseeing and implementing the IP programme, with reporting lines to senior management and to Heritage Lifecare’s RCQM, who is the national IP lead. The IPCC resource nurse has the appropriate skills, knowledge and qualifications for the role, and confirmed access to the necessary resources and support. Their advice, and/or the advice of Heritage Lifecare’s national IP lead, has been sought when making decisions around procurement relevant to care delivery, procurement and policies. There have been no facility changes or design of any new building, and policy confirmed IP advice would be sought should this occur.</w:t>
            </w:r>
          </w:p>
          <w:p w14:paraId="738CF3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Staff were familiar with policies through orientation and ongoing education, and were observed to follow these correctly.  Cultural advice is accessed where appropriate, and the service works in partnership with Māori to ensure IP practice is culturally safe.  </w:t>
            </w:r>
          </w:p>
          <w:p w14:paraId="016D83A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whānau/EPOA are educated about infection prevention in a manner that meets their needs. Educational resources are available in te reo Māori.</w:t>
            </w:r>
          </w:p>
          <w:p w14:paraId="615F5F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pandemic/infectious diseases response plan is documented and has been regularly tested. There are sufficient resources and personal protective equipment (PPE) available, and staff have been trained accordingly. Following repeated infection outbreaks in 2024, the facility asked the Te Whatu Ora IP team from Nelson Hospital to review </w:t>
            </w:r>
            <w:r w:rsidRPr="00BE00C7">
              <w:rPr>
                <w:rFonts w:cs="Arial"/>
                <w:lang w:eastAsia="en-NZ"/>
              </w:rPr>
              <w:lastRenderedPageBreak/>
              <w:t>practices at the facility. This resulted in a comprehensive report detailing recommendations, which have now been put into practice. As a result, there have been no further outbreaks in 2025. The facility is commended for the improvements made. Formal evaluation of the improvements made has not yet occurred.</w:t>
            </w:r>
          </w:p>
          <w:p w14:paraId="22D12BD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are not reused.</w:t>
            </w:r>
          </w:p>
          <w:p w14:paraId="4D8B948C" w14:textId="77777777" w:rsidR="00000000" w:rsidRPr="00BE00C7" w:rsidRDefault="00000000" w:rsidP="00BE00C7">
            <w:pPr>
              <w:pStyle w:val="OutcomeDescription"/>
              <w:spacing w:before="120" w:after="120"/>
              <w:rPr>
                <w:rFonts w:cs="Arial"/>
                <w:lang w:eastAsia="en-NZ"/>
              </w:rPr>
            </w:pPr>
          </w:p>
        </w:tc>
      </w:tr>
      <w:tr w:rsidR="00241963" w14:paraId="61978D0E" w14:textId="77777777">
        <w:tc>
          <w:tcPr>
            <w:tcW w:w="0" w:type="auto"/>
          </w:tcPr>
          <w:p w14:paraId="567460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49A003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AB8092A" w14:textId="77777777" w:rsidR="00000000" w:rsidRPr="00BE00C7" w:rsidRDefault="00000000" w:rsidP="00BE00C7">
            <w:pPr>
              <w:pStyle w:val="OutcomeDescription"/>
              <w:spacing w:before="120" w:after="120"/>
              <w:rPr>
                <w:rFonts w:cs="Arial"/>
                <w:lang w:eastAsia="en-NZ"/>
              </w:rPr>
            </w:pPr>
          </w:p>
        </w:tc>
        <w:tc>
          <w:tcPr>
            <w:tcW w:w="0" w:type="auto"/>
          </w:tcPr>
          <w:p w14:paraId="214443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D615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meets the requirements of the standard and is appropriate for the size and complexity of the service, supported by policies and procedures, and has been approved by the Heritage Lifecare governing body.  The effectiveness of the AMS programme is evaluated by monitoring antimicrobial use and identifying areas for improvement.  </w:t>
            </w:r>
          </w:p>
          <w:p w14:paraId="7A0D0C23" w14:textId="77777777" w:rsidR="00000000" w:rsidRPr="00BE00C7" w:rsidRDefault="00000000" w:rsidP="00BE00C7">
            <w:pPr>
              <w:pStyle w:val="OutcomeDescription"/>
              <w:spacing w:before="120" w:after="120"/>
              <w:rPr>
                <w:rFonts w:cs="Arial"/>
                <w:lang w:eastAsia="en-NZ"/>
              </w:rPr>
            </w:pPr>
          </w:p>
        </w:tc>
      </w:tr>
      <w:tr w:rsidR="00241963" w14:paraId="38032D0A" w14:textId="77777777">
        <w:tc>
          <w:tcPr>
            <w:tcW w:w="0" w:type="auto"/>
          </w:tcPr>
          <w:p w14:paraId="0E0B33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EB4E8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D42B875" w14:textId="77777777" w:rsidR="00000000" w:rsidRPr="00BE00C7" w:rsidRDefault="00000000" w:rsidP="00BE00C7">
            <w:pPr>
              <w:pStyle w:val="OutcomeDescription"/>
              <w:spacing w:before="120" w:after="120"/>
              <w:rPr>
                <w:rFonts w:cs="Arial"/>
                <w:lang w:eastAsia="en-NZ"/>
              </w:rPr>
            </w:pPr>
          </w:p>
        </w:tc>
        <w:tc>
          <w:tcPr>
            <w:tcW w:w="0" w:type="auto"/>
          </w:tcPr>
          <w:p w14:paraId="63AB52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9049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long-term care facilities and is in line with priorities defined in the infection control programme. Standardised definitions are used, and monthly surveillance data, including ethnicity data, is collated and analysed to identify any trends, possible causative factors, and required actions; this has led to an improvement in the prevention and management of urinary tract infections.  Benchmarking with other facilities in the Heritage Lifecare group occurs. </w:t>
            </w:r>
          </w:p>
          <w:p w14:paraId="4064C2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Results of the surveillance programme are shared with staff at the staff meetings and reported to governance via the national clinical quality manager. </w:t>
            </w:r>
          </w:p>
          <w:p w14:paraId="7483F1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from several 2024 infection outbreaks was reviewed and demonstrated a thorough process for monitoring and follow-up.  </w:t>
            </w:r>
            <w:r w:rsidRPr="00BE00C7">
              <w:rPr>
                <w:rFonts w:cs="Arial"/>
                <w:lang w:eastAsia="en-NZ"/>
              </w:rPr>
              <w:lastRenderedPageBreak/>
              <w:t>Learnings from the events and recommendations from a review of the facility by Te Whatu Ora IP specialists have been incorporated into practice.</w:t>
            </w:r>
          </w:p>
          <w:p w14:paraId="04C9C3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clear processes for culturally safe communication between staff and residents. A resident and whānau/EPOA interviewed were happy with the communication from staff in relation to health care-associated infection.</w:t>
            </w:r>
          </w:p>
          <w:p w14:paraId="4B5C8911" w14:textId="77777777" w:rsidR="00000000" w:rsidRPr="00BE00C7" w:rsidRDefault="00000000" w:rsidP="00BE00C7">
            <w:pPr>
              <w:pStyle w:val="OutcomeDescription"/>
              <w:spacing w:before="120" w:after="120"/>
              <w:rPr>
                <w:rFonts w:cs="Arial"/>
                <w:lang w:eastAsia="en-NZ"/>
              </w:rPr>
            </w:pPr>
          </w:p>
        </w:tc>
      </w:tr>
      <w:tr w:rsidR="00241963" w14:paraId="5EF03A76" w14:textId="77777777">
        <w:tc>
          <w:tcPr>
            <w:tcW w:w="0" w:type="auto"/>
          </w:tcPr>
          <w:p w14:paraId="6CE3A6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47C72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530A827" w14:textId="77777777" w:rsidR="00000000" w:rsidRPr="00BE00C7" w:rsidRDefault="00000000" w:rsidP="00BE00C7">
            <w:pPr>
              <w:pStyle w:val="OutcomeDescription"/>
              <w:spacing w:before="120" w:after="120"/>
              <w:rPr>
                <w:rFonts w:cs="Arial"/>
                <w:lang w:eastAsia="en-NZ"/>
              </w:rPr>
            </w:pPr>
          </w:p>
        </w:tc>
        <w:tc>
          <w:tcPr>
            <w:tcW w:w="0" w:type="auto"/>
          </w:tcPr>
          <w:p w14:paraId="16AFC0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65A6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at Stillwater was clean and hygienic, supporting the prevention of infection and mitigation of transmission of antimicrobial-resistant organisms. </w:t>
            </w:r>
          </w:p>
          <w:p w14:paraId="29A029B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cleaning and laundry. Staff involved have completed relevant training and were observed to carry out duties safely. There was clear separation between the handling and storage of clean and dirty linen. Chemicals were stored safely.</w:t>
            </w:r>
          </w:p>
          <w:p w14:paraId="006C7D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Laundry and cleaning processes are monitored for effectiveness. Infection prevention personnel have oversight of the environmental testing and monitoring programme. </w:t>
            </w:r>
          </w:p>
          <w:p w14:paraId="5D2825B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whānau/EPOA reported that the laundry is managed well, and the facility is kept clean and tidy. This was confirmed through observations.</w:t>
            </w:r>
          </w:p>
          <w:p w14:paraId="683BF343" w14:textId="77777777" w:rsidR="00000000" w:rsidRPr="00BE00C7" w:rsidRDefault="00000000" w:rsidP="00BE00C7">
            <w:pPr>
              <w:pStyle w:val="OutcomeDescription"/>
              <w:spacing w:before="120" w:after="120"/>
              <w:rPr>
                <w:rFonts w:cs="Arial"/>
                <w:lang w:eastAsia="en-NZ"/>
              </w:rPr>
            </w:pPr>
          </w:p>
        </w:tc>
      </w:tr>
      <w:tr w:rsidR="00241963" w14:paraId="547CF17B" w14:textId="77777777">
        <w:tc>
          <w:tcPr>
            <w:tcW w:w="0" w:type="auto"/>
          </w:tcPr>
          <w:p w14:paraId="40FFBB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DB5CB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3253ECDD" w14:textId="77777777" w:rsidR="00000000" w:rsidRPr="00BE00C7" w:rsidRDefault="00000000" w:rsidP="00BE00C7">
            <w:pPr>
              <w:pStyle w:val="OutcomeDescription"/>
              <w:spacing w:before="120" w:after="120"/>
              <w:rPr>
                <w:rFonts w:cs="Arial"/>
                <w:lang w:eastAsia="en-NZ"/>
              </w:rPr>
            </w:pPr>
          </w:p>
        </w:tc>
        <w:tc>
          <w:tcPr>
            <w:tcW w:w="0" w:type="auto"/>
          </w:tcPr>
          <w:p w14:paraId="58B2B0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2B0781"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through documented policy and regular reporting requirements. The clinical advisory group (CAG) monitors the use of restraint across the organisation and is chaired by one of the organisation’s regional managers, who has responsibility for ensuring that restraint minimisation is achieved.</w:t>
            </w:r>
          </w:p>
          <w:p w14:paraId="3FCBBF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RN is the restraint coordinator, providing support and oversight for any restraint management should it be used.  Their position description was sighted. </w:t>
            </w:r>
          </w:p>
          <w:p w14:paraId="0674B6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CHVM and restraint co-ordinator is involved in the purchase of equipment should it be needed.</w:t>
            </w:r>
          </w:p>
          <w:p w14:paraId="4689DB1C"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met the requirements of the standards.</w:t>
            </w:r>
          </w:p>
          <w:p w14:paraId="31A7AB1F" w14:textId="77777777" w:rsidR="00000000" w:rsidRPr="00BE00C7" w:rsidRDefault="00000000" w:rsidP="00BE00C7">
            <w:pPr>
              <w:pStyle w:val="OutcomeDescription"/>
              <w:spacing w:before="120" w:after="120"/>
              <w:rPr>
                <w:rFonts w:cs="Arial"/>
                <w:lang w:eastAsia="en-NZ"/>
              </w:rPr>
            </w:pPr>
            <w:r w:rsidRPr="00BE00C7">
              <w:rPr>
                <w:rFonts w:cs="Arial"/>
                <w:lang w:eastAsia="en-NZ"/>
              </w:rPr>
              <w:t>Orientation and ongoing education included alternative cultural-specific interventions, least restrictive practice, de-escalation techniques, restraint-free training, and management of challenging behaviours. Staff confirmed they have received training.</w:t>
            </w:r>
          </w:p>
          <w:p w14:paraId="085C97F6"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there were no residents using restraint. Minutes reviewed evidenced nil restraint reported.</w:t>
            </w:r>
          </w:p>
          <w:p w14:paraId="633E67B8"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there has been no restraint reported to governance since the last audit, subsections 6.2 and 6.3 have not been audited.</w:t>
            </w:r>
          </w:p>
          <w:p w14:paraId="6C1DF640" w14:textId="77777777" w:rsidR="00000000" w:rsidRPr="00BE00C7" w:rsidRDefault="00000000" w:rsidP="00BE00C7">
            <w:pPr>
              <w:pStyle w:val="OutcomeDescription"/>
              <w:spacing w:before="120" w:after="120"/>
              <w:rPr>
                <w:rFonts w:cs="Arial"/>
                <w:lang w:eastAsia="en-NZ"/>
              </w:rPr>
            </w:pPr>
          </w:p>
        </w:tc>
      </w:tr>
    </w:tbl>
    <w:p w14:paraId="5848DBD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E25BC7C" w14:textId="77777777" w:rsidR="00000000" w:rsidRDefault="00000000">
      <w:pPr>
        <w:pStyle w:val="Heading1"/>
        <w:rPr>
          <w:rFonts w:cs="Arial"/>
        </w:rPr>
      </w:pPr>
      <w:r>
        <w:rPr>
          <w:rFonts w:cs="Arial"/>
        </w:rPr>
        <w:lastRenderedPageBreak/>
        <w:t>Specific results for criterion where corrective actions are required</w:t>
      </w:r>
    </w:p>
    <w:p w14:paraId="08BCDFE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0E6685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23D15F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330"/>
        <w:gridCol w:w="4646"/>
        <w:gridCol w:w="2494"/>
        <w:gridCol w:w="2556"/>
      </w:tblGrid>
      <w:tr w:rsidR="00241963" w14:paraId="75485261" w14:textId="77777777">
        <w:tc>
          <w:tcPr>
            <w:tcW w:w="0" w:type="auto"/>
          </w:tcPr>
          <w:p w14:paraId="6C80681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5261F8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293A07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47F875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B78D32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41963" w14:paraId="39B3BDE1" w14:textId="77777777">
        <w:tc>
          <w:tcPr>
            <w:tcW w:w="0" w:type="auto"/>
          </w:tcPr>
          <w:p w14:paraId="728D58A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33901EB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3AF851E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36A5CC3"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planning is completed by registered nurses following comprehensive assessment, including regular interRAI assessments. Eleven resident files were reviewed. Care planning was sufficiently detailed and addressed all resident needs identified in the assessment process. However, in seven out of eleven files sampled, the long-term care plan had not been completed within the contractually required timeframe of 21 days. In three files the delay was one week or less, however in the remaining four files the delay was up to 78 days. Improvements had been made, and the clinical services manager was able to verify that three recent admissions had care plans completed in under 21 days; for this reason, the risk level for this corrective action is low.</w:t>
            </w:r>
          </w:p>
          <w:p w14:paraId="027582E1" w14:textId="77777777" w:rsidR="00000000" w:rsidRPr="00BE00C7" w:rsidRDefault="00000000" w:rsidP="00BE00C7">
            <w:pPr>
              <w:pStyle w:val="OutcomeDescription"/>
              <w:spacing w:before="120" w:after="120"/>
              <w:rPr>
                <w:rFonts w:cs="Arial"/>
                <w:lang w:eastAsia="en-NZ"/>
              </w:rPr>
            </w:pPr>
          </w:p>
        </w:tc>
        <w:tc>
          <w:tcPr>
            <w:tcW w:w="0" w:type="auto"/>
          </w:tcPr>
          <w:p w14:paraId="712AA3A3" w14:textId="77777777" w:rsidR="00000000" w:rsidRPr="00BE00C7" w:rsidRDefault="00000000" w:rsidP="00BE00C7">
            <w:pPr>
              <w:pStyle w:val="OutcomeDescription"/>
              <w:spacing w:before="120" w:after="120"/>
              <w:rPr>
                <w:rFonts w:cs="Arial"/>
                <w:lang w:eastAsia="en-NZ"/>
              </w:rPr>
            </w:pPr>
            <w:r w:rsidRPr="00BE00C7">
              <w:rPr>
                <w:rFonts w:cs="Arial"/>
                <w:lang w:eastAsia="en-NZ"/>
              </w:rPr>
              <w:t>In seven out of eleven files reviewed, the long-term care plan had not been completed within the contractually required timeframe of 21 days.</w:t>
            </w:r>
          </w:p>
          <w:p w14:paraId="0BD4A360" w14:textId="77777777" w:rsidR="00000000" w:rsidRPr="00BE00C7" w:rsidRDefault="00000000" w:rsidP="00BE00C7">
            <w:pPr>
              <w:pStyle w:val="OutcomeDescription"/>
              <w:spacing w:before="120" w:after="120"/>
              <w:rPr>
                <w:rFonts w:cs="Arial"/>
                <w:lang w:eastAsia="en-NZ"/>
              </w:rPr>
            </w:pPr>
          </w:p>
        </w:tc>
        <w:tc>
          <w:tcPr>
            <w:tcW w:w="0" w:type="auto"/>
          </w:tcPr>
          <w:p w14:paraId="778C475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residents have a long-term care plan, based on the interRAI assessment, completed within 21 days of admission as required by contract.</w:t>
            </w:r>
          </w:p>
          <w:p w14:paraId="5B9A51B6" w14:textId="77777777" w:rsidR="00000000" w:rsidRPr="00BE00C7" w:rsidRDefault="00000000" w:rsidP="00BE00C7">
            <w:pPr>
              <w:pStyle w:val="OutcomeDescription"/>
              <w:spacing w:before="120" w:after="120"/>
              <w:rPr>
                <w:rFonts w:cs="Arial"/>
                <w:lang w:eastAsia="en-NZ"/>
              </w:rPr>
            </w:pPr>
          </w:p>
          <w:p w14:paraId="4A3DA36F"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3F88317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6DD6137" w14:textId="77777777" w:rsidR="00000000" w:rsidRDefault="00000000">
      <w:pPr>
        <w:pStyle w:val="Heading1"/>
        <w:rPr>
          <w:rFonts w:cs="Arial"/>
        </w:rPr>
      </w:pPr>
      <w:r>
        <w:rPr>
          <w:rFonts w:cs="Arial"/>
        </w:rPr>
        <w:lastRenderedPageBreak/>
        <w:t>Specific results for criterion where a continuous improvement has been recorded</w:t>
      </w:r>
    </w:p>
    <w:p w14:paraId="55E7586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737C7C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1F70A8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41963" w14:paraId="46B96DDB" w14:textId="77777777">
        <w:tc>
          <w:tcPr>
            <w:tcW w:w="0" w:type="auto"/>
          </w:tcPr>
          <w:p w14:paraId="1D5AFD7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2B83EE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152F82C"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C953" w14:textId="77777777" w:rsidR="00295E47" w:rsidRDefault="00295E47">
      <w:r>
        <w:separator/>
      </w:r>
    </w:p>
  </w:endnote>
  <w:endnote w:type="continuationSeparator" w:id="0">
    <w:p w14:paraId="7F854124" w14:textId="77777777" w:rsidR="00295E47" w:rsidRDefault="0029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2508" w14:textId="77777777" w:rsidR="00000000" w:rsidRDefault="00000000">
    <w:pPr>
      <w:pStyle w:val="Footer"/>
    </w:pPr>
  </w:p>
  <w:p w14:paraId="178DA72F" w14:textId="77777777" w:rsidR="00000000" w:rsidRDefault="00000000"/>
  <w:p w14:paraId="3053728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287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Stillwater Gardens Lifecare</w:t>
    </w:r>
    <w:bookmarkEnd w:id="59"/>
    <w:r>
      <w:rPr>
        <w:rFonts w:cs="Arial"/>
        <w:sz w:val="16"/>
        <w:szCs w:val="20"/>
      </w:rPr>
      <w:tab/>
      <w:t xml:space="preserve">Date of Audit: </w:t>
    </w:r>
    <w:bookmarkStart w:id="60" w:name="AuditStartDate1"/>
    <w:r>
      <w:rPr>
        <w:rFonts w:cs="Arial"/>
        <w:sz w:val="16"/>
        <w:szCs w:val="20"/>
      </w:rPr>
      <w:t>23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9410BB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277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EE75" w14:textId="77777777" w:rsidR="00295E47" w:rsidRDefault="00295E47">
      <w:r>
        <w:separator/>
      </w:r>
    </w:p>
  </w:footnote>
  <w:footnote w:type="continuationSeparator" w:id="0">
    <w:p w14:paraId="21117988" w14:textId="77777777" w:rsidR="00295E47" w:rsidRDefault="00295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D13E" w14:textId="77777777" w:rsidR="00000000" w:rsidRDefault="00000000">
    <w:pPr>
      <w:pStyle w:val="Header"/>
    </w:pPr>
  </w:p>
  <w:p w14:paraId="47390FA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5469" w14:textId="77777777" w:rsidR="00000000" w:rsidRDefault="00000000">
    <w:pPr>
      <w:pStyle w:val="Header"/>
    </w:pPr>
  </w:p>
  <w:p w14:paraId="2FA705E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955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6127310">
      <w:start w:val="1"/>
      <w:numFmt w:val="decimal"/>
      <w:lvlText w:val="%1."/>
      <w:lvlJc w:val="left"/>
      <w:pPr>
        <w:ind w:left="360" w:hanging="360"/>
      </w:pPr>
    </w:lvl>
    <w:lvl w:ilvl="1" w:tplc="B85E7C0C" w:tentative="1">
      <w:start w:val="1"/>
      <w:numFmt w:val="lowerLetter"/>
      <w:lvlText w:val="%2."/>
      <w:lvlJc w:val="left"/>
      <w:pPr>
        <w:ind w:left="1080" w:hanging="360"/>
      </w:pPr>
    </w:lvl>
    <w:lvl w:ilvl="2" w:tplc="7DC68472" w:tentative="1">
      <w:start w:val="1"/>
      <w:numFmt w:val="lowerRoman"/>
      <w:lvlText w:val="%3."/>
      <w:lvlJc w:val="right"/>
      <w:pPr>
        <w:ind w:left="1800" w:hanging="180"/>
      </w:pPr>
    </w:lvl>
    <w:lvl w:ilvl="3" w:tplc="7FF43286" w:tentative="1">
      <w:start w:val="1"/>
      <w:numFmt w:val="decimal"/>
      <w:lvlText w:val="%4."/>
      <w:lvlJc w:val="left"/>
      <w:pPr>
        <w:ind w:left="2520" w:hanging="360"/>
      </w:pPr>
    </w:lvl>
    <w:lvl w:ilvl="4" w:tplc="855ED632" w:tentative="1">
      <w:start w:val="1"/>
      <w:numFmt w:val="lowerLetter"/>
      <w:lvlText w:val="%5."/>
      <w:lvlJc w:val="left"/>
      <w:pPr>
        <w:ind w:left="3240" w:hanging="360"/>
      </w:pPr>
    </w:lvl>
    <w:lvl w:ilvl="5" w:tplc="C254C5B8" w:tentative="1">
      <w:start w:val="1"/>
      <w:numFmt w:val="lowerRoman"/>
      <w:lvlText w:val="%6."/>
      <w:lvlJc w:val="right"/>
      <w:pPr>
        <w:ind w:left="3960" w:hanging="180"/>
      </w:pPr>
    </w:lvl>
    <w:lvl w:ilvl="6" w:tplc="CD50FCB0" w:tentative="1">
      <w:start w:val="1"/>
      <w:numFmt w:val="decimal"/>
      <w:lvlText w:val="%7."/>
      <w:lvlJc w:val="left"/>
      <w:pPr>
        <w:ind w:left="4680" w:hanging="360"/>
      </w:pPr>
    </w:lvl>
    <w:lvl w:ilvl="7" w:tplc="B410728A" w:tentative="1">
      <w:start w:val="1"/>
      <w:numFmt w:val="lowerLetter"/>
      <w:lvlText w:val="%8."/>
      <w:lvlJc w:val="left"/>
      <w:pPr>
        <w:ind w:left="5400" w:hanging="360"/>
      </w:pPr>
    </w:lvl>
    <w:lvl w:ilvl="8" w:tplc="A130534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A9EA8DC">
      <w:start w:val="1"/>
      <w:numFmt w:val="bullet"/>
      <w:lvlText w:val=""/>
      <w:lvlJc w:val="left"/>
      <w:pPr>
        <w:ind w:left="720" w:hanging="360"/>
      </w:pPr>
      <w:rPr>
        <w:rFonts w:ascii="Symbol" w:hAnsi="Symbol" w:hint="default"/>
      </w:rPr>
    </w:lvl>
    <w:lvl w:ilvl="1" w:tplc="953247BA" w:tentative="1">
      <w:start w:val="1"/>
      <w:numFmt w:val="bullet"/>
      <w:lvlText w:val="o"/>
      <w:lvlJc w:val="left"/>
      <w:pPr>
        <w:ind w:left="1440" w:hanging="360"/>
      </w:pPr>
      <w:rPr>
        <w:rFonts w:ascii="Courier New" w:hAnsi="Courier New" w:cs="Courier New" w:hint="default"/>
      </w:rPr>
    </w:lvl>
    <w:lvl w:ilvl="2" w:tplc="2A8CC118" w:tentative="1">
      <w:start w:val="1"/>
      <w:numFmt w:val="bullet"/>
      <w:lvlText w:val=""/>
      <w:lvlJc w:val="left"/>
      <w:pPr>
        <w:ind w:left="2160" w:hanging="360"/>
      </w:pPr>
      <w:rPr>
        <w:rFonts w:ascii="Wingdings" w:hAnsi="Wingdings" w:hint="default"/>
      </w:rPr>
    </w:lvl>
    <w:lvl w:ilvl="3" w:tplc="6610D4C6" w:tentative="1">
      <w:start w:val="1"/>
      <w:numFmt w:val="bullet"/>
      <w:lvlText w:val=""/>
      <w:lvlJc w:val="left"/>
      <w:pPr>
        <w:ind w:left="2880" w:hanging="360"/>
      </w:pPr>
      <w:rPr>
        <w:rFonts w:ascii="Symbol" w:hAnsi="Symbol" w:hint="default"/>
      </w:rPr>
    </w:lvl>
    <w:lvl w:ilvl="4" w:tplc="59188A8C" w:tentative="1">
      <w:start w:val="1"/>
      <w:numFmt w:val="bullet"/>
      <w:lvlText w:val="o"/>
      <w:lvlJc w:val="left"/>
      <w:pPr>
        <w:ind w:left="3600" w:hanging="360"/>
      </w:pPr>
      <w:rPr>
        <w:rFonts w:ascii="Courier New" w:hAnsi="Courier New" w:cs="Courier New" w:hint="default"/>
      </w:rPr>
    </w:lvl>
    <w:lvl w:ilvl="5" w:tplc="A6CC8878" w:tentative="1">
      <w:start w:val="1"/>
      <w:numFmt w:val="bullet"/>
      <w:lvlText w:val=""/>
      <w:lvlJc w:val="left"/>
      <w:pPr>
        <w:ind w:left="4320" w:hanging="360"/>
      </w:pPr>
      <w:rPr>
        <w:rFonts w:ascii="Wingdings" w:hAnsi="Wingdings" w:hint="default"/>
      </w:rPr>
    </w:lvl>
    <w:lvl w:ilvl="6" w:tplc="0416029A" w:tentative="1">
      <w:start w:val="1"/>
      <w:numFmt w:val="bullet"/>
      <w:lvlText w:val=""/>
      <w:lvlJc w:val="left"/>
      <w:pPr>
        <w:ind w:left="5040" w:hanging="360"/>
      </w:pPr>
      <w:rPr>
        <w:rFonts w:ascii="Symbol" w:hAnsi="Symbol" w:hint="default"/>
      </w:rPr>
    </w:lvl>
    <w:lvl w:ilvl="7" w:tplc="28A82C04" w:tentative="1">
      <w:start w:val="1"/>
      <w:numFmt w:val="bullet"/>
      <w:lvlText w:val="o"/>
      <w:lvlJc w:val="left"/>
      <w:pPr>
        <w:ind w:left="5760" w:hanging="360"/>
      </w:pPr>
      <w:rPr>
        <w:rFonts w:ascii="Courier New" w:hAnsi="Courier New" w:cs="Courier New" w:hint="default"/>
      </w:rPr>
    </w:lvl>
    <w:lvl w:ilvl="8" w:tplc="037C07A8" w:tentative="1">
      <w:start w:val="1"/>
      <w:numFmt w:val="bullet"/>
      <w:lvlText w:val=""/>
      <w:lvlJc w:val="left"/>
      <w:pPr>
        <w:ind w:left="6480" w:hanging="360"/>
      </w:pPr>
      <w:rPr>
        <w:rFonts w:ascii="Wingdings" w:hAnsi="Wingdings" w:hint="default"/>
      </w:rPr>
    </w:lvl>
  </w:abstractNum>
  <w:num w:numId="1" w16cid:durableId="1387879622">
    <w:abstractNumId w:val="1"/>
  </w:num>
  <w:num w:numId="2" w16cid:durableId="19871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63"/>
    <w:rsid w:val="00201999"/>
    <w:rsid w:val="00205258"/>
    <w:rsid w:val="00241963"/>
    <w:rsid w:val="00295E47"/>
    <w:rsid w:val="005F69FB"/>
    <w:rsid w:val="006678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5F9E"/>
  <w15:docId w15:val="{88F807BD-C9C7-4FDF-9D8B-304D32E7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11712</Words>
  <Characters>66760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2025-11-19T19:12:00Z</dcterms:created>
  <dcterms:modified xsi:type="dcterms:W3CDTF">2025-11-19T19:17:00Z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