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25AA" w14:textId="77777777" w:rsidR="00000000" w:rsidRDefault="00000000">
      <w:pPr>
        <w:pStyle w:val="Heading1"/>
        <w:rPr>
          <w:rFonts w:cs="Arial"/>
        </w:rPr>
      </w:pPr>
      <w:bookmarkStart w:id="0" w:name="PRMS_RIName"/>
      <w:r>
        <w:rPr>
          <w:rFonts w:cs="Arial"/>
        </w:rPr>
        <w:t>Oceania Care Company Limited - Wharerangi</w:t>
      </w:r>
      <w:bookmarkEnd w:id="0"/>
    </w:p>
    <w:p w14:paraId="7C8CE88F" w14:textId="77777777" w:rsidR="00000000" w:rsidRDefault="00000000">
      <w:pPr>
        <w:pStyle w:val="Heading2"/>
        <w:spacing w:after="0"/>
        <w:rPr>
          <w:rFonts w:cs="Arial"/>
        </w:rPr>
      </w:pPr>
      <w:r>
        <w:rPr>
          <w:rFonts w:cs="Arial"/>
        </w:rPr>
        <w:t>Introduction</w:t>
      </w:r>
    </w:p>
    <w:p w14:paraId="44C2B54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CB04977"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1FF45A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920E9F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EBCAD0E" w14:textId="77777777" w:rsidR="00000000" w:rsidRDefault="00000000">
      <w:pPr>
        <w:spacing w:before="240" w:after="240"/>
        <w:rPr>
          <w:rFonts w:cs="Arial"/>
          <w:lang w:eastAsia="en-NZ"/>
        </w:rPr>
      </w:pPr>
      <w:r>
        <w:rPr>
          <w:rFonts w:cs="Arial"/>
          <w:lang w:eastAsia="en-NZ"/>
        </w:rPr>
        <w:t>The specifics of this audit included:</w:t>
      </w:r>
    </w:p>
    <w:p w14:paraId="3747C36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71F638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6A397B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Wharerangi</w:t>
      </w:r>
      <w:bookmarkEnd w:id="5"/>
    </w:p>
    <w:p w14:paraId="3A40A81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D7E3E1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September 2025</w:t>
      </w:r>
      <w:bookmarkEnd w:id="7"/>
      <w:r w:rsidRPr="009418D4">
        <w:rPr>
          <w:rFonts w:cs="Arial"/>
        </w:rPr>
        <w:tab/>
        <w:t xml:space="preserve">End date: </w:t>
      </w:r>
      <w:bookmarkStart w:id="8" w:name="AuditEndDate"/>
      <w:r>
        <w:rPr>
          <w:rFonts w:cs="Arial"/>
        </w:rPr>
        <w:t xml:space="preserve">24 </w:t>
      </w:r>
      <w:r>
        <w:rPr>
          <w:rFonts w:cs="Arial"/>
        </w:rPr>
        <w:t>September 2025</w:t>
      </w:r>
      <w:bookmarkEnd w:id="8"/>
    </w:p>
    <w:p w14:paraId="4F22001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669F0C8" w14:textId="77777777" w:rsidR="001216A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0947099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548A787" w14:textId="77777777" w:rsidR="00000000" w:rsidRDefault="00000000">
      <w:pPr>
        <w:pStyle w:val="Heading1"/>
        <w:rPr>
          <w:rFonts w:cs="Arial"/>
        </w:rPr>
      </w:pPr>
      <w:r>
        <w:rPr>
          <w:rFonts w:cs="Arial"/>
        </w:rPr>
        <w:lastRenderedPageBreak/>
        <w:t>Executive summary of the audit</w:t>
      </w:r>
    </w:p>
    <w:p w14:paraId="4F4F9133" w14:textId="77777777" w:rsidR="00000000" w:rsidRDefault="00000000">
      <w:pPr>
        <w:pStyle w:val="Heading2"/>
        <w:rPr>
          <w:rFonts w:cs="Arial"/>
        </w:rPr>
      </w:pPr>
      <w:r>
        <w:rPr>
          <w:rFonts w:cs="Arial"/>
        </w:rPr>
        <w:t>Introduction</w:t>
      </w:r>
    </w:p>
    <w:p w14:paraId="3A82435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25E5D7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9335CB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77C55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7D9BE8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76EC52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F8EB5C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E12F5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9E233E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1216A2" w14:paraId="6E683A58" w14:textId="77777777">
        <w:trPr>
          <w:cantSplit/>
          <w:tblHeader/>
        </w:trPr>
        <w:tc>
          <w:tcPr>
            <w:tcW w:w="1260" w:type="dxa"/>
            <w:tcBorders>
              <w:bottom w:val="single" w:sz="4" w:space="0" w:color="000000"/>
            </w:tcBorders>
            <w:vAlign w:val="center"/>
          </w:tcPr>
          <w:p w14:paraId="25ED5B0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DCA64B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870218" w14:textId="77777777" w:rsidR="00000000" w:rsidRDefault="00000000">
            <w:pPr>
              <w:spacing w:before="60" w:after="60"/>
              <w:rPr>
                <w:rFonts w:eastAsia="Calibri"/>
                <w:b/>
                <w:szCs w:val="24"/>
              </w:rPr>
            </w:pPr>
            <w:r>
              <w:rPr>
                <w:rFonts w:eastAsia="Calibri"/>
                <w:b/>
                <w:szCs w:val="24"/>
              </w:rPr>
              <w:t>Definition</w:t>
            </w:r>
          </w:p>
        </w:tc>
      </w:tr>
      <w:tr w:rsidR="001216A2" w14:paraId="23DBBE6F" w14:textId="77777777">
        <w:trPr>
          <w:cantSplit/>
          <w:trHeight w:val="964"/>
        </w:trPr>
        <w:tc>
          <w:tcPr>
            <w:tcW w:w="1260" w:type="dxa"/>
            <w:tcBorders>
              <w:bottom w:val="single" w:sz="4" w:space="0" w:color="000000"/>
            </w:tcBorders>
            <w:shd w:val="clear" w:color="0066FF" w:fill="0000FF"/>
            <w:vAlign w:val="center"/>
          </w:tcPr>
          <w:p w14:paraId="2F9323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AD517F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C05C17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216A2" w14:paraId="5AC80A62" w14:textId="77777777">
        <w:trPr>
          <w:cantSplit/>
          <w:trHeight w:val="964"/>
        </w:trPr>
        <w:tc>
          <w:tcPr>
            <w:tcW w:w="1260" w:type="dxa"/>
            <w:shd w:val="clear" w:color="33CC33" w:fill="00FF00"/>
            <w:vAlign w:val="center"/>
          </w:tcPr>
          <w:p w14:paraId="402577C0" w14:textId="77777777" w:rsidR="00000000" w:rsidRDefault="00000000">
            <w:pPr>
              <w:spacing w:before="60" w:after="60"/>
              <w:rPr>
                <w:rFonts w:eastAsia="Calibri"/>
                <w:szCs w:val="24"/>
              </w:rPr>
            </w:pPr>
          </w:p>
        </w:tc>
        <w:tc>
          <w:tcPr>
            <w:tcW w:w="7095" w:type="dxa"/>
            <w:shd w:val="clear" w:color="auto" w:fill="auto"/>
            <w:vAlign w:val="center"/>
          </w:tcPr>
          <w:p w14:paraId="786FC8E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7B430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216A2" w14:paraId="4E39EB8E" w14:textId="77777777">
        <w:trPr>
          <w:cantSplit/>
          <w:trHeight w:val="964"/>
        </w:trPr>
        <w:tc>
          <w:tcPr>
            <w:tcW w:w="1260" w:type="dxa"/>
            <w:tcBorders>
              <w:bottom w:val="single" w:sz="4" w:space="0" w:color="000000"/>
            </w:tcBorders>
            <w:shd w:val="clear" w:color="auto" w:fill="FFFF00"/>
            <w:vAlign w:val="center"/>
          </w:tcPr>
          <w:p w14:paraId="47434883" w14:textId="77777777" w:rsidR="00000000" w:rsidRDefault="00000000">
            <w:pPr>
              <w:spacing w:before="60" w:after="60"/>
              <w:rPr>
                <w:rFonts w:eastAsia="Calibri"/>
                <w:szCs w:val="24"/>
              </w:rPr>
            </w:pPr>
          </w:p>
        </w:tc>
        <w:tc>
          <w:tcPr>
            <w:tcW w:w="7095" w:type="dxa"/>
            <w:shd w:val="clear" w:color="auto" w:fill="auto"/>
            <w:vAlign w:val="center"/>
          </w:tcPr>
          <w:p w14:paraId="7B41AD8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1AB932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216A2" w14:paraId="08BD8A36" w14:textId="77777777">
        <w:trPr>
          <w:cantSplit/>
          <w:trHeight w:val="964"/>
        </w:trPr>
        <w:tc>
          <w:tcPr>
            <w:tcW w:w="1260" w:type="dxa"/>
            <w:tcBorders>
              <w:bottom w:val="single" w:sz="4" w:space="0" w:color="000000"/>
            </w:tcBorders>
            <w:shd w:val="clear" w:color="auto" w:fill="FFC800"/>
            <w:vAlign w:val="center"/>
          </w:tcPr>
          <w:p w14:paraId="1F0E87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B83FA3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22A26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216A2" w14:paraId="28719295" w14:textId="77777777">
        <w:trPr>
          <w:cantSplit/>
          <w:trHeight w:val="964"/>
        </w:trPr>
        <w:tc>
          <w:tcPr>
            <w:tcW w:w="1260" w:type="dxa"/>
            <w:shd w:val="clear" w:color="auto" w:fill="FF0000"/>
            <w:vAlign w:val="center"/>
          </w:tcPr>
          <w:p w14:paraId="6A6BFAF4" w14:textId="77777777" w:rsidR="00000000" w:rsidRDefault="00000000">
            <w:pPr>
              <w:spacing w:before="60" w:after="60"/>
              <w:rPr>
                <w:rFonts w:eastAsia="Calibri"/>
                <w:szCs w:val="24"/>
              </w:rPr>
            </w:pPr>
          </w:p>
        </w:tc>
        <w:tc>
          <w:tcPr>
            <w:tcW w:w="7095" w:type="dxa"/>
            <w:shd w:val="clear" w:color="auto" w:fill="auto"/>
            <w:vAlign w:val="center"/>
          </w:tcPr>
          <w:p w14:paraId="4B874B7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066F27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8112A8F" w14:textId="77777777" w:rsidR="00000000" w:rsidRDefault="00000000">
      <w:pPr>
        <w:pStyle w:val="Heading2"/>
        <w:spacing w:after="0"/>
        <w:rPr>
          <w:rFonts w:cs="Arial"/>
        </w:rPr>
      </w:pPr>
      <w:r>
        <w:rPr>
          <w:rFonts w:cs="Arial"/>
        </w:rPr>
        <w:t>General overview of the audit</w:t>
      </w:r>
    </w:p>
    <w:p w14:paraId="359A6DEA" w14:textId="77777777" w:rsidR="00000000" w:rsidRDefault="00000000">
      <w:pPr>
        <w:spacing w:before="240" w:line="276" w:lineRule="auto"/>
        <w:rPr>
          <w:rFonts w:eastAsia="Calibri"/>
        </w:rPr>
      </w:pPr>
      <w:bookmarkStart w:id="13" w:name="GeneralOverview"/>
      <w:r w:rsidRPr="00A4268A">
        <w:rPr>
          <w:rFonts w:eastAsia="Calibri"/>
        </w:rPr>
        <w:t>Oceania Care Company Limited (Oceania) – Wharerangi (Wharerangi) provides age-related residential care at hospital, rest home and secure dementia care level for up to 47 residents. There were 46 residents in the facility on the first day of the audit. There have been no changes to the personnel in key roles since the previous audit.</w:t>
      </w:r>
    </w:p>
    <w:p w14:paraId="00778C2B" w14:textId="77777777" w:rsidR="001216A2"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the service holds with Health New Zealand – Te Whatu Ora. It included review of policies and procedures, review of residents’ and staff files, observations, and interviews with residents and whānau, governance representatives, staff, an allied staff member, and a nurse practitioner. Residents and whānau were complimentary about the care provided.</w:t>
      </w:r>
    </w:p>
    <w:p w14:paraId="0548FF27" w14:textId="77777777" w:rsidR="001216A2" w:rsidRPr="00A4268A" w:rsidRDefault="00000000">
      <w:pPr>
        <w:spacing w:before="240" w:line="276" w:lineRule="auto"/>
        <w:rPr>
          <w:rFonts w:eastAsia="Calibri"/>
        </w:rPr>
      </w:pPr>
      <w:r w:rsidRPr="00A4268A">
        <w:rPr>
          <w:rFonts w:eastAsia="Calibri"/>
        </w:rPr>
        <w:t>There were no areas identified as requiring improvement.</w:t>
      </w:r>
    </w:p>
    <w:bookmarkEnd w:id="13"/>
    <w:p w14:paraId="5C71311E" w14:textId="77777777" w:rsidR="001216A2" w:rsidRPr="00A4268A" w:rsidRDefault="001216A2">
      <w:pPr>
        <w:spacing w:before="240" w:line="276" w:lineRule="auto"/>
        <w:rPr>
          <w:rFonts w:eastAsia="Calibri"/>
        </w:rPr>
      </w:pPr>
    </w:p>
    <w:p w14:paraId="7D7628D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16A2" w14:paraId="450968B7" w14:textId="77777777" w:rsidTr="00A4268A">
        <w:trPr>
          <w:cantSplit/>
        </w:trPr>
        <w:tc>
          <w:tcPr>
            <w:tcW w:w="10206" w:type="dxa"/>
            <w:vAlign w:val="center"/>
          </w:tcPr>
          <w:p w14:paraId="3909B1F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FE611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0DEDCC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0C8DE6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5031704" w14:textId="77777777" w:rsidR="00000000" w:rsidRDefault="00000000">
      <w:pPr>
        <w:spacing w:before="240" w:line="276" w:lineRule="auto"/>
        <w:rPr>
          <w:rFonts w:eastAsia="Calibri"/>
        </w:rPr>
      </w:pPr>
      <w:bookmarkStart w:id="16" w:name="ConsumerRights"/>
      <w:r w:rsidRPr="00A4268A">
        <w:rPr>
          <w:rFonts w:eastAsia="Calibri"/>
        </w:rPr>
        <w:lastRenderedPageBreak/>
        <w:t>Oceania has a Māori and Pacific peoples’ health policy in place. The policy outlines Oceania’s commitment to Te Tiriti o Waitangi and Te Whare Tapa Whā model of care. Wharerangi works collaboratively to support and encourage a Māori world view of health in service delivery and to ensure that Māori would be provided with equitable and effective services based on Te Tiriti o Waitangi and the principles of mana motuhake (self-determination). Staff were observed to engage with residents in a culturally safe way. Care was provided in a way that focused on the individual and considered values, beliefs, culture, religion, sexual orientation, and relationship status.</w:t>
      </w:r>
    </w:p>
    <w:p w14:paraId="3296A276" w14:textId="77777777" w:rsidR="001216A2" w:rsidRPr="00A4268A" w:rsidRDefault="00000000">
      <w:pPr>
        <w:spacing w:before="240" w:line="276" w:lineRule="auto"/>
        <w:rPr>
          <w:rFonts w:eastAsia="Calibri"/>
        </w:rPr>
      </w:pPr>
      <w:r w:rsidRPr="00A4268A">
        <w:rPr>
          <w:rFonts w:eastAsia="Calibri"/>
        </w:rPr>
        <w:t>The service provider was aware of the requirement to recruit and retain Māori and Pacific peoples in its workforce; the requirement to do this is embedded in policy, and Oceania actively recruits Māori and Pacific peoples into its service where it is able.</w:t>
      </w:r>
    </w:p>
    <w:p w14:paraId="57E35093" w14:textId="77777777" w:rsidR="001216A2"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are safe from abuse.</w:t>
      </w:r>
    </w:p>
    <w:p w14:paraId="4696EAB9" w14:textId="77777777" w:rsidR="001216A2"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were involved in decision-making that complies with the law. Advance directives are followed wherever possible. </w:t>
      </w:r>
    </w:p>
    <w:p w14:paraId="26B79473" w14:textId="77777777" w:rsidR="001216A2" w:rsidRPr="00A4268A" w:rsidRDefault="00000000">
      <w:pPr>
        <w:spacing w:before="240" w:line="276" w:lineRule="auto"/>
        <w:rPr>
          <w:rFonts w:eastAsia="Calibri"/>
        </w:rPr>
      </w:pPr>
      <w:r w:rsidRPr="00A4268A">
        <w:rPr>
          <w:rFonts w:eastAsia="Calibri"/>
        </w:rPr>
        <w:t>There have been no complaints received since the last audit. Processes are in place to ensure these would be investigated and responded to in a timely manner.</w:t>
      </w:r>
    </w:p>
    <w:bookmarkEnd w:id="16"/>
    <w:p w14:paraId="6BC6C010" w14:textId="77777777" w:rsidR="001216A2" w:rsidRPr="00A4268A" w:rsidRDefault="001216A2">
      <w:pPr>
        <w:spacing w:before="240" w:line="276" w:lineRule="auto"/>
        <w:rPr>
          <w:rFonts w:eastAsia="Calibri"/>
        </w:rPr>
      </w:pPr>
    </w:p>
    <w:p w14:paraId="42C3202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16A2" w14:paraId="46BCA562" w14:textId="77777777" w:rsidTr="00A4268A">
        <w:trPr>
          <w:cantSplit/>
        </w:trPr>
        <w:tc>
          <w:tcPr>
            <w:tcW w:w="10206" w:type="dxa"/>
            <w:vAlign w:val="center"/>
          </w:tcPr>
          <w:p w14:paraId="52B603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A8F66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0213C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E218B60" w14:textId="77777777" w:rsidR="00000000" w:rsidRDefault="00000000">
      <w:pPr>
        <w:spacing w:before="240" w:line="276" w:lineRule="auto"/>
        <w:rPr>
          <w:rFonts w:eastAsia="Calibri"/>
        </w:rPr>
      </w:pPr>
      <w:bookmarkStart w:id="19" w:name="OrganisationalManagement"/>
      <w:r w:rsidRPr="00A4268A">
        <w:rPr>
          <w:rFonts w:eastAsia="Calibri"/>
        </w:rPr>
        <w:lastRenderedPageBreak/>
        <w:t>Oceania Care Company Limited, as the governing body, is committed to delivering high-quality services in all its facilities, including those at Wharerangi.  Consultation with Māori was occurring at governance level, honouring Te Tiriti o Waitangi, and reducing barriers to improve outcomes for Māori and tāngata whaikaha (people with disabilities).</w:t>
      </w:r>
    </w:p>
    <w:p w14:paraId="77ECB57E" w14:textId="77777777" w:rsidR="001216A2" w:rsidRPr="00A4268A" w:rsidRDefault="00000000">
      <w:pPr>
        <w:spacing w:before="240" w:line="276" w:lineRule="auto"/>
        <w:rPr>
          <w:rFonts w:eastAsia="Calibri"/>
        </w:rPr>
      </w:pPr>
      <w:r w:rsidRPr="00A4268A">
        <w:rPr>
          <w:rFonts w:eastAsia="Calibri"/>
        </w:rPr>
        <w:t>Strategic and business planning ensures the purpose, values, direction, scope, and goals for the organisation and of the facility were defined. Suitably qualified and experienced people manage the service. Ongoing monitoring of business, health and safety, and clinical services was occurring, with regular reviews according to predetermined schedules.</w:t>
      </w:r>
    </w:p>
    <w:p w14:paraId="4EFB97E3" w14:textId="77777777" w:rsidR="001216A2" w:rsidRPr="00A4268A" w:rsidRDefault="00000000">
      <w:pPr>
        <w:spacing w:before="240" w:line="276" w:lineRule="auto"/>
        <w:rPr>
          <w:rFonts w:eastAsia="Calibri"/>
        </w:rPr>
      </w:pPr>
      <w:r w:rsidRPr="00A4268A">
        <w:rPr>
          <w:rFonts w:eastAsia="Calibri"/>
        </w:rPr>
        <w:t>Well-established quality and risk management systems were focused on improving service delivery and care outcomes. Residents and whānau provide regular feedback, and staff were involved in quality activities. Actual and potential risks were identified and mitigated.</w:t>
      </w:r>
    </w:p>
    <w:p w14:paraId="24FEB5B6" w14:textId="77777777" w:rsidR="001216A2" w:rsidRPr="00A4268A" w:rsidRDefault="00000000">
      <w:pPr>
        <w:spacing w:before="240" w:line="276" w:lineRule="auto"/>
        <w:rPr>
          <w:rFonts w:eastAsia="Calibri"/>
        </w:rPr>
      </w:pPr>
      <w:r w:rsidRPr="00A4268A">
        <w:rPr>
          <w:rFonts w:eastAsia="Calibri"/>
        </w:rPr>
        <w:t>The National Adverse Events Policy was followed, with corrective actions supporting systems learnings. The service complied with statutory and regulatory reporting obligations.</w:t>
      </w:r>
    </w:p>
    <w:p w14:paraId="5A8DBD37" w14:textId="77777777" w:rsidR="001216A2" w:rsidRPr="00A4268A" w:rsidRDefault="00000000">
      <w:pPr>
        <w:spacing w:before="240" w:line="276" w:lineRule="auto"/>
        <w:rPr>
          <w:rFonts w:eastAsia="Calibri"/>
        </w:rPr>
      </w:pPr>
      <w:r w:rsidRPr="00A4268A">
        <w:rPr>
          <w:rFonts w:eastAsia="Calibri"/>
        </w:rPr>
        <w:t>An integrated approach included the collection and analysis of quality improvement data, the identification of trends leading to improvements, with data benchmarked to other Oceania facilities nationwide, and other aged-related care services nationally.</w:t>
      </w:r>
    </w:p>
    <w:p w14:paraId="0AA0C65E" w14:textId="77777777" w:rsidR="001216A2" w:rsidRPr="00A4268A" w:rsidRDefault="00000000">
      <w:pPr>
        <w:spacing w:before="240" w:line="276" w:lineRule="auto"/>
        <w:rPr>
          <w:rFonts w:eastAsia="Calibri"/>
        </w:rPr>
      </w:pPr>
      <w:r w:rsidRPr="00A4268A">
        <w:rPr>
          <w:rFonts w:eastAsia="Calibri"/>
        </w:rPr>
        <w:t>Staffing levels and skill mix met the cultural and clinical needs of residents. Staff were appointed, orientated and managed using current good practice. An education/training programme was in place, and competencies were assessed. Care staff have access to New Zealand Qualification Authority (NZQA) approved health and wellbeing courses including dementia care qualifications.</w:t>
      </w:r>
    </w:p>
    <w:p w14:paraId="54E6C064" w14:textId="77777777" w:rsidR="001216A2"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336F97AB" w14:textId="77777777" w:rsidR="001216A2" w:rsidRPr="00A4268A" w:rsidRDefault="001216A2">
      <w:pPr>
        <w:spacing w:before="240" w:line="276" w:lineRule="auto"/>
        <w:rPr>
          <w:rFonts w:eastAsia="Calibri"/>
        </w:rPr>
      </w:pPr>
    </w:p>
    <w:p w14:paraId="5B1A3EB5"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16A2" w14:paraId="1228C8F2" w14:textId="77777777" w:rsidTr="00A4268A">
        <w:trPr>
          <w:cantSplit/>
        </w:trPr>
        <w:tc>
          <w:tcPr>
            <w:tcW w:w="10206" w:type="dxa"/>
            <w:vAlign w:val="center"/>
          </w:tcPr>
          <w:p w14:paraId="18E479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014068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B4A082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1B1A5A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entered the service, a person-centred and whānau-centred approach is adopted. Relevant information was provided to the potential resident and whānau.</w:t>
      </w:r>
    </w:p>
    <w:p w14:paraId="572E0623" w14:textId="77777777" w:rsidR="001216A2"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1BAE4535" w14:textId="77777777" w:rsidR="001216A2"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07A1C997" w14:textId="77777777" w:rsidR="001216A2"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4BF5655" w14:textId="77777777" w:rsidR="001216A2"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B5FE8BA" w14:textId="77777777" w:rsidR="001216A2"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496FE5FC" w14:textId="77777777" w:rsidR="001216A2" w:rsidRPr="00A4268A" w:rsidRDefault="001216A2" w:rsidP="00621629">
      <w:pPr>
        <w:spacing w:before="240" w:line="276" w:lineRule="auto"/>
        <w:rPr>
          <w:rFonts w:eastAsia="Calibri"/>
        </w:rPr>
      </w:pPr>
    </w:p>
    <w:p w14:paraId="64D6DA2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16A2" w14:paraId="3740B775" w14:textId="77777777" w:rsidTr="00A4268A">
        <w:trPr>
          <w:cantSplit/>
        </w:trPr>
        <w:tc>
          <w:tcPr>
            <w:tcW w:w="10206" w:type="dxa"/>
            <w:vAlign w:val="center"/>
          </w:tcPr>
          <w:p w14:paraId="217BC95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E7A07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02CB5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8CAC2F8"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well maintained. There was a current building warrant of fitness.  Clinical equipment was tested as required. Processes were in place for electrical testing of electrical equipment.  External areas were accessible, safe, provide shade and seating, and meet the needs of people with disabilities. There is a secure internal area and a garden area for residents in the secure dementia unit.</w:t>
      </w:r>
    </w:p>
    <w:p w14:paraId="25A6782A" w14:textId="77777777" w:rsidR="001216A2" w:rsidRPr="00A4268A" w:rsidRDefault="00000000">
      <w:pPr>
        <w:spacing w:before="240" w:line="276" w:lineRule="auto"/>
        <w:rPr>
          <w:rFonts w:eastAsia="Calibri"/>
        </w:rPr>
      </w:pPr>
      <w:r w:rsidRPr="00A4268A">
        <w:rPr>
          <w:rFonts w:eastAsia="Calibri"/>
        </w:rPr>
        <w:t>Staff were trained in emergency procedures, the use of emergency equipment and supplies, and attend regular fire drills.  Staff, residents and whānau understood emergency and security arrangements. Residents reported a timely staff response to call bells.  Security was maintained.</w:t>
      </w:r>
    </w:p>
    <w:bookmarkEnd w:id="25"/>
    <w:p w14:paraId="7E5CB573" w14:textId="77777777" w:rsidR="001216A2" w:rsidRPr="00A4268A" w:rsidRDefault="001216A2">
      <w:pPr>
        <w:spacing w:before="240" w:line="276" w:lineRule="auto"/>
        <w:rPr>
          <w:rFonts w:eastAsia="Calibri"/>
        </w:rPr>
      </w:pPr>
    </w:p>
    <w:p w14:paraId="45AA06F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16A2" w14:paraId="7B54B8C4" w14:textId="77777777" w:rsidTr="00A4268A">
        <w:trPr>
          <w:cantSplit/>
        </w:trPr>
        <w:tc>
          <w:tcPr>
            <w:tcW w:w="10206" w:type="dxa"/>
            <w:vAlign w:val="center"/>
          </w:tcPr>
          <w:p w14:paraId="26D949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EB806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DA9EF7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C411FE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970CB22" w14:textId="77777777" w:rsidR="001216A2"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272DD3CF" w14:textId="77777777" w:rsidR="001216A2"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4237ABA" w14:textId="77777777" w:rsidR="001216A2"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0027F2D6" w14:textId="77777777" w:rsidR="001216A2"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179BB73D" w14:textId="77777777" w:rsidR="001216A2" w:rsidRPr="00A4268A" w:rsidRDefault="001216A2">
      <w:pPr>
        <w:spacing w:before="240" w:line="276" w:lineRule="auto"/>
        <w:rPr>
          <w:rFonts w:eastAsia="Calibri"/>
        </w:rPr>
      </w:pPr>
    </w:p>
    <w:p w14:paraId="4BD15B2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16A2" w14:paraId="13F2F032" w14:textId="77777777" w:rsidTr="00A4268A">
        <w:trPr>
          <w:cantSplit/>
        </w:trPr>
        <w:tc>
          <w:tcPr>
            <w:tcW w:w="10206" w:type="dxa"/>
            <w:vAlign w:val="center"/>
          </w:tcPr>
          <w:p w14:paraId="39A3C8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501C9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66706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9F55A4B"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currently a restraint-free environment. This was supported by the governing body and policies and procedures.  There were no residents using restraints at the time of audit.  </w:t>
      </w:r>
    </w:p>
    <w:p w14:paraId="0495EEEE" w14:textId="77777777" w:rsidR="001216A2"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06FBC15C" w14:textId="77777777" w:rsidR="001216A2" w:rsidRPr="00A4268A" w:rsidRDefault="001216A2">
      <w:pPr>
        <w:spacing w:before="240" w:line="276" w:lineRule="auto"/>
        <w:rPr>
          <w:rFonts w:eastAsia="Calibri"/>
        </w:rPr>
      </w:pPr>
    </w:p>
    <w:p w14:paraId="03358FF0" w14:textId="77777777" w:rsidR="00000000" w:rsidRDefault="00000000" w:rsidP="000E6E02">
      <w:pPr>
        <w:pStyle w:val="Heading2"/>
        <w:spacing w:before="0"/>
        <w:rPr>
          <w:rFonts w:cs="Arial"/>
        </w:rPr>
      </w:pPr>
      <w:r>
        <w:rPr>
          <w:rFonts w:cs="Arial"/>
        </w:rPr>
        <w:lastRenderedPageBreak/>
        <w:t>Summary of attainment</w:t>
      </w:r>
    </w:p>
    <w:p w14:paraId="38DF8F6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216A2" w14:paraId="32792426" w14:textId="77777777">
        <w:tc>
          <w:tcPr>
            <w:tcW w:w="1384" w:type="dxa"/>
            <w:vAlign w:val="center"/>
          </w:tcPr>
          <w:p w14:paraId="738E2D0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615921" w14:textId="77777777" w:rsidR="00000000" w:rsidRDefault="00000000">
            <w:pPr>
              <w:keepNext/>
              <w:spacing w:before="60" w:after="60"/>
              <w:jc w:val="center"/>
              <w:rPr>
                <w:rFonts w:cs="Arial"/>
                <w:b/>
                <w:sz w:val="20"/>
                <w:szCs w:val="20"/>
              </w:rPr>
            </w:pPr>
            <w:r>
              <w:rPr>
                <w:rFonts w:cs="Arial"/>
                <w:b/>
                <w:sz w:val="20"/>
                <w:szCs w:val="20"/>
              </w:rPr>
              <w:t>Continuous Improvement</w:t>
            </w:r>
          </w:p>
          <w:p w14:paraId="21A511D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4AA508D" w14:textId="77777777" w:rsidR="00000000" w:rsidRDefault="00000000">
            <w:pPr>
              <w:keepNext/>
              <w:spacing w:before="60" w:after="60"/>
              <w:jc w:val="center"/>
              <w:rPr>
                <w:rFonts w:cs="Arial"/>
                <w:b/>
                <w:sz w:val="20"/>
                <w:szCs w:val="20"/>
              </w:rPr>
            </w:pPr>
            <w:r>
              <w:rPr>
                <w:rFonts w:cs="Arial"/>
                <w:b/>
                <w:sz w:val="20"/>
                <w:szCs w:val="20"/>
              </w:rPr>
              <w:t>Fully Attained</w:t>
            </w:r>
          </w:p>
          <w:p w14:paraId="24E11D3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B29D72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F3125F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B8AC40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5903DE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9A49C1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B04127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645345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7F6215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6A96E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C2BAC2D" w14:textId="77777777" w:rsidR="00000000" w:rsidRDefault="00000000">
            <w:pPr>
              <w:keepNext/>
              <w:spacing w:before="60" w:after="60"/>
              <w:jc w:val="center"/>
              <w:rPr>
                <w:rFonts w:cs="Arial"/>
                <w:b/>
                <w:sz w:val="20"/>
                <w:szCs w:val="20"/>
              </w:rPr>
            </w:pPr>
            <w:r>
              <w:rPr>
                <w:rFonts w:cs="Arial"/>
                <w:b/>
                <w:sz w:val="20"/>
                <w:szCs w:val="20"/>
              </w:rPr>
              <w:t>(PA Critical)</w:t>
            </w:r>
          </w:p>
        </w:tc>
      </w:tr>
      <w:tr w:rsidR="001216A2" w14:paraId="355451B0" w14:textId="77777777">
        <w:tc>
          <w:tcPr>
            <w:tcW w:w="1384" w:type="dxa"/>
            <w:vAlign w:val="center"/>
          </w:tcPr>
          <w:p w14:paraId="6C6C8B8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B32F14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C5EDBE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2E260B3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489644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5D9823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46634B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000AF5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216A2" w14:paraId="60794BAC" w14:textId="77777777">
        <w:tc>
          <w:tcPr>
            <w:tcW w:w="1384" w:type="dxa"/>
            <w:vAlign w:val="center"/>
          </w:tcPr>
          <w:p w14:paraId="7ECE8AA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4AB103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9B356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177</w:t>
            </w:r>
            <w:bookmarkEnd w:id="40"/>
          </w:p>
        </w:tc>
        <w:tc>
          <w:tcPr>
            <w:tcW w:w="1843" w:type="dxa"/>
            <w:vAlign w:val="center"/>
          </w:tcPr>
          <w:p w14:paraId="7A5C753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8091BF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083997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3A455C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7BBFC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58F48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216A2" w14:paraId="6AC8A423" w14:textId="77777777">
        <w:tc>
          <w:tcPr>
            <w:tcW w:w="1384" w:type="dxa"/>
            <w:vAlign w:val="center"/>
          </w:tcPr>
          <w:p w14:paraId="77A9D73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B2B36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799161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6F22A01" w14:textId="77777777" w:rsidR="00000000" w:rsidRDefault="00000000">
            <w:pPr>
              <w:keepNext/>
              <w:spacing w:before="60" w:after="60"/>
              <w:jc w:val="center"/>
              <w:rPr>
                <w:rFonts w:cs="Arial"/>
                <w:b/>
                <w:sz w:val="20"/>
                <w:szCs w:val="20"/>
              </w:rPr>
            </w:pPr>
            <w:r>
              <w:rPr>
                <w:rFonts w:cs="Arial"/>
                <w:b/>
                <w:sz w:val="20"/>
                <w:szCs w:val="20"/>
              </w:rPr>
              <w:t>Unattained Low Risk</w:t>
            </w:r>
          </w:p>
          <w:p w14:paraId="43424F8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1F23F9E" w14:textId="77777777" w:rsidR="00000000" w:rsidRDefault="00000000">
            <w:pPr>
              <w:keepNext/>
              <w:spacing w:before="60" w:after="60"/>
              <w:jc w:val="center"/>
              <w:rPr>
                <w:rFonts w:cs="Arial"/>
                <w:b/>
                <w:sz w:val="20"/>
                <w:szCs w:val="20"/>
              </w:rPr>
            </w:pPr>
            <w:r>
              <w:rPr>
                <w:rFonts w:cs="Arial"/>
                <w:b/>
                <w:sz w:val="20"/>
                <w:szCs w:val="20"/>
              </w:rPr>
              <w:t>Unattained Moderate Risk</w:t>
            </w:r>
          </w:p>
          <w:p w14:paraId="257F6C1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463549A" w14:textId="77777777" w:rsidR="00000000" w:rsidRDefault="00000000">
            <w:pPr>
              <w:keepNext/>
              <w:spacing w:before="60" w:after="60"/>
              <w:jc w:val="center"/>
              <w:rPr>
                <w:rFonts w:cs="Arial"/>
                <w:b/>
                <w:sz w:val="20"/>
                <w:szCs w:val="20"/>
              </w:rPr>
            </w:pPr>
            <w:r>
              <w:rPr>
                <w:rFonts w:cs="Arial"/>
                <w:b/>
                <w:sz w:val="20"/>
                <w:szCs w:val="20"/>
              </w:rPr>
              <w:t>Unattained High Risk</w:t>
            </w:r>
          </w:p>
          <w:p w14:paraId="11B1570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B64CBDC" w14:textId="77777777" w:rsidR="00000000" w:rsidRDefault="00000000">
            <w:pPr>
              <w:keepNext/>
              <w:spacing w:before="60" w:after="60"/>
              <w:jc w:val="center"/>
              <w:rPr>
                <w:rFonts w:cs="Arial"/>
                <w:b/>
                <w:sz w:val="20"/>
                <w:szCs w:val="20"/>
              </w:rPr>
            </w:pPr>
            <w:r>
              <w:rPr>
                <w:rFonts w:cs="Arial"/>
                <w:b/>
                <w:sz w:val="20"/>
                <w:szCs w:val="20"/>
              </w:rPr>
              <w:t>Unattained Critical Risk</w:t>
            </w:r>
          </w:p>
          <w:p w14:paraId="44ED9DB9" w14:textId="77777777" w:rsidR="00000000" w:rsidRDefault="00000000">
            <w:pPr>
              <w:keepNext/>
              <w:spacing w:before="60" w:after="60"/>
              <w:jc w:val="center"/>
              <w:rPr>
                <w:rFonts w:cs="Arial"/>
                <w:b/>
                <w:sz w:val="20"/>
                <w:szCs w:val="20"/>
              </w:rPr>
            </w:pPr>
            <w:r>
              <w:rPr>
                <w:rFonts w:cs="Arial"/>
                <w:b/>
                <w:sz w:val="20"/>
                <w:szCs w:val="20"/>
              </w:rPr>
              <w:t>(UA Critical)</w:t>
            </w:r>
          </w:p>
        </w:tc>
      </w:tr>
      <w:tr w:rsidR="001216A2" w14:paraId="388EC84E" w14:textId="77777777">
        <w:tc>
          <w:tcPr>
            <w:tcW w:w="1384" w:type="dxa"/>
            <w:vAlign w:val="center"/>
          </w:tcPr>
          <w:p w14:paraId="2E4DBC1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7349AA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81D3D7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4CC384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97D62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0FF989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216A2" w14:paraId="6A4BA837" w14:textId="77777777">
        <w:tc>
          <w:tcPr>
            <w:tcW w:w="1384" w:type="dxa"/>
            <w:vAlign w:val="center"/>
          </w:tcPr>
          <w:p w14:paraId="58A7292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FE3C98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B7885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BF5C62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EBF6C2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0A5236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812D9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DBF75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4FEAEC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844FC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9"/>
        <w:gridCol w:w="1355"/>
        <w:gridCol w:w="6630"/>
      </w:tblGrid>
      <w:tr w:rsidR="001216A2" w14:paraId="420307B4" w14:textId="77777777">
        <w:tc>
          <w:tcPr>
            <w:tcW w:w="0" w:type="auto"/>
          </w:tcPr>
          <w:p w14:paraId="13F466F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21F19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1C62B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216A2" w14:paraId="750B5EB1" w14:textId="77777777">
        <w:tc>
          <w:tcPr>
            <w:tcW w:w="0" w:type="auto"/>
          </w:tcPr>
          <w:p w14:paraId="094B51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97C655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448F302" w14:textId="77777777" w:rsidR="00000000" w:rsidRPr="00BE00C7" w:rsidRDefault="00000000" w:rsidP="00BE00C7">
            <w:pPr>
              <w:pStyle w:val="OutcomeDescription"/>
              <w:spacing w:before="120" w:after="120"/>
              <w:rPr>
                <w:rFonts w:cs="Arial"/>
                <w:lang w:eastAsia="en-NZ"/>
              </w:rPr>
            </w:pPr>
          </w:p>
        </w:tc>
        <w:tc>
          <w:tcPr>
            <w:tcW w:w="0" w:type="auto"/>
          </w:tcPr>
          <w:p w14:paraId="1D9F47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954667"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Care Company Limited (Oceania) has a policy on Māori and Pacific peoples’ health and a Māori health plan in place, which described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supporting residents who identify as Māori and reiterates aspects of the Māori and Pacific peoples’ health policy and plan as per the requirements of the Ngā Paerewa standard.</w:t>
            </w:r>
          </w:p>
          <w:p w14:paraId="33BA91B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Wharerangi for residents who identify as Māori. Residents are involved in providing input into their care planning, activities, and dietary needs. Care plans included the physical, spiritual, whānau, and psychological health of the residents. There were residents who identified as Māori present during the audit. Processes and staff training were in place to ensure Māori residents and their whānau are provided with culturally appropriate services and that their mana motuhake is respected. This was verified by resident interviews.</w:t>
            </w:r>
          </w:p>
          <w:p w14:paraId="177511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developed a cultural advisory group (including Māori and </w:t>
            </w:r>
            <w:r w:rsidRPr="00BE00C7">
              <w:rPr>
                <w:rFonts w:cs="Arial"/>
                <w:lang w:eastAsia="en-NZ"/>
              </w:rPr>
              <w:lastRenderedPageBreak/>
              <w:t>Pacific representatives). The Wharerangi general manager (GM) is on this committee. The inaugural meeting of this group occurred in June 2025 and meeting minutes were sighted. A documented charter details the roles and responsibilities of this group.</w:t>
            </w:r>
          </w:p>
          <w:p w14:paraId="012B05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supported increasing Māori capacity by employing Māori staff members as vacancies and applications for employment permit. The Wharerangi GM works with local social services when staff vacancies are available, and training/support for staff new to the aged care sector is provided when required. Ethnicity data was gathered when staff were employed, and this data was analysed at an organisational level. There were staff who identified as Māori at the time of audit.</w:t>
            </w:r>
          </w:p>
          <w:p w14:paraId="6A7DE2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for Māori health support through the chaplain.</w:t>
            </w:r>
          </w:p>
          <w:p w14:paraId="7A6AFA25" w14:textId="77777777" w:rsidR="00000000" w:rsidRPr="00BE00C7" w:rsidRDefault="00000000" w:rsidP="00BE00C7">
            <w:pPr>
              <w:pStyle w:val="OutcomeDescription"/>
              <w:spacing w:before="120" w:after="120"/>
              <w:rPr>
                <w:rFonts w:cs="Arial"/>
                <w:lang w:eastAsia="en-NZ"/>
              </w:rPr>
            </w:pPr>
          </w:p>
        </w:tc>
      </w:tr>
      <w:tr w:rsidR="001216A2" w14:paraId="6C8DDE9F" w14:textId="77777777">
        <w:tc>
          <w:tcPr>
            <w:tcW w:w="0" w:type="auto"/>
          </w:tcPr>
          <w:p w14:paraId="503C92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EDB8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803A46D" w14:textId="77777777" w:rsidR="00000000" w:rsidRPr="00BE00C7" w:rsidRDefault="00000000" w:rsidP="00BE00C7">
            <w:pPr>
              <w:pStyle w:val="OutcomeDescription"/>
              <w:spacing w:before="120" w:after="120"/>
              <w:rPr>
                <w:rFonts w:cs="Arial"/>
                <w:lang w:eastAsia="en-NZ"/>
              </w:rPr>
            </w:pPr>
          </w:p>
        </w:tc>
        <w:tc>
          <w:tcPr>
            <w:tcW w:w="0" w:type="auto"/>
          </w:tcPr>
          <w:p w14:paraId="0EC7A6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51A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responded to the cultural needs of residents. The document notes the need to embrace cultural and spiritual beliefs and advocates the Fonofale model of care for use with any Pacific residents.</w:t>
            </w:r>
          </w:p>
          <w:p w14:paraId="02E7D9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Pacific people in the facility on the days of audit. Wharerangi has connections with Pacific organisations outside the service. Support would also be sought from the Pacific health team at Te Whatu Ora if applicable.</w:t>
            </w:r>
          </w:p>
          <w:p w14:paraId="139B3E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supported increasing Pacific workforce capacity by employing more Pacific staff members across differing levels of the organisation as vacancies and applications for employment permit. Ethnicity data was gathered when staff were employed, and this data was analysed at an organisational level. There were staff who identified as Pacific people at the time of audit, including in a ‘senior’ role.  The management team advised that consideration would be given to recruiting Pacific people in leadership and training roles if there were suitable applicants for vacant roles when advertised.</w:t>
            </w:r>
          </w:p>
          <w:p w14:paraId="45C9DF71" w14:textId="77777777" w:rsidR="00000000" w:rsidRPr="00BE00C7" w:rsidRDefault="00000000" w:rsidP="00BE00C7">
            <w:pPr>
              <w:pStyle w:val="OutcomeDescription"/>
              <w:spacing w:before="120" w:after="120"/>
              <w:rPr>
                <w:rFonts w:cs="Arial"/>
                <w:lang w:eastAsia="en-NZ"/>
              </w:rPr>
            </w:pPr>
          </w:p>
        </w:tc>
      </w:tr>
      <w:tr w:rsidR="001216A2" w14:paraId="56DBF1DB" w14:textId="77777777">
        <w:tc>
          <w:tcPr>
            <w:tcW w:w="0" w:type="auto"/>
          </w:tcPr>
          <w:p w14:paraId="19A25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4905F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1AEA9BF" w14:textId="77777777" w:rsidR="00000000" w:rsidRPr="00BE00C7" w:rsidRDefault="00000000" w:rsidP="00BE00C7">
            <w:pPr>
              <w:pStyle w:val="OutcomeDescription"/>
              <w:spacing w:before="120" w:after="120"/>
              <w:rPr>
                <w:rFonts w:cs="Arial"/>
                <w:lang w:eastAsia="en-NZ"/>
              </w:rPr>
            </w:pPr>
          </w:p>
        </w:tc>
        <w:tc>
          <w:tcPr>
            <w:tcW w:w="0" w:type="auto"/>
          </w:tcPr>
          <w:p w14:paraId="14B2D2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327DB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The Code was available in te reo Māori, English, and New Zealand Sign Language (NZSL).</w:t>
            </w:r>
          </w:p>
          <w:p w14:paraId="4B0CD82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Staff training on the Code had been conducted.</w:t>
            </w:r>
          </w:p>
          <w:p w14:paraId="46CC2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(CM) interviewed reported that the service recognises mana motuhake of residents, whānau, and their representatives in its updated cultural policy. The assessment process includes the residents’ wishes and support needs. A resident who identified as Māori was interviewed and stated that their individual needs were effectively being met by staff.</w:t>
            </w:r>
          </w:p>
          <w:p w14:paraId="203CC846" w14:textId="77777777" w:rsidR="00000000" w:rsidRPr="00BE00C7" w:rsidRDefault="00000000" w:rsidP="00BE00C7">
            <w:pPr>
              <w:pStyle w:val="OutcomeDescription"/>
              <w:spacing w:before="120" w:after="120"/>
              <w:rPr>
                <w:rFonts w:cs="Arial"/>
                <w:lang w:eastAsia="en-NZ"/>
              </w:rPr>
            </w:pPr>
          </w:p>
        </w:tc>
      </w:tr>
      <w:tr w:rsidR="001216A2" w14:paraId="2E6BEC31" w14:textId="77777777">
        <w:tc>
          <w:tcPr>
            <w:tcW w:w="0" w:type="auto"/>
          </w:tcPr>
          <w:p w14:paraId="4EDA42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644E0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B6A0BA7" w14:textId="77777777" w:rsidR="00000000" w:rsidRPr="00BE00C7" w:rsidRDefault="00000000" w:rsidP="00BE00C7">
            <w:pPr>
              <w:pStyle w:val="OutcomeDescription"/>
              <w:spacing w:before="120" w:after="120"/>
              <w:rPr>
                <w:rFonts w:cs="Arial"/>
                <w:lang w:eastAsia="en-NZ"/>
              </w:rPr>
            </w:pPr>
          </w:p>
        </w:tc>
        <w:tc>
          <w:tcPr>
            <w:tcW w:w="0" w:type="auto"/>
          </w:tcPr>
          <w:p w14:paraId="6E4DE1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E32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720DAA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privacy policy that references current legislative requirements. Staff were observed to maintain residents’ privacy and to support residents to maintain their independence through daily activities throughout the audit. Residents can move freely within and outside the facility, including in the secure dementia care service. All residents have their own individual room and personal belongings. There are no shared rooms in this facility.</w:t>
            </w:r>
          </w:p>
          <w:p w14:paraId="114F5F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activities undertaken, such as policy reviews and translation of English words into te reo Māori. Staff have undertaken training in Te Tiriti o Waitangi and understood the principles and how to apply these in their daily work. </w:t>
            </w:r>
          </w:p>
          <w:p w14:paraId="2D1743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of tāngata whaikaha were responded to, including their </w:t>
            </w:r>
            <w:r w:rsidRPr="00BE00C7">
              <w:rPr>
                <w:rFonts w:cs="Arial"/>
                <w:lang w:eastAsia="en-NZ"/>
              </w:rPr>
              <w:lastRenderedPageBreak/>
              <w:t>participation in te ao Māori.</w:t>
            </w:r>
          </w:p>
          <w:p w14:paraId="70740836" w14:textId="77777777" w:rsidR="00000000" w:rsidRPr="00BE00C7" w:rsidRDefault="00000000" w:rsidP="00BE00C7">
            <w:pPr>
              <w:pStyle w:val="OutcomeDescription"/>
              <w:spacing w:before="120" w:after="120"/>
              <w:rPr>
                <w:rFonts w:cs="Arial"/>
                <w:lang w:eastAsia="en-NZ"/>
              </w:rPr>
            </w:pPr>
          </w:p>
        </w:tc>
      </w:tr>
      <w:tr w:rsidR="001216A2" w14:paraId="7BAE8F74" w14:textId="77777777">
        <w:tc>
          <w:tcPr>
            <w:tcW w:w="0" w:type="auto"/>
          </w:tcPr>
          <w:p w14:paraId="7D50CE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01EF3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679F77" w14:textId="77777777" w:rsidR="00000000" w:rsidRPr="00BE00C7" w:rsidRDefault="00000000" w:rsidP="00BE00C7">
            <w:pPr>
              <w:pStyle w:val="OutcomeDescription"/>
              <w:spacing w:before="120" w:after="120"/>
              <w:rPr>
                <w:rFonts w:cs="Arial"/>
                <w:lang w:eastAsia="en-NZ"/>
              </w:rPr>
            </w:pPr>
          </w:p>
        </w:tc>
        <w:tc>
          <w:tcPr>
            <w:tcW w:w="0" w:type="auto"/>
          </w:tcPr>
          <w:p w14:paraId="485D8C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EA60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 orientation process for staff includes education related to professional boundaries, expected behaviours, and the code of conduct. The code of conduct was also included in the staff individual employment agreements (IEAs).  There were no examples of discrimination, coercion, or harassment identified during the audit through staff and/or resident or whānau interviews, or in documentation reviewed.  </w:t>
            </w:r>
          </w:p>
          <w:p w14:paraId="057D3E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personal clothing and property was labelled on admission, and they reported that their property and finances were respected and that professional boundaries are maintained by staff.  </w:t>
            </w:r>
          </w:p>
          <w:p w14:paraId="30C7BDE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felt comfortable in raising any concerns in relation to institutional and systemic racism and that any concerns would be acted upon. A strengths-based and holistic model of care was evident and included use of Te Whare Tapa Whā model, and the ‘Fonofale’ model of care. This was verified in the care plans reviewed.</w:t>
            </w:r>
          </w:p>
          <w:p w14:paraId="79CE5562" w14:textId="77777777" w:rsidR="00000000" w:rsidRPr="00BE00C7" w:rsidRDefault="00000000" w:rsidP="00BE00C7">
            <w:pPr>
              <w:pStyle w:val="OutcomeDescription"/>
              <w:spacing w:before="120" w:after="120"/>
              <w:rPr>
                <w:rFonts w:cs="Arial"/>
                <w:lang w:eastAsia="en-NZ"/>
              </w:rPr>
            </w:pPr>
          </w:p>
        </w:tc>
      </w:tr>
      <w:tr w:rsidR="001216A2" w14:paraId="4CAC566A" w14:textId="77777777">
        <w:tc>
          <w:tcPr>
            <w:tcW w:w="0" w:type="auto"/>
          </w:tcPr>
          <w:p w14:paraId="72C242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18DC2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66CA5CF" w14:textId="77777777" w:rsidR="00000000" w:rsidRPr="00BE00C7" w:rsidRDefault="00000000" w:rsidP="00BE00C7">
            <w:pPr>
              <w:pStyle w:val="OutcomeDescription"/>
              <w:spacing w:before="120" w:after="120"/>
              <w:rPr>
                <w:rFonts w:cs="Arial"/>
                <w:lang w:eastAsia="en-NZ"/>
              </w:rPr>
            </w:pPr>
          </w:p>
        </w:tc>
        <w:tc>
          <w:tcPr>
            <w:tcW w:w="0" w:type="auto"/>
          </w:tcPr>
          <w:p w14:paraId="2121DE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5628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Staff interviewed understood the principles of open disclosure, which was supported by policies and procedures. </w:t>
            </w:r>
          </w:p>
          <w:p w14:paraId="236A7410"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The contracted physiotherapist was visiting the facility and was interviewed at audit. Each resident had a whānau, next of kin, or a nominated representative with enduring power of attorney (EPOA) recorded in the individual resident files reviewed. Residents were given time to make decisions as needed.</w:t>
            </w:r>
          </w:p>
          <w:p w14:paraId="45F352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Examples of open communication were evident following adverse events. </w:t>
            </w:r>
          </w:p>
          <w:p w14:paraId="22A22D9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2BC4B94" w14:textId="77777777" w:rsidR="00000000" w:rsidRPr="00BE00C7" w:rsidRDefault="00000000" w:rsidP="00BE00C7">
            <w:pPr>
              <w:pStyle w:val="OutcomeDescription"/>
              <w:spacing w:before="120" w:after="120"/>
              <w:rPr>
                <w:rFonts w:cs="Arial"/>
                <w:lang w:eastAsia="en-NZ"/>
              </w:rPr>
            </w:pPr>
          </w:p>
        </w:tc>
      </w:tr>
      <w:tr w:rsidR="001216A2" w14:paraId="763B5EAB" w14:textId="77777777">
        <w:tc>
          <w:tcPr>
            <w:tcW w:w="0" w:type="auto"/>
          </w:tcPr>
          <w:p w14:paraId="0A7BFE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1E6B2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5ACF6A" w14:textId="77777777" w:rsidR="00000000" w:rsidRPr="00BE00C7" w:rsidRDefault="00000000" w:rsidP="00BE00C7">
            <w:pPr>
              <w:pStyle w:val="OutcomeDescription"/>
              <w:spacing w:before="120" w:after="120"/>
              <w:rPr>
                <w:rFonts w:cs="Arial"/>
                <w:lang w:eastAsia="en-NZ"/>
              </w:rPr>
            </w:pPr>
          </w:p>
        </w:tc>
        <w:tc>
          <w:tcPr>
            <w:tcW w:w="0" w:type="auto"/>
          </w:tcPr>
          <w:p w14:paraId="28D3D3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564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46A53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4C4753E5"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w:t>
            </w:r>
          </w:p>
          <w:p w14:paraId="676A5B3F" w14:textId="77777777" w:rsidR="00000000" w:rsidRPr="00BE00C7" w:rsidRDefault="00000000" w:rsidP="00BE00C7">
            <w:pPr>
              <w:pStyle w:val="OutcomeDescription"/>
              <w:spacing w:before="120" w:after="120"/>
              <w:rPr>
                <w:rFonts w:cs="Arial"/>
                <w:lang w:eastAsia="en-NZ"/>
              </w:rPr>
            </w:pPr>
          </w:p>
        </w:tc>
      </w:tr>
      <w:tr w:rsidR="001216A2" w14:paraId="69F20FCB" w14:textId="77777777">
        <w:tc>
          <w:tcPr>
            <w:tcW w:w="0" w:type="auto"/>
          </w:tcPr>
          <w:p w14:paraId="5EABBD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D999E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969F99F" w14:textId="77777777" w:rsidR="00000000" w:rsidRPr="00BE00C7" w:rsidRDefault="00000000" w:rsidP="00BE00C7">
            <w:pPr>
              <w:pStyle w:val="OutcomeDescription"/>
              <w:spacing w:before="120" w:after="120"/>
              <w:rPr>
                <w:rFonts w:cs="Arial"/>
                <w:lang w:eastAsia="en-NZ"/>
              </w:rPr>
            </w:pPr>
          </w:p>
        </w:tc>
        <w:tc>
          <w:tcPr>
            <w:tcW w:w="0" w:type="auto"/>
          </w:tcPr>
          <w:p w14:paraId="4199EC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019DC4"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met the requirements of the Code. Residents and whānau understood their right to make a complaint and knew how to do so. Oceania has developed a process to ensure resident ‘concerns’ are being reported and actioned. Three concerns have been reported at Wharerangi since this process was implemented. These have been investigated and responded to in a timely manner and records retained to demonstrate this process.  A monthly summary of complaints (including risk ratings) and concerns is provided to the Oceania clinical governance steering group (CGSG), and information includes the number of each and themes.</w:t>
            </w:r>
          </w:p>
          <w:p w14:paraId="5E0E49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at Wharerangi since the last audit, including from external sources.  The GM can describe the processes in place to ensure complaints would be investigated and responded to in a timely manner, and ensure the complainant is informed of findings following investigation. There is a process in place </w:t>
            </w:r>
            <w:r w:rsidRPr="00BE00C7">
              <w:rPr>
                <w:rFonts w:cs="Arial"/>
                <w:lang w:eastAsia="en-NZ"/>
              </w:rPr>
              <w:lastRenderedPageBreak/>
              <w:t>to ensure that complaints from Māori can be handled in a culturally appropriate and equitable manner.</w:t>
            </w:r>
          </w:p>
          <w:p w14:paraId="652224FE" w14:textId="77777777" w:rsidR="00000000" w:rsidRPr="00BE00C7" w:rsidRDefault="00000000" w:rsidP="00BE00C7">
            <w:pPr>
              <w:pStyle w:val="OutcomeDescription"/>
              <w:spacing w:before="120" w:after="120"/>
              <w:rPr>
                <w:rFonts w:cs="Arial"/>
                <w:lang w:eastAsia="en-NZ"/>
              </w:rPr>
            </w:pPr>
          </w:p>
        </w:tc>
      </w:tr>
      <w:tr w:rsidR="001216A2" w14:paraId="5AF09831" w14:textId="77777777">
        <w:tc>
          <w:tcPr>
            <w:tcW w:w="0" w:type="auto"/>
          </w:tcPr>
          <w:p w14:paraId="0654D1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EFD18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EAECA05" w14:textId="77777777" w:rsidR="00000000" w:rsidRPr="00BE00C7" w:rsidRDefault="00000000" w:rsidP="00BE00C7">
            <w:pPr>
              <w:pStyle w:val="OutcomeDescription"/>
              <w:spacing w:before="120" w:after="120"/>
              <w:rPr>
                <w:rFonts w:cs="Arial"/>
                <w:lang w:eastAsia="en-NZ"/>
              </w:rPr>
            </w:pPr>
          </w:p>
        </w:tc>
        <w:tc>
          <w:tcPr>
            <w:tcW w:w="0" w:type="auto"/>
          </w:tcPr>
          <w:p w14:paraId="2288FA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FD2F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Pacific peoples in governance groups, honouring Te Tiriti, and being focused on improving outcomes for Māori, Pacific peoples,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3B1E8D8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is being addressed through the policy documentation and enabled through choice and control over supports and the removal of barriers that prevent access to information. Information was provided about available services via the Oceania website, local Needs Assessment and Coordination Services (NASC) staff, word of mouth, and by the management team when attending community meetings. Information about the Code of Rights and infection prevention and control was available in other languages. Specific models of care relevant to Māori and Pacific peoples were available for use for Māori and Pacific residents in the service. The needs of tāngata whaikaha are specifically addressed in a ‘Person with a Disability’ policy.</w:t>
            </w:r>
          </w:p>
          <w:p w14:paraId="1E286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a strategic plan in place which outlines the organisation’s structure, purpose, values, scope, direction, performance and goals. There has been a recent structure review, and some changes in some roles, titles and reporting lines has occurred. The plan supported the improvement of equitable outcomes for Māori, Pacific peoples and tāngata whaikaha. The Oceania reporting structure relies on information from its strategic plan to inform facility-based business plans. A local facility business plan supported the goals for the Wharerangi service, </w:t>
            </w:r>
            <w:r w:rsidRPr="00BE00C7">
              <w:rPr>
                <w:rFonts w:cs="Arial"/>
                <w:lang w:eastAsia="en-NZ"/>
              </w:rPr>
              <w:lastRenderedPageBreak/>
              <w:t>and cultural safety was embedded in business and quality plans and in staff training. Ethnicity data was being collected to support equity.</w:t>
            </w:r>
          </w:p>
          <w:p w14:paraId="0E5FC4D3"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were committed to quality and risk via policy and processes, and through feedback mechanisms. This included receiving regular information from each of its care facilities, including Wharerangi.</w:t>
            </w:r>
          </w:p>
          <w:p w14:paraId="0B0E8AED" w14:textId="788AB6DC"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group (now called the clinical governance steering committee (CGSC)) was appropriate to the size and complexity of the organisation. Monthly governance group meetings were led by the director of clinical and care services (DCCS).  The national clinical and care service manager (NCCSM) central and the senior regional operations manager both </w:t>
            </w:r>
            <w:proofErr w:type="gramStart"/>
            <w:r w:rsidRPr="00BE00C7">
              <w:rPr>
                <w:rFonts w:cs="Arial"/>
                <w:lang w:eastAsia="en-NZ"/>
              </w:rPr>
              <w:t>attend</w:t>
            </w:r>
            <w:proofErr w:type="gramEnd"/>
            <w:r w:rsidRPr="00BE00C7">
              <w:rPr>
                <w:rFonts w:cs="Arial"/>
                <w:lang w:eastAsia="en-NZ"/>
              </w:rPr>
              <w:t>. Clinical and quality dashboard reports are provided to the board. Internal data collection (e.g., adverse events, complaints) was aggregated, and corrective action (at facility and organisation level, as applicable) actioned. Changes were made to the business and/or strategic plans as required. Work has commenced developing a wound care champion role in all Oceania care facilities.</w:t>
            </w:r>
          </w:p>
          <w:p w14:paraId="47F469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previously called the business and care manager (BCM), has a background in hospitality management and is responsible for Wharerangi and another Oceania age-related residential care (ARRC) service in Taupo. Time is shared between both facilities, with the GM working two to three days a week in each facility or visiting daily if required.</w:t>
            </w:r>
          </w:p>
          <w:p w14:paraId="067BB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is an experienced registered nurse. The CM and GM were in these roles prior to the last audit.  The GM and CM are supported by the kitchen manager, administrator, and by the national clinical and care service manager (NCCSM) central and the senior regional operations manager. The GM and CM confirmed knowledge of the sector, and regulatory and reporting requirements, and both maintain currency within the field. The BCM and CM have completed more than eight hours of education related to managing an ARRC service in the last 12 months, as required to meet the provider’s contract with Health New Zealand – Te Whatu Ora.</w:t>
            </w:r>
          </w:p>
          <w:p w14:paraId="5286AF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Wharerangi supported residents and their whānau to participate through the care assessment and planning processes, monthly resident meetings, and twice-yearly resident satisfaction surveys. The </w:t>
            </w:r>
            <w:r w:rsidRPr="00BE00C7">
              <w:rPr>
                <w:rFonts w:cs="Arial"/>
                <w:lang w:eastAsia="en-NZ"/>
              </w:rPr>
              <w:lastRenderedPageBreak/>
              <w:t>management team have an open-door philosophy and were available to meet with residents and whānau on a day-to-day basis to discuss resident care needs. Responses from the resident meetings and surveys were noted to be very positive.</w:t>
            </w:r>
          </w:p>
          <w:p w14:paraId="13FCEE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age-related residential care at hospital, rest home, and secure dementia levels of care.  There are ten beds in the secure dementia unit.  There are 37 beds in the rest home and hospital care area, and the GM advised all these beds are dual use. At audit, 46 residents were receiving services (19 at hospital level, 17 at rest home, and 10 at secure dementia level of care). All rooms are single resident occupancy. There are no ‘couples’ rooms available on site. There were no residents under the age of 65 years.</w:t>
            </w:r>
          </w:p>
          <w:p w14:paraId="694D1791" w14:textId="77777777" w:rsidR="00000000" w:rsidRPr="00BE00C7" w:rsidRDefault="00000000" w:rsidP="00BE00C7">
            <w:pPr>
              <w:pStyle w:val="OutcomeDescription"/>
              <w:spacing w:before="120" w:after="120"/>
              <w:rPr>
                <w:rFonts w:cs="Arial"/>
                <w:lang w:eastAsia="en-NZ"/>
              </w:rPr>
            </w:pPr>
            <w:r w:rsidRPr="00BE00C7">
              <w:rPr>
                <w:rFonts w:cs="Arial"/>
                <w:lang w:eastAsia="en-NZ"/>
              </w:rPr>
              <w:t>Wharerangi also holds contracts with Health New Zealand – Te Whatu Ora for long-term chronic health conditions (LT-CHC), residential respite (multiple categories), and home and community support services. There were no residents/clients receiving services under these three contracts.</w:t>
            </w:r>
          </w:p>
          <w:p w14:paraId="4D8DFB5A" w14:textId="77777777" w:rsidR="00000000" w:rsidRPr="00BE00C7" w:rsidRDefault="00000000" w:rsidP="00BE00C7">
            <w:pPr>
              <w:pStyle w:val="OutcomeDescription"/>
              <w:spacing w:before="120" w:after="120"/>
              <w:rPr>
                <w:rFonts w:cs="Arial"/>
                <w:lang w:eastAsia="en-NZ"/>
              </w:rPr>
            </w:pPr>
          </w:p>
        </w:tc>
      </w:tr>
      <w:tr w:rsidR="001216A2" w14:paraId="528480EE" w14:textId="77777777">
        <w:tc>
          <w:tcPr>
            <w:tcW w:w="0" w:type="auto"/>
          </w:tcPr>
          <w:p w14:paraId="5B0B6A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FF789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57E1C4" w14:textId="77777777" w:rsidR="00000000" w:rsidRPr="00BE00C7" w:rsidRDefault="00000000" w:rsidP="00BE00C7">
            <w:pPr>
              <w:pStyle w:val="OutcomeDescription"/>
              <w:spacing w:before="120" w:after="120"/>
              <w:rPr>
                <w:rFonts w:cs="Arial"/>
                <w:lang w:eastAsia="en-NZ"/>
              </w:rPr>
            </w:pPr>
          </w:p>
        </w:tc>
        <w:tc>
          <w:tcPr>
            <w:tcW w:w="0" w:type="auto"/>
          </w:tcPr>
          <w:p w14:paraId="647CED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AD448B" w14:textId="77777777" w:rsidR="00000000" w:rsidRPr="00BE00C7" w:rsidRDefault="00000000" w:rsidP="00BE00C7">
            <w:pPr>
              <w:pStyle w:val="OutcomeDescription"/>
              <w:spacing w:before="120" w:after="120"/>
              <w:rPr>
                <w:rFonts w:cs="Arial"/>
                <w:lang w:eastAsia="en-NZ"/>
              </w:rPr>
            </w:pPr>
            <w:r w:rsidRPr="00BE00C7">
              <w:rPr>
                <w:rFonts w:cs="Arial"/>
                <w:lang w:eastAsia="en-NZ"/>
              </w:rPr>
              <w:t>Wharerangi uses Oceania’s range of documents that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w:t>
            </w:r>
          </w:p>
          <w:p w14:paraId="3D2B4916"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internal audits were undertaken. There was a good level of compliance with organisation policies. A resident satisfaction survey was undertaken in 2025. There was a very low response rate. The GM advised the feedback for some components is significantly different to verbal feedback that the management team receives daily, and the results were discussed at a resident meeting. The GM advised an action plan will be developed, will include a review of how the data was collected, and that they will attempt to increase response rates for further surveys.</w:t>
            </w:r>
          </w:p>
          <w:p w14:paraId="409F9A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were developed and implemented to address any shortfalls. Progress against quality outcomes was </w:t>
            </w:r>
            <w:r w:rsidRPr="00BE00C7">
              <w:rPr>
                <w:rFonts w:cs="Arial"/>
                <w:lang w:eastAsia="en-NZ"/>
              </w:rPr>
              <w:lastRenderedPageBreak/>
              <w:t>evaluated, analysed and discussed. This was confirmed by records sighted and by staff interviewed. Actions were discussed at the staff/quality improvement meeting, monthly staff meeting, and monthly registered nurse (RN) meeting. Mintes of these meetings were sighted.</w:t>
            </w:r>
          </w:p>
          <w:p w14:paraId="45F6DB3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health and safety meetings occurred. The health and safety plan provided a formal framework for health and safety (H&amp;S) activities, including new hazard identification/management, regular review of the hazard register, review of the emergency response and supplies, staff education, and incident and accident review.</w:t>
            </w:r>
          </w:p>
          <w:p w14:paraId="2A45C2F3"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improvement project is in progress, led by the CM, and is related to enhancing the services for residents receiving palliative care.</w:t>
            </w:r>
          </w:p>
          <w:p w14:paraId="5154AD8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was occurring, including at Wharerangi, with follow-up and reporting. A Māori health plan was in place to guide care for Māori.</w:t>
            </w:r>
          </w:p>
          <w:p w14:paraId="389313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national clinical and care service manager (NCCSM) central, and the senior regional operations manager (SROM) described the processes for the identification, documentation, monitoring, review and reporting of risks, including clinical and health and safety risks, and development of mitigation strategies.  They confirmed the processes were effective in ensuring new risks were identified and existing risks monitored/mitigated. Where mitigation strategies are identified, there are processes in place to ensure these are implemented. Wharerangi specific/unique risks are documented in a separate register.</w:t>
            </w:r>
          </w:p>
          <w:p w14:paraId="7D528E97"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resident risks are identified as part of routine assessment and care planning processes.</w:t>
            </w:r>
          </w:p>
          <w:p w14:paraId="6335255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 Designated incidents/events are reported as clinical indicators and benchmarked with other Oceania ARRC facilities. Oceania data is then benchmarked with 13 other ARRC services nationally.</w:t>
            </w:r>
          </w:p>
          <w:p w14:paraId="08E7AA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NCCSM central and the CM understood and have complied with essential notification reporting requirements. Since the last audit, there have been Section 31 notifications made to Manatū Hauora or a notification to the Health Safety &amp; Quality Commission (HSQC) related to registered nurse staffing shortages, a resident absconding from the secure dementia unit, a stage two pressure injury, COVID-19, and two resident falls that resulted in a fracture. An example of a learning from harm investigation was sighted, and part A and B notifications sent to HQSC as required.</w:t>
            </w:r>
          </w:p>
          <w:p w14:paraId="3A8D1C53" w14:textId="77777777" w:rsidR="00000000" w:rsidRPr="00BE00C7" w:rsidRDefault="00000000" w:rsidP="00BE00C7">
            <w:pPr>
              <w:pStyle w:val="OutcomeDescription"/>
              <w:spacing w:before="120" w:after="120"/>
              <w:rPr>
                <w:rFonts w:cs="Arial"/>
                <w:lang w:eastAsia="en-NZ"/>
              </w:rPr>
            </w:pPr>
          </w:p>
        </w:tc>
      </w:tr>
      <w:tr w:rsidR="001216A2" w14:paraId="6887834A" w14:textId="77777777">
        <w:tc>
          <w:tcPr>
            <w:tcW w:w="0" w:type="auto"/>
          </w:tcPr>
          <w:p w14:paraId="405310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9C1B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8D1B729" w14:textId="77777777" w:rsidR="00000000" w:rsidRPr="00BE00C7" w:rsidRDefault="00000000" w:rsidP="00BE00C7">
            <w:pPr>
              <w:pStyle w:val="OutcomeDescription"/>
              <w:spacing w:before="120" w:after="120"/>
              <w:rPr>
                <w:rFonts w:cs="Arial"/>
                <w:lang w:eastAsia="en-NZ"/>
              </w:rPr>
            </w:pPr>
          </w:p>
        </w:tc>
        <w:tc>
          <w:tcPr>
            <w:tcW w:w="0" w:type="auto"/>
          </w:tcPr>
          <w:p w14:paraId="206CA8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99E1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facility adjusted staffing levels to meet the changing needs of residents. The GM monitors the required staff hours and actual staff hours per role rostered at least monthly. There are currently no staff vacancies.</w:t>
            </w:r>
          </w:p>
          <w:p w14:paraId="416F64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reported there were adequate staff to complete the work allocated to them. Residents and whānau interviewed supported this. At least one staff member on duty had a current first aid certificate (usually more), and there is 24/7 RN coverage. There was a minimum of one registered nurse (RN) and two care staff on duty, usually more. Sufficient catering, cleaning, and laundry staff were rostered on duty seven days a week. Activities are scheduled for Monday to Friday. Six RNs and the CM had current interRAI competency. The CM has current syringe driver competency, with other nurses booked for this training. </w:t>
            </w:r>
          </w:p>
          <w:p w14:paraId="696E4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works across two Oceania ARRC facilities. The CM works full-time and only at Wharerangi. The CM or a senior RN is on call when not on site.</w:t>
            </w:r>
          </w:p>
          <w:p w14:paraId="467CA7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 biannual basis, including mandatory training requirements. There were role-specific, mandatory in-service or training days. Related competencies were assessed and supported equitable service delivery. Care staff had either completed or commenced a New Zealand Qualifications Authority education programme to meet the requirements of the provider’s agreement with Health New Zealand – Te Whatu Ora. Staff working in the secure </w:t>
            </w:r>
            <w:r w:rsidRPr="00BE00C7">
              <w:rPr>
                <w:rFonts w:cs="Arial"/>
                <w:lang w:eastAsia="en-NZ"/>
              </w:rPr>
              <w:lastRenderedPageBreak/>
              <w:t xml:space="preserve">dementia unit have completed industry-approved qualifications related to dementia care or were in training. The CM was aware that staff working in the secure dementia unit are required to complete training within two years of starting to work in the unit.  In the records provided, five staff were currently working to complete a dementia-level qualification, three staff had either applied for or started training for a Level 4 qualification, one staff member was completing a Level 3 qualification, and one staff member was completing a Level 2 qualification. </w:t>
            </w:r>
          </w:p>
          <w:p w14:paraId="3740367B"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records provided, two health care assistants (HCA) had completed a Level 2 qualification, four staff had completed a Level 3 qualification, seven staff a Level 4 qualification, and 15 staff had a dementia qualification. There are also several internationally qualified nurses employed. Two HCAs interviewed have worked at Wharerangi for between 23-27 years.</w:t>
            </w:r>
          </w:p>
          <w:p w14:paraId="3576CFD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reviewed demonstrated completion of the required training and role-specific competency assessments.</w:t>
            </w:r>
          </w:p>
          <w:p w14:paraId="2A0F7B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collection and sharing of high-quality Māori health information across the service was through policy and procedure, appropriate care planning using relevant models of care, resident and whānau engagement, and through staff education.</w:t>
            </w:r>
          </w:p>
          <w:p w14:paraId="2F03253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was available to staff who may require extra support. Influenza and COVID-19 vaccination was offered.  The H&amp;S committee also acknowledges a staff member who champions H&amp;S each month. Staff can access three free physiotherapy sessions if required. Staff are provided with vitamin C supplements, fresh fruit, and hot soup. On occasion, meals are also provided, including routine night staff who are unable to leave the premises.</w:t>
            </w:r>
          </w:p>
          <w:p w14:paraId="26B77EC8" w14:textId="77777777" w:rsidR="00000000" w:rsidRPr="00BE00C7" w:rsidRDefault="00000000" w:rsidP="00BE00C7">
            <w:pPr>
              <w:pStyle w:val="OutcomeDescription"/>
              <w:spacing w:before="120" w:after="120"/>
              <w:rPr>
                <w:rFonts w:cs="Arial"/>
                <w:lang w:eastAsia="en-NZ"/>
              </w:rPr>
            </w:pPr>
          </w:p>
        </w:tc>
      </w:tr>
      <w:tr w:rsidR="001216A2" w14:paraId="2E880620" w14:textId="77777777">
        <w:tc>
          <w:tcPr>
            <w:tcW w:w="0" w:type="auto"/>
          </w:tcPr>
          <w:p w14:paraId="31C496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DCAF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F46C4B2" w14:textId="77777777" w:rsidR="00000000" w:rsidRPr="00BE00C7" w:rsidRDefault="00000000" w:rsidP="00BE00C7">
            <w:pPr>
              <w:pStyle w:val="OutcomeDescription"/>
              <w:spacing w:before="120" w:after="120"/>
              <w:rPr>
                <w:rFonts w:cs="Arial"/>
                <w:lang w:eastAsia="en-NZ"/>
              </w:rPr>
            </w:pPr>
          </w:p>
        </w:tc>
        <w:tc>
          <w:tcPr>
            <w:tcW w:w="0" w:type="auto"/>
          </w:tcPr>
          <w:p w14:paraId="68F4D1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2770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There were job descriptions in place for all positions that included outcomes, </w:t>
            </w:r>
            <w:r w:rsidRPr="00BE00C7">
              <w:rPr>
                <w:rFonts w:cs="Arial"/>
                <w:lang w:eastAsia="en-NZ"/>
              </w:rPr>
              <w:lastRenderedPageBreak/>
              <w:t>accountability, responsibilities, authority, and functions to be achieved in each position. Descriptions also covered responsibilities and additional functions, such as holding a restraint or infection prevention and control (IPC) portfolio.</w:t>
            </w:r>
          </w:p>
          <w:p w14:paraId="6B02B0E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provided with a role-specific induction and orientation programme, and records were maintained in the sampled files to demonstrate completion. For newer staff, orientation was still in progress.</w:t>
            </w:r>
          </w:p>
          <w:p w14:paraId="614AB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were validated prior to employment and then checked and documented annually. A register of annual practising certificates (APCs) was maintained for RNs, in addition to associated health contractors including 22 nurse or general practitioners, a physiotherapist, a podiatrist, the pharmacists, and a dietitian. The license to operate the pharmacy is in the process of being renewed as per the email sighted. The driver licences for those driving the Wharerangi vehicles and associated van loading competencies were sighted. </w:t>
            </w:r>
          </w:p>
          <w:p w14:paraId="0A71CB97"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nine staff records reviewed confirmed the organisation’s policies were being implemented.  Staff performance was reviewed and discussed at least annually. Information held about staff was accurate, relevant, secure, stored, and archived confidentially. Electronic data was username- and password-protected. Information was available only to those authorised to use it. Ethnicity data was recorded and used in accordance with Health Information Standards Organisation (HISO) requirements.</w:t>
            </w:r>
          </w:p>
          <w:p w14:paraId="4A9C0804"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 External support would be accessed if required.</w:t>
            </w:r>
          </w:p>
          <w:p w14:paraId="5EEC6914" w14:textId="77777777" w:rsidR="00000000" w:rsidRPr="00BE00C7" w:rsidRDefault="00000000" w:rsidP="00BE00C7">
            <w:pPr>
              <w:pStyle w:val="OutcomeDescription"/>
              <w:spacing w:before="120" w:after="120"/>
              <w:rPr>
                <w:rFonts w:cs="Arial"/>
                <w:lang w:eastAsia="en-NZ"/>
              </w:rPr>
            </w:pPr>
          </w:p>
        </w:tc>
      </w:tr>
      <w:tr w:rsidR="001216A2" w14:paraId="73ABCA0A" w14:textId="77777777">
        <w:tc>
          <w:tcPr>
            <w:tcW w:w="0" w:type="auto"/>
          </w:tcPr>
          <w:p w14:paraId="335FB5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9C841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1280CFD4" w14:textId="77777777" w:rsidR="00000000" w:rsidRPr="00BE00C7" w:rsidRDefault="00000000" w:rsidP="00BE00C7">
            <w:pPr>
              <w:pStyle w:val="OutcomeDescription"/>
              <w:spacing w:before="120" w:after="120"/>
              <w:rPr>
                <w:rFonts w:cs="Arial"/>
                <w:lang w:eastAsia="en-NZ"/>
              </w:rPr>
            </w:pPr>
          </w:p>
        </w:tc>
        <w:tc>
          <w:tcPr>
            <w:tcW w:w="0" w:type="auto"/>
          </w:tcPr>
          <w:p w14:paraId="72B1A4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F8DED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 Clinical records, medication records, and interRAI assessments were electronic.  Staff had a unique login and password.</w:t>
            </w:r>
          </w:p>
          <w:p w14:paraId="1D8A83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Files were held securely onsite or by a third-party contractor for the required period before being destroyed. No personal or private resident information was on public display during the audit.</w:t>
            </w:r>
          </w:p>
          <w:p w14:paraId="65E1B1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E5D12ED" w14:textId="77777777" w:rsidR="00000000" w:rsidRPr="00BE00C7" w:rsidRDefault="00000000" w:rsidP="00BE00C7">
            <w:pPr>
              <w:pStyle w:val="OutcomeDescription"/>
              <w:spacing w:before="120" w:after="120"/>
              <w:rPr>
                <w:rFonts w:cs="Arial"/>
                <w:lang w:eastAsia="en-NZ"/>
              </w:rPr>
            </w:pPr>
          </w:p>
        </w:tc>
      </w:tr>
      <w:tr w:rsidR="001216A2" w14:paraId="28DFA307" w14:textId="77777777">
        <w:tc>
          <w:tcPr>
            <w:tcW w:w="0" w:type="auto"/>
          </w:tcPr>
          <w:p w14:paraId="2072C7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E5ACE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9E2242" w14:textId="77777777" w:rsidR="00000000" w:rsidRPr="00BE00C7" w:rsidRDefault="00000000" w:rsidP="00BE00C7">
            <w:pPr>
              <w:pStyle w:val="OutcomeDescription"/>
              <w:spacing w:before="120" w:after="120"/>
              <w:rPr>
                <w:rFonts w:cs="Arial"/>
                <w:lang w:eastAsia="en-NZ"/>
              </w:rPr>
            </w:pPr>
          </w:p>
        </w:tc>
        <w:tc>
          <w:tcPr>
            <w:tcW w:w="0" w:type="auto"/>
          </w:tcPr>
          <w:p w14:paraId="4994F7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E5B6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admission policy for the management of inquiries and entry to Wharerangi was in place. The admission pack contained information about entry to the service. The entry process met the needs of residents.  Whānau interviewed were satisfied with the admission process and the information that had been made available to them on admission. </w:t>
            </w:r>
          </w:p>
          <w:p w14:paraId="7195DC3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records reviewed met contractual obligation requirements, and all residents were admitted when their required level of care had been assessed and confirmed by the local Needs Assessment and Service Coordination (NASC) agency. Residents assessed as requiring secure dementia care level of care were admitted with specialist authorisation and consent from the EPOAs. Documents sighted verified that the EPOAs consented to referral and specialist services when required.</w:t>
            </w:r>
          </w:p>
          <w:p w14:paraId="1D2DA3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and monitored monthly. </w:t>
            </w:r>
          </w:p>
          <w:p w14:paraId="7AD947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 The facility can access support from Māori health practitioners, traditional healers, and other organisations by contacting the local Te Whatu Ora Māori health team if needed.</w:t>
            </w:r>
          </w:p>
          <w:p w14:paraId="7CA6DFAB" w14:textId="77777777" w:rsidR="00000000" w:rsidRPr="00BE00C7" w:rsidRDefault="00000000" w:rsidP="00BE00C7">
            <w:pPr>
              <w:pStyle w:val="OutcomeDescription"/>
              <w:spacing w:before="120" w:after="120"/>
              <w:rPr>
                <w:rFonts w:cs="Arial"/>
                <w:lang w:eastAsia="en-NZ"/>
              </w:rPr>
            </w:pPr>
          </w:p>
        </w:tc>
      </w:tr>
      <w:tr w:rsidR="001216A2" w14:paraId="739008E9" w14:textId="77777777">
        <w:tc>
          <w:tcPr>
            <w:tcW w:w="0" w:type="auto"/>
          </w:tcPr>
          <w:p w14:paraId="267DF9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9D648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3CA26D4D" w14:textId="77777777" w:rsidR="00000000" w:rsidRPr="00BE00C7" w:rsidRDefault="00000000" w:rsidP="00BE00C7">
            <w:pPr>
              <w:pStyle w:val="OutcomeDescription"/>
              <w:spacing w:before="120" w:after="120"/>
              <w:rPr>
                <w:rFonts w:cs="Arial"/>
                <w:lang w:eastAsia="en-NZ"/>
              </w:rPr>
            </w:pPr>
          </w:p>
        </w:tc>
        <w:tc>
          <w:tcPr>
            <w:tcW w:w="0" w:type="auto"/>
          </w:tcPr>
          <w:p w14:paraId="3E47FD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C8E8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w:t>
            </w:r>
            <w:r w:rsidRPr="00BE00C7">
              <w:rPr>
                <w:rFonts w:cs="Arial"/>
                <w:lang w:eastAsia="en-NZ"/>
              </w:rPr>
              <w:lastRenderedPageBreak/>
              <w:t xml:space="preserve">signs and risks, with a focus on prevention or escalation for appropriate interventions, are recorded. </w:t>
            </w:r>
          </w:p>
          <w:p w14:paraId="388FADA4"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nurse practitioner assessment, initial care plan, long-term care plan, and review timeframes meet contractual requirements.  Staff understand and support Māori and whānau to identify their own pae ora outcomes in their care plan. This was verified by sampling residents’ records, and from interviews of clinical staff, people receiving services and whānau.</w:t>
            </w:r>
          </w:p>
          <w:p w14:paraId="7B053CD3"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Resident files reviewed for behaviour management plans included triggers and interventions for behaviours.</w:t>
            </w:r>
          </w:p>
          <w:p w14:paraId="12FB59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reflects the partnership and support of residents, and the extended whānau as applicable, to support wellbeing. Tikanga principles are included in the Māori health plan based on Te Whare Tapa Whā model of care. Any barriers that prevent tāngata whaikaha and whānau from independently accessing information or services are identified, and strategies to manage these are documented. This includes residents with a disability. The staff confirmed they understood the process to support residents and whānau.   </w:t>
            </w:r>
          </w:p>
          <w:p w14:paraId="550673A9" w14:textId="7436E919" w:rsidR="00000000" w:rsidRPr="00BE00C7" w:rsidRDefault="00000000" w:rsidP="00B25574">
            <w:pPr>
              <w:pStyle w:val="OutcomeDescription"/>
              <w:spacing w:before="120" w:after="120"/>
              <w:rPr>
                <w:rFonts w:cs="Arial"/>
                <w:lang w:eastAsia="en-NZ"/>
              </w:rPr>
            </w:pPr>
          </w:p>
        </w:tc>
      </w:tr>
      <w:tr w:rsidR="001216A2" w14:paraId="0E4E9968" w14:textId="77777777">
        <w:tc>
          <w:tcPr>
            <w:tcW w:w="0" w:type="auto"/>
          </w:tcPr>
          <w:p w14:paraId="77B2CF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1D9C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w:t>
            </w:r>
            <w:r w:rsidRPr="00BE00C7">
              <w:rPr>
                <w:rFonts w:cs="Arial"/>
                <w:lang w:eastAsia="en-NZ"/>
              </w:rPr>
              <w:lastRenderedPageBreak/>
              <w:t>suitable for their age and stage and are satisfying to them.</w:t>
            </w:r>
          </w:p>
          <w:p w14:paraId="3A8C188D" w14:textId="77777777" w:rsidR="00000000" w:rsidRPr="00BE00C7" w:rsidRDefault="00000000" w:rsidP="00BE00C7">
            <w:pPr>
              <w:pStyle w:val="OutcomeDescription"/>
              <w:spacing w:before="120" w:after="120"/>
              <w:rPr>
                <w:rFonts w:cs="Arial"/>
                <w:lang w:eastAsia="en-NZ"/>
              </w:rPr>
            </w:pPr>
          </w:p>
        </w:tc>
        <w:tc>
          <w:tcPr>
            <w:tcW w:w="0" w:type="auto"/>
          </w:tcPr>
          <w:p w14:paraId="2B96BD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E44D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was suitable for their age and stage of life.  The activities coordinator has only been in the role for three months. The role is overseen by a diversional therapist from another Oceania site. The activities coordinator is planning to enrol in the diversional therapy training next year. Another staff member is also part of the activities team. Group and one-on-one activities are available for residents. </w:t>
            </w:r>
          </w:p>
          <w:p w14:paraId="616BCB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Activity assessments and plans identify individual interests and consider the person’s identity. Individual and group activities reflected residents’ goals, interests, and ordinary patterns of life, and included regular community activities such as shopping, sightseeing in the region, and visiting places of interest. A social life history assessment, detailing resident’s life history, is completed within the first two weeks of admission in consultation with the resident and their whānau. In the dementia care service, a 24/7 approach to activities is available and includes aspects of the resident’s life and past routines. Religious beliefs and cultural days are also celebrated. Opportunities for Māori and whānau to participate in te ao Māori are facilitated. Community initiatives meet the needs of Māori.</w:t>
            </w:r>
          </w:p>
          <w:p w14:paraId="7F718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van is available for planned community outings. </w:t>
            </w:r>
          </w:p>
          <w:p w14:paraId="41398193"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annual surveys. Residents and whanau interviewed, including those with an EPOA, confirmed the programme meets the needs of each resident, and that whānau always feel welcome to join in activities, if they can.  Those interviewed confirmed they find the programme meets their needs.</w:t>
            </w:r>
          </w:p>
          <w:p w14:paraId="562CC356" w14:textId="77777777" w:rsidR="00000000" w:rsidRPr="00BE00C7" w:rsidRDefault="00000000" w:rsidP="00BE00C7">
            <w:pPr>
              <w:pStyle w:val="OutcomeDescription"/>
              <w:spacing w:before="120" w:after="120"/>
              <w:rPr>
                <w:rFonts w:cs="Arial"/>
                <w:lang w:eastAsia="en-NZ"/>
              </w:rPr>
            </w:pPr>
          </w:p>
        </w:tc>
      </w:tr>
      <w:tr w:rsidR="001216A2" w14:paraId="2CC3DD15" w14:textId="77777777">
        <w:tc>
          <w:tcPr>
            <w:tcW w:w="0" w:type="auto"/>
          </w:tcPr>
          <w:p w14:paraId="785FD2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F0CB0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4DFC667" w14:textId="77777777" w:rsidR="00000000" w:rsidRPr="00BE00C7" w:rsidRDefault="00000000" w:rsidP="00BE00C7">
            <w:pPr>
              <w:pStyle w:val="OutcomeDescription"/>
              <w:spacing w:before="120" w:after="120"/>
              <w:rPr>
                <w:rFonts w:cs="Arial"/>
                <w:lang w:eastAsia="en-NZ"/>
              </w:rPr>
            </w:pPr>
          </w:p>
        </w:tc>
        <w:tc>
          <w:tcPr>
            <w:tcW w:w="0" w:type="auto"/>
          </w:tcPr>
          <w:p w14:paraId="47CB62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7D06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37809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B7A97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weekly and six-monthly and accurate records were maintained.  Medicines stored were within the recommended temperature range. </w:t>
            </w:r>
          </w:p>
          <w:p w14:paraId="0910F9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w:t>
            </w:r>
            <w:r w:rsidRPr="00BE00C7">
              <w:rPr>
                <w:rFonts w:cs="Arial"/>
                <w:lang w:eastAsia="en-NZ"/>
              </w:rPr>
              <w:lastRenderedPageBreak/>
              <w:t xml:space="preserve">required three-monthly NP review was consistently recorded on the medicine chart.  Standing orders are not used. </w:t>
            </w:r>
          </w:p>
          <w:p w14:paraId="6B477F6B" w14:textId="77777777" w:rsidR="00000000" w:rsidRPr="00BE00C7" w:rsidRDefault="00000000" w:rsidP="00BE00C7">
            <w:pPr>
              <w:pStyle w:val="OutcomeDescription"/>
              <w:spacing w:before="120" w:after="120"/>
              <w:rPr>
                <w:rFonts w:cs="Arial"/>
                <w:lang w:eastAsia="en-NZ"/>
              </w:rPr>
            </w:pPr>
            <w:r w:rsidRPr="00BE00C7">
              <w:rPr>
                <w:rFonts w:cs="Arial"/>
                <w:lang w:eastAsia="en-NZ"/>
              </w:rPr>
              <w:t>A system is in place for returning expired or unwanted medicines to the contracted pharmacy. When able, medication management education is provided by the pharmacist.</w:t>
            </w:r>
          </w:p>
          <w:p w14:paraId="30F02BB3"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as needed. No residents were self-administering medicines on the day of the audit.  Residents, including Māori residents and their whānau, are supported to understand their medications. Where there are difficulties accessing medications, this is identified, and support provided.</w:t>
            </w:r>
          </w:p>
          <w:p w14:paraId="08C94760" w14:textId="77777777" w:rsidR="00000000" w:rsidRPr="00BE00C7" w:rsidRDefault="00000000" w:rsidP="00BE00C7">
            <w:pPr>
              <w:pStyle w:val="OutcomeDescription"/>
              <w:spacing w:before="120" w:after="120"/>
              <w:rPr>
                <w:rFonts w:cs="Arial"/>
                <w:lang w:eastAsia="en-NZ"/>
              </w:rPr>
            </w:pPr>
          </w:p>
        </w:tc>
      </w:tr>
      <w:tr w:rsidR="001216A2" w14:paraId="48F5A968" w14:textId="77777777">
        <w:tc>
          <w:tcPr>
            <w:tcW w:w="0" w:type="auto"/>
          </w:tcPr>
          <w:p w14:paraId="710532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F785A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3F16CC" w14:textId="77777777" w:rsidR="00000000" w:rsidRPr="00BE00C7" w:rsidRDefault="00000000" w:rsidP="00BE00C7">
            <w:pPr>
              <w:pStyle w:val="OutcomeDescription"/>
              <w:spacing w:before="120" w:after="120"/>
              <w:rPr>
                <w:rFonts w:cs="Arial"/>
                <w:lang w:eastAsia="en-NZ"/>
              </w:rPr>
            </w:pPr>
          </w:p>
        </w:tc>
        <w:tc>
          <w:tcPr>
            <w:tcW w:w="0" w:type="auto"/>
          </w:tcPr>
          <w:p w14:paraId="4A5A8B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9BA7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within the last two years.  Recommendations made at that time have been implemented. The chef and cook were interviewed. </w:t>
            </w:r>
          </w:p>
          <w:p w14:paraId="0479AAF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The food control plan expires on 28 March 2026.</w:t>
            </w:r>
          </w:p>
          <w:p w14:paraId="4AA1A9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well planned and was observed to be clean, tidy and well stocked. Regular cleaning is undertaken, cleaning schedules were displayed, and all services comply with legislation and guidelines. Labels and dates were on all food containers. Spare food is available for emergencies that may arise and is checked regularly.</w:t>
            </w:r>
          </w:p>
          <w:p w14:paraId="36E76B1F"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 Additional food is available for the dementia care service 24/7 to meet the needs of residents.</w:t>
            </w:r>
          </w:p>
          <w:p w14:paraId="67056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involved in some food preparation as part of the activities programme as deemed appropriate for the activity being completed.  </w:t>
            </w:r>
          </w:p>
          <w:p w14:paraId="545F5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and whānau interviews, satisfaction surveys and resident meeting </w:t>
            </w:r>
            <w:r w:rsidRPr="00BE00C7">
              <w:rPr>
                <w:rFonts w:cs="Arial"/>
                <w:lang w:eastAsia="en-NZ"/>
              </w:rPr>
              <w:lastRenderedPageBreak/>
              <w:t>minutes. Residents were given sufficient time to eat their meals in an unhurried fashion, and those requiring assistance had this provided with dignity.</w:t>
            </w:r>
          </w:p>
          <w:p w14:paraId="68D18559" w14:textId="77777777" w:rsidR="00000000" w:rsidRPr="00BE00C7" w:rsidRDefault="00000000" w:rsidP="00BE00C7">
            <w:pPr>
              <w:pStyle w:val="OutcomeDescription"/>
              <w:spacing w:before="120" w:after="120"/>
              <w:rPr>
                <w:rFonts w:cs="Arial"/>
                <w:lang w:eastAsia="en-NZ"/>
              </w:rPr>
            </w:pPr>
          </w:p>
        </w:tc>
      </w:tr>
      <w:tr w:rsidR="001216A2" w14:paraId="3590DE39" w14:textId="77777777">
        <w:tc>
          <w:tcPr>
            <w:tcW w:w="0" w:type="auto"/>
          </w:tcPr>
          <w:p w14:paraId="1370E1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C7C9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23B5E59" w14:textId="77777777" w:rsidR="00000000" w:rsidRPr="00BE00C7" w:rsidRDefault="00000000" w:rsidP="00BE00C7">
            <w:pPr>
              <w:pStyle w:val="OutcomeDescription"/>
              <w:spacing w:before="120" w:after="120"/>
              <w:rPr>
                <w:rFonts w:cs="Arial"/>
                <w:lang w:eastAsia="en-NZ"/>
              </w:rPr>
            </w:pPr>
          </w:p>
        </w:tc>
        <w:tc>
          <w:tcPr>
            <w:tcW w:w="0" w:type="auto"/>
          </w:tcPr>
          <w:p w14:paraId="3A9F3C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EE1360"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 The yellow envelope system was used if a resident was transferred to the local rural hospital or to the Te Whatu Ora – Lakes Hospital in Rotorua.</w:t>
            </w:r>
          </w:p>
          <w:p w14:paraId="0D69F962" w14:textId="77777777" w:rsidR="00000000" w:rsidRPr="00BE00C7" w:rsidRDefault="00000000" w:rsidP="00BE00C7">
            <w:pPr>
              <w:pStyle w:val="OutcomeDescription"/>
              <w:spacing w:before="120" w:after="120"/>
              <w:rPr>
                <w:rFonts w:cs="Arial"/>
                <w:lang w:eastAsia="en-NZ"/>
              </w:rPr>
            </w:pPr>
          </w:p>
        </w:tc>
      </w:tr>
      <w:tr w:rsidR="001216A2" w14:paraId="485EBB3C" w14:textId="77777777">
        <w:tc>
          <w:tcPr>
            <w:tcW w:w="0" w:type="auto"/>
          </w:tcPr>
          <w:p w14:paraId="11A9FE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18EE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1BEC49F" w14:textId="77777777" w:rsidR="00000000" w:rsidRPr="00BE00C7" w:rsidRDefault="00000000" w:rsidP="00BE00C7">
            <w:pPr>
              <w:pStyle w:val="OutcomeDescription"/>
              <w:spacing w:before="120" w:after="120"/>
              <w:rPr>
                <w:rFonts w:cs="Arial"/>
                <w:lang w:eastAsia="en-NZ"/>
              </w:rPr>
            </w:pPr>
          </w:p>
        </w:tc>
        <w:tc>
          <w:tcPr>
            <w:tcW w:w="0" w:type="auto"/>
          </w:tcPr>
          <w:p w14:paraId="2E89BF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7C1D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physical environment and facilities (internal and external) were fit for their purpose, well maintained, and that they met legislative requirements. External areas have shade. There was a current building warrant of fitness (expiry 31 May 2026). Clinical equipment had current clinical validation/performance monitoring.  Electrical testing and tagging of electrical equipment had occurred, with processes in place for staff to log any resident personal items that require testing. </w:t>
            </w:r>
          </w:p>
          <w:p w14:paraId="3591EEDD"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was tested monthly, and remedial action taken when the water temperature was outside of the required temperature range. Call bells were tested monthly. The facility van had a current registration and warrant of fitness.</w:t>
            </w:r>
          </w:p>
          <w:p w14:paraId="3A8576D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bedrooms are single occupancy. Six bedrooms have an ensuite bathroom. None of the rooms are certified for couples.</w:t>
            </w:r>
          </w:p>
          <w:p w14:paraId="2D2C04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This included appropriate relaxation, activity, lounge and dining areas in the </w:t>
            </w:r>
            <w:r w:rsidRPr="00BE00C7">
              <w:rPr>
                <w:rFonts w:cs="Arial"/>
                <w:lang w:eastAsia="en-NZ"/>
              </w:rPr>
              <w:lastRenderedPageBreak/>
              <w:t>rest home/hospital and the secure dementia unit.  There is a designated courtyard area and walking path for clients in the secure dementia unit. This environment had been reviewed and mitigation strategies implemented following a resident absconding.</w:t>
            </w:r>
          </w:p>
          <w:p w14:paraId="0CAD9F52"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bedrooms in the rest home/hospital area have a ranch slider door that opens to a courtyard area. Personalised equipment was available for residents with disabilities to meet their needs. There were adequate numbers of accessible bathroom and toilet facilities throughout the facility.</w:t>
            </w:r>
          </w:p>
          <w:p w14:paraId="7BC5B9B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Heating is via a combination of underfloor heating, heat pumps, and high wall-mounted heating in bathroom areas.</w:t>
            </w:r>
          </w:p>
          <w:p w14:paraId="6B73AD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general manager (GM) was aware of the requirement to ensure that, when new buildings are being designed, consultation and co-design occur to ensure the facility reflects the aspirations and identity of Māori.</w:t>
            </w:r>
          </w:p>
          <w:p w14:paraId="4FD8B9DA" w14:textId="77777777" w:rsidR="00000000" w:rsidRPr="00BE00C7" w:rsidRDefault="00000000" w:rsidP="00BE00C7">
            <w:pPr>
              <w:pStyle w:val="OutcomeDescription"/>
              <w:spacing w:before="120" w:after="120"/>
              <w:rPr>
                <w:rFonts w:cs="Arial"/>
                <w:lang w:eastAsia="en-NZ"/>
              </w:rPr>
            </w:pPr>
          </w:p>
        </w:tc>
      </w:tr>
      <w:tr w:rsidR="001216A2" w14:paraId="0EFD0560" w14:textId="77777777">
        <w:tc>
          <w:tcPr>
            <w:tcW w:w="0" w:type="auto"/>
          </w:tcPr>
          <w:p w14:paraId="7541BA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5AAE1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78DE919" w14:textId="77777777" w:rsidR="00000000" w:rsidRPr="00BE00C7" w:rsidRDefault="00000000" w:rsidP="00BE00C7">
            <w:pPr>
              <w:pStyle w:val="OutcomeDescription"/>
              <w:spacing w:before="120" w:after="120"/>
              <w:rPr>
                <w:rFonts w:cs="Arial"/>
                <w:lang w:eastAsia="en-NZ"/>
              </w:rPr>
            </w:pPr>
          </w:p>
        </w:tc>
        <w:tc>
          <w:tcPr>
            <w:tcW w:w="0" w:type="auto"/>
          </w:tcPr>
          <w:p w14:paraId="5A3424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78439A"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policies and ‘flipchart’s direct the facility in its preparation for disasters and describe the procedures to be followed. Staff have received relevant information and training and have equipment to respond to emergency and security situations. Staff interviewed knew what to do in an emergency. The fire evacuation plan was approved by Fire and Emergency New Zealand (FENZ) on 2 October 2009 (EVACP04013-09). The most recent fire evacuation was undertaken on 10 July 2025. This was not a drill, but the event occurred in response to a faulty alarm. The FENZ service attended this alarm.</w:t>
            </w:r>
          </w:p>
          <w:p w14:paraId="29C63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This included emergency water supplies and a gas cooker. There is a national contract in place with a generator rental service in the event a generator is required. Oceania Care Group has been reviewing national arrangements in the event of a civil emergency/power outage. The proposed plan for Oceania Taupō-based ARRC services </w:t>
            </w:r>
            <w:r w:rsidRPr="00BE00C7">
              <w:rPr>
                <w:rFonts w:cs="Arial"/>
                <w:lang w:eastAsia="en-NZ"/>
              </w:rPr>
              <w:lastRenderedPageBreak/>
              <w:t>was sighted and will improve resilience. There were clear emergency response processes for residents in the secure dementia unit.</w:t>
            </w:r>
          </w:p>
          <w:p w14:paraId="35862D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can provide a level of first aid relevant to the types of risk for the type of service provided. Twenty-eight staff, including RNs, activities staff, reception, maintenance, kitchen, and designated health care assistant staff had current first aid certification. Other applicable staff had been booked to attend this training.</w:t>
            </w:r>
          </w:p>
          <w:p w14:paraId="778BD31F"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responded promptly to call bells. There is an escalation process if call bells are not answered in appropriate timeframes, with alerts to the CM, then different regional and national managers in a cascade process based on waiting time.</w:t>
            </w:r>
          </w:p>
          <w:p w14:paraId="4A2F4DB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There have been additional security cameras installed both inside and outside the building, including the secure dementia unit garden area. Security cameras monitor public areas only. The GM and CM have access to archive images. Staff working in the secure dementia unit have a personal pendant that they wear. This enables staff to seek additional staff support if and when required.</w:t>
            </w:r>
          </w:p>
          <w:p w14:paraId="13C620B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familiarised with emergency and security arrangements, as and when required. There is an intercom at the front entrance that facilitates staff verifying visitor identification after hours before opening the doors. Signage alerts that security cameras are in use.</w:t>
            </w:r>
          </w:p>
          <w:p w14:paraId="32E17973" w14:textId="77777777" w:rsidR="00000000" w:rsidRPr="00BE00C7" w:rsidRDefault="00000000" w:rsidP="00BE00C7">
            <w:pPr>
              <w:pStyle w:val="OutcomeDescription"/>
              <w:spacing w:before="120" w:after="120"/>
              <w:rPr>
                <w:rFonts w:cs="Arial"/>
                <w:lang w:eastAsia="en-NZ"/>
              </w:rPr>
            </w:pPr>
          </w:p>
        </w:tc>
      </w:tr>
      <w:tr w:rsidR="001216A2" w14:paraId="09302A4A" w14:textId="77777777">
        <w:tc>
          <w:tcPr>
            <w:tcW w:w="0" w:type="auto"/>
          </w:tcPr>
          <w:p w14:paraId="1BC3EA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5F994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12C5F27F" w14:textId="77777777" w:rsidR="00000000" w:rsidRPr="00BE00C7" w:rsidRDefault="00000000" w:rsidP="00BE00C7">
            <w:pPr>
              <w:pStyle w:val="OutcomeDescription"/>
              <w:spacing w:before="120" w:after="120"/>
              <w:rPr>
                <w:rFonts w:cs="Arial"/>
                <w:lang w:eastAsia="en-NZ"/>
              </w:rPr>
            </w:pPr>
          </w:p>
        </w:tc>
        <w:tc>
          <w:tcPr>
            <w:tcW w:w="0" w:type="auto"/>
          </w:tcPr>
          <w:p w14:paraId="4EF4A7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D885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national clinical quality manager, who oversees all clinical issues across Oceania.</w:t>
            </w:r>
          </w:p>
          <w:p w14:paraId="7F92E6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Wharerangi has IP and AMS outlined in its policy documents. Oceania </w:t>
            </w:r>
            <w:r w:rsidRPr="00BE00C7">
              <w:rPr>
                <w:rFonts w:cs="Arial"/>
                <w:lang w:eastAsia="en-NZ"/>
              </w:rPr>
              <w:lastRenderedPageBreak/>
              <w:t>collects data on infections and antibiotic use and includes ethnicity data: this is analysed at facility, regional, and national level to support equity in the service across the wider Oceania group. Infection prevention and AMS activities are supported at governance level through clinically competent specialist personnel who make sure that IP and AMS are being appropriately managed at the facility level, and to support facilities as required.</w:t>
            </w:r>
          </w:p>
          <w:p w14:paraId="41AF85C0"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were sought as required following a defined process and included escalation of significant events. Infection prevention and AMS information was discussed at facility level, at clinical governance steering group meetings, and was reported to the board at board meetings.</w:t>
            </w:r>
          </w:p>
          <w:p w14:paraId="05AAEC19" w14:textId="77777777" w:rsidR="00000000" w:rsidRPr="00BE00C7" w:rsidRDefault="00000000" w:rsidP="00BE00C7">
            <w:pPr>
              <w:pStyle w:val="OutcomeDescription"/>
              <w:spacing w:before="120" w:after="120"/>
              <w:rPr>
                <w:rFonts w:cs="Arial"/>
                <w:lang w:eastAsia="en-NZ"/>
              </w:rPr>
            </w:pPr>
          </w:p>
        </w:tc>
      </w:tr>
      <w:tr w:rsidR="001216A2" w14:paraId="6213BEF7" w14:textId="77777777">
        <w:tc>
          <w:tcPr>
            <w:tcW w:w="0" w:type="auto"/>
          </w:tcPr>
          <w:p w14:paraId="17D31C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90C1A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05D00D7" w14:textId="77777777" w:rsidR="00000000" w:rsidRPr="00BE00C7" w:rsidRDefault="00000000" w:rsidP="00BE00C7">
            <w:pPr>
              <w:pStyle w:val="OutcomeDescription"/>
              <w:spacing w:before="120" w:after="120"/>
              <w:rPr>
                <w:rFonts w:cs="Arial"/>
                <w:lang w:eastAsia="en-NZ"/>
              </w:rPr>
            </w:pPr>
          </w:p>
        </w:tc>
        <w:tc>
          <w:tcPr>
            <w:tcW w:w="0" w:type="auto"/>
          </w:tcPr>
          <w:p w14:paraId="0AF5E6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952D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w:t>
            </w:r>
          </w:p>
          <w:p w14:paraId="74080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736C2A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17AF83AD"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 The last outbreak was reported in July 2025.</w:t>
            </w:r>
          </w:p>
          <w:p w14:paraId="435B4B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appropriately </w:t>
            </w:r>
            <w:r w:rsidRPr="00BE00C7">
              <w:rPr>
                <w:rFonts w:cs="Arial"/>
                <w:lang w:eastAsia="en-NZ"/>
              </w:rPr>
              <w:lastRenderedPageBreak/>
              <w:t>decontaminated and reprocessed. The process is audited to maintain good practice. Single-use medical devices are used following a risk assessment process and agreement from the governing body.</w:t>
            </w:r>
          </w:p>
          <w:p w14:paraId="206E59E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delivery, cleaning and laundry, and kitchen staff were observed following appropriate infection prevention practices, such as appropriate use of hand sanitisers, good handwashing technique, and use of disposable aprons and gloves. Handwashing and sanitiser dispensers were readily accessible around the facility.</w:t>
            </w:r>
          </w:p>
          <w:p w14:paraId="447BF285" w14:textId="77777777" w:rsidR="00000000" w:rsidRPr="00BE00C7" w:rsidRDefault="00000000" w:rsidP="00BE00C7">
            <w:pPr>
              <w:pStyle w:val="OutcomeDescription"/>
              <w:spacing w:before="120" w:after="120"/>
              <w:rPr>
                <w:rFonts w:cs="Arial"/>
                <w:lang w:eastAsia="en-NZ"/>
              </w:rPr>
            </w:pPr>
          </w:p>
        </w:tc>
      </w:tr>
      <w:tr w:rsidR="001216A2" w14:paraId="1900A48A" w14:textId="77777777">
        <w:tc>
          <w:tcPr>
            <w:tcW w:w="0" w:type="auto"/>
          </w:tcPr>
          <w:p w14:paraId="2A9204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EB3B1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EB0890F" w14:textId="77777777" w:rsidR="00000000" w:rsidRPr="00BE00C7" w:rsidRDefault="00000000" w:rsidP="00BE00C7">
            <w:pPr>
              <w:pStyle w:val="OutcomeDescription"/>
              <w:spacing w:before="120" w:after="120"/>
              <w:rPr>
                <w:rFonts w:cs="Arial"/>
                <w:lang w:eastAsia="en-NZ"/>
              </w:rPr>
            </w:pPr>
          </w:p>
        </w:tc>
        <w:tc>
          <w:tcPr>
            <w:tcW w:w="0" w:type="auto"/>
          </w:tcPr>
          <w:p w14:paraId="2586B5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EBF5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66244890" w14:textId="77777777" w:rsidR="00000000" w:rsidRPr="00BE00C7" w:rsidRDefault="00000000" w:rsidP="00BE00C7">
            <w:pPr>
              <w:pStyle w:val="OutcomeDescription"/>
              <w:spacing w:before="120" w:after="120"/>
              <w:rPr>
                <w:rFonts w:cs="Arial"/>
                <w:lang w:eastAsia="en-NZ"/>
              </w:rPr>
            </w:pPr>
          </w:p>
        </w:tc>
      </w:tr>
      <w:tr w:rsidR="001216A2" w14:paraId="615528FF" w14:textId="77777777">
        <w:tc>
          <w:tcPr>
            <w:tcW w:w="0" w:type="auto"/>
          </w:tcPr>
          <w:p w14:paraId="48B50F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50DA7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DFC94B" w14:textId="77777777" w:rsidR="00000000" w:rsidRPr="00BE00C7" w:rsidRDefault="00000000" w:rsidP="00BE00C7">
            <w:pPr>
              <w:pStyle w:val="OutcomeDescription"/>
              <w:spacing w:before="120" w:after="120"/>
              <w:rPr>
                <w:rFonts w:cs="Arial"/>
                <w:lang w:eastAsia="en-NZ"/>
              </w:rPr>
            </w:pPr>
          </w:p>
        </w:tc>
        <w:tc>
          <w:tcPr>
            <w:tcW w:w="0" w:type="auto"/>
          </w:tcPr>
          <w:p w14:paraId="3F3A1C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5FC9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w:t>
            </w:r>
          </w:p>
          <w:p w14:paraId="7CB47FB5"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have now been incorporated into practice.</w:t>
            </w:r>
          </w:p>
          <w:p w14:paraId="339438D8"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58557422" w14:textId="77777777" w:rsidR="00000000" w:rsidRPr="00BE00C7" w:rsidRDefault="00000000" w:rsidP="00BE00C7">
            <w:pPr>
              <w:pStyle w:val="OutcomeDescription"/>
              <w:spacing w:before="120" w:after="120"/>
              <w:rPr>
                <w:rFonts w:cs="Arial"/>
                <w:lang w:eastAsia="en-NZ"/>
              </w:rPr>
            </w:pPr>
          </w:p>
        </w:tc>
      </w:tr>
      <w:tr w:rsidR="001216A2" w14:paraId="6433BDEE" w14:textId="77777777">
        <w:tc>
          <w:tcPr>
            <w:tcW w:w="0" w:type="auto"/>
          </w:tcPr>
          <w:p w14:paraId="1B12A7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59DF8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8629575" w14:textId="77777777" w:rsidR="00000000" w:rsidRPr="00BE00C7" w:rsidRDefault="00000000" w:rsidP="00BE00C7">
            <w:pPr>
              <w:pStyle w:val="OutcomeDescription"/>
              <w:spacing w:before="120" w:after="120"/>
              <w:rPr>
                <w:rFonts w:cs="Arial"/>
                <w:lang w:eastAsia="en-NZ"/>
              </w:rPr>
            </w:pPr>
          </w:p>
        </w:tc>
        <w:tc>
          <w:tcPr>
            <w:tcW w:w="0" w:type="auto"/>
          </w:tcPr>
          <w:p w14:paraId="490C4D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FF15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0FF769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21A2AA2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7865607E" w14:textId="77777777" w:rsidR="00000000" w:rsidRPr="00BE00C7" w:rsidRDefault="00000000" w:rsidP="00BE00C7">
            <w:pPr>
              <w:pStyle w:val="OutcomeDescription"/>
              <w:spacing w:before="120" w:after="120"/>
              <w:rPr>
                <w:rFonts w:cs="Arial"/>
                <w:lang w:eastAsia="en-NZ"/>
              </w:rPr>
            </w:pPr>
          </w:p>
        </w:tc>
      </w:tr>
      <w:tr w:rsidR="001216A2" w14:paraId="58752E98" w14:textId="77777777">
        <w:tc>
          <w:tcPr>
            <w:tcW w:w="0" w:type="auto"/>
          </w:tcPr>
          <w:p w14:paraId="300A2C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15BF5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FF6D46D" w14:textId="77777777" w:rsidR="00000000" w:rsidRPr="00BE00C7" w:rsidRDefault="00000000" w:rsidP="00BE00C7">
            <w:pPr>
              <w:pStyle w:val="OutcomeDescription"/>
              <w:spacing w:before="120" w:after="120"/>
              <w:rPr>
                <w:rFonts w:cs="Arial"/>
                <w:lang w:eastAsia="en-NZ"/>
              </w:rPr>
            </w:pPr>
          </w:p>
        </w:tc>
        <w:tc>
          <w:tcPr>
            <w:tcW w:w="0" w:type="auto"/>
          </w:tcPr>
          <w:p w14:paraId="0B4024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B4DBDF"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focus on restraint elimination across all its facilities. The board is fully supportive of this approach. Restraint device use across all Oceania ARRC services, including Wharerangi, was monitored and reported on quarterly. Data was benchmarked anonymously with other designated national ARRC providers, and the summary document was sighted. The NCQM Central is responsible for restraint elimination oversight at a national level.  At the time of audit, no residents were using a restraint at Wharerangi.  Wharerangi has been restraint-free for approximately five months, as noted in resident records sighted and confirmed by staff and managers interviewed.</w:t>
            </w:r>
          </w:p>
          <w:p w14:paraId="5363D43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(March 2025) met the requirements of the standards. The restraint coordinator (RC) is a defined role undertaken by a senior RN, who provides support and oversight for restraint use. There was a job description that outlined the role, and the RC has had specific education around restraint and its use. Competencies for staff in least restrictive practice, safe restraint practice, alternative cultural-specific interventions, de-escalation techniques, and restraint monitoring had been completed. Restraint protocols were also covered in the orientation programme of the facility.</w:t>
            </w:r>
          </w:p>
          <w:p w14:paraId="37D183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RC, in consultation with the Wharerangi multidisciplinary team, was responsible for the approval of the use of restraints; there were clear </w:t>
            </w:r>
            <w:r w:rsidRPr="00BE00C7">
              <w:rPr>
                <w:rFonts w:cs="Arial"/>
                <w:lang w:eastAsia="en-NZ"/>
              </w:rPr>
              <w:lastRenderedPageBreak/>
              <w:t>lines of accountability. For any decision to use or not use restraint, there was a process to involve the nurse or general practitioner, the resident, and their EPOA and/or whānau as part of the decision-making process.</w:t>
            </w:r>
          </w:p>
          <w:p w14:paraId="7BA3E67D"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focus on identifying alternative interventions and clearly outlined the strategies to be used to prevent restraint being required. Any changes to policies, guidelines, education or processes were implemented if indicated.</w:t>
            </w:r>
          </w:p>
          <w:p w14:paraId="59CE3FDF" w14:textId="77777777" w:rsidR="00000000" w:rsidRPr="00BE00C7" w:rsidRDefault="00000000" w:rsidP="00BE00C7">
            <w:pPr>
              <w:pStyle w:val="OutcomeDescription"/>
              <w:spacing w:before="120" w:after="120"/>
              <w:rPr>
                <w:rFonts w:cs="Arial"/>
                <w:lang w:eastAsia="en-NZ"/>
              </w:rPr>
            </w:pPr>
          </w:p>
        </w:tc>
      </w:tr>
      <w:tr w:rsidR="001216A2" w14:paraId="2104BBAD" w14:textId="77777777">
        <w:tc>
          <w:tcPr>
            <w:tcW w:w="0" w:type="auto"/>
          </w:tcPr>
          <w:p w14:paraId="22895C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0AA40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11B851B" w14:textId="77777777" w:rsidR="00000000" w:rsidRPr="00BE00C7" w:rsidRDefault="00000000" w:rsidP="00BE00C7">
            <w:pPr>
              <w:pStyle w:val="OutcomeDescription"/>
              <w:spacing w:before="120" w:after="120"/>
              <w:rPr>
                <w:rFonts w:cs="Arial"/>
                <w:lang w:eastAsia="en-NZ"/>
              </w:rPr>
            </w:pPr>
          </w:p>
        </w:tc>
        <w:tc>
          <w:tcPr>
            <w:tcW w:w="0" w:type="auto"/>
          </w:tcPr>
          <w:p w14:paraId="27CE44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357768"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restraint was used, this was as a last resort when all alternatives had been explored. Assessments for the use of restraint and monitoring were documented and included all requirements of the Standard. Whānau, the RC, a RN, and the resident's general practitioner were involved in decision-making, with written consent signed by all four persons. Processes were in place for the regular evaluation of restraint use. The evaluation process includes elements required to meet the standards.</w:t>
            </w:r>
          </w:p>
          <w:p w14:paraId="31329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was overseen by the RC and the registered nursing team and took into consideration the person’s cultural, physical, psychological and psychosocial needs, and addressed wairuatanga. </w:t>
            </w:r>
          </w:p>
          <w:p w14:paraId="7D5B83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meets two-monthly, includes a range of different staff roles/perspectives, and ensures that restraint is only used as a last resort. A restraint register was maintained and reviewed at each restraint approval group meeting. The register contained enough information to provide an auditable record including all requirements of the standard.</w:t>
            </w:r>
          </w:p>
          <w:p w14:paraId="3ACB8E55" w14:textId="77777777" w:rsidR="00000000" w:rsidRPr="00BE00C7" w:rsidRDefault="00000000" w:rsidP="00BE00C7">
            <w:pPr>
              <w:pStyle w:val="OutcomeDescription"/>
              <w:spacing w:before="120" w:after="120"/>
              <w:rPr>
                <w:rFonts w:cs="Arial"/>
                <w:lang w:eastAsia="en-NZ"/>
              </w:rPr>
            </w:pPr>
            <w:r w:rsidRPr="00BE00C7">
              <w:rPr>
                <w:rFonts w:cs="Arial"/>
                <w:lang w:eastAsia="en-NZ"/>
              </w:rPr>
              <w:t>A person-centred debrief would follow any episode of emergency restraint, using the most appropriate member of the workforce to do so. No emergency restraint had been used.</w:t>
            </w:r>
          </w:p>
          <w:p w14:paraId="2E201CFC" w14:textId="77777777" w:rsidR="00000000" w:rsidRPr="00BE00C7" w:rsidRDefault="00000000" w:rsidP="00BE00C7">
            <w:pPr>
              <w:pStyle w:val="OutcomeDescription"/>
              <w:spacing w:before="120" w:after="120"/>
              <w:rPr>
                <w:rFonts w:cs="Arial"/>
                <w:lang w:eastAsia="en-NZ"/>
              </w:rPr>
            </w:pPr>
          </w:p>
        </w:tc>
      </w:tr>
      <w:tr w:rsidR="001216A2" w14:paraId="40421893" w14:textId="77777777">
        <w:tc>
          <w:tcPr>
            <w:tcW w:w="0" w:type="auto"/>
          </w:tcPr>
          <w:p w14:paraId="4DA0A4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26CC10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 xml:space="preserve">Te Tiriti: Monitoring and quality review focus on a commitment to </w:t>
            </w:r>
            <w:r w:rsidRPr="00BE00C7">
              <w:rPr>
                <w:rFonts w:cs="Arial"/>
                <w:lang w:eastAsia="en-NZ"/>
              </w:rPr>
              <w:lastRenderedPageBreak/>
              <w:t>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DA62D6D" w14:textId="77777777" w:rsidR="00000000" w:rsidRPr="00BE00C7" w:rsidRDefault="00000000" w:rsidP="00BE00C7">
            <w:pPr>
              <w:pStyle w:val="OutcomeDescription"/>
              <w:spacing w:before="120" w:after="120"/>
              <w:rPr>
                <w:rFonts w:cs="Arial"/>
                <w:lang w:eastAsia="en-NZ"/>
              </w:rPr>
            </w:pPr>
          </w:p>
        </w:tc>
        <w:tc>
          <w:tcPr>
            <w:tcW w:w="0" w:type="auto"/>
          </w:tcPr>
          <w:p w14:paraId="6B2998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DF4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Processes were in place for the restraint committee to undertake a six-monthly review of all restraint use, which included all the requirements of the Standard. Incidents were reported via the resident’s electronic record. The RC advised that the outcome of the review was reported to </w:t>
            </w:r>
            <w:r w:rsidRPr="00BE00C7">
              <w:rPr>
                <w:rFonts w:cs="Arial"/>
                <w:lang w:eastAsia="en-NZ"/>
              </w:rPr>
              <w:lastRenderedPageBreak/>
              <w:t xml:space="preserve">the governance body. Any changes to policies, guidelines, education and processes were implemented if indicated. </w:t>
            </w:r>
          </w:p>
          <w:p w14:paraId="5184C6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restraint review appropriately noted that no restraints were in use.</w:t>
            </w:r>
          </w:p>
          <w:p w14:paraId="6DC88278" w14:textId="77777777" w:rsidR="00000000" w:rsidRPr="00BE00C7" w:rsidRDefault="00000000" w:rsidP="00BE00C7">
            <w:pPr>
              <w:pStyle w:val="OutcomeDescription"/>
              <w:spacing w:before="120" w:after="120"/>
              <w:rPr>
                <w:rFonts w:cs="Arial"/>
                <w:lang w:eastAsia="en-NZ"/>
              </w:rPr>
            </w:pPr>
          </w:p>
        </w:tc>
      </w:tr>
    </w:tbl>
    <w:p w14:paraId="42B5974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B79F48F" w14:textId="77777777" w:rsidR="00000000" w:rsidRDefault="00000000">
      <w:pPr>
        <w:pStyle w:val="Heading1"/>
        <w:rPr>
          <w:rFonts w:cs="Arial"/>
        </w:rPr>
      </w:pPr>
      <w:r>
        <w:rPr>
          <w:rFonts w:cs="Arial"/>
        </w:rPr>
        <w:lastRenderedPageBreak/>
        <w:t>Specific results for criterion where corrective actions are required</w:t>
      </w:r>
    </w:p>
    <w:p w14:paraId="20A7E36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3CB848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A87CB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216A2" w14:paraId="412BDB49" w14:textId="77777777">
        <w:tc>
          <w:tcPr>
            <w:tcW w:w="0" w:type="auto"/>
          </w:tcPr>
          <w:p w14:paraId="07C58FD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A88517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AAB1DAC" w14:textId="77777777" w:rsidR="00000000" w:rsidRDefault="00000000">
      <w:pPr>
        <w:pStyle w:val="Heading1"/>
        <w:rPr>
          <w:rFonts w:cs="Arial"/>
        </w:rPr>
      </w:pPr>
      <w:r>
        <w:rPr>
          <w:rFonts w:cs="Arial"/>
        </w:rPr>
        <w:lastRenderedPageBreak/>
        <w:t>Specific results for criterion where a continuous improvement has been recorded</w:t>
      </w:r>
    </w:p>
    <w:p w14:paraId="419E339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D2DF51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720F11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216A2" w14:paraId="7D0D71C0" w14:textId="77777777">
        <w:tc>
          <w:tcPr>
            <w:tcW w:w="0" w:type="auto"/>
          </w:tcPr>
          <w:p w14:paraId="65CCCE2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7D1CCD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AAF6F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27AE" w14:textId="77777777" w:rsidR="00CA2CC7" w:rsidRDefault="00CA2CC7">
      <w:r>
        <w:separator/>
      </w:r>
    </w:p>
  </w:endnote>
  <w:endnote w:type="continuationSeparator" w:id="0">
    <w:p w14:paraId="6328D9F1" w14:textId="77777777" w:rsidR="00CA2CC7" w:rsidRDefault="00CA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4935" w14:textId="77777777" w:rsidR="00000000" w:rsidRDefault="00000000">
    <w:pPr>
      <w:pStyle w:val="Footer"/>
    </w:pPr>
  </w:p>
  <w:p w14:paraId="181E60BB" w14:textId="77777777" w:rsidR="00000000" w:rsidRDefault="00000000"/>
  <w:p w14:paraId="60719DA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191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Wharerangi</w:t>
    </w:r>
    <w:bookmarkEnd w:id="59"/>
    <w:r>
      <w:rPr>
        <w:rFonts w:cs="Arial"/>
        <w:sz w:val="16"/>
        <w:szCs w:val="20"/>
      </w:rPr>
      <w:tab/>
      <w:t xml:space="preserve">Date of Audit: </w:t>
    </w:r>
    <w:bookmarkStart w:id="60" w:name="AuditStartDate1"/>
    <w:r>
      <w:rPr>
        <w:rFonts w:cs="Arial"/>
        <w:sz w:val="16"/>
        <w:szCs w:val="20"/>
      </w:rPr>
      <w:t>23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C81E3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D8E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7C0C" w14:textId="77777777" w:rsidR="00CA2CC7" w:rsidRDefault="00CA2CC7">
      <w:r>
        <w:separator/>
      </w:r>
    </w:p>
  </w:footnote>
  <w:footnote w:type="continuationSeparator" w:id="0">
    <w:p w14:paraId="33004ED0" w14:textId="77777777" w:rsidR="00CA2CC7" w:rsidRDefault="00CA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99B" w14:textId="77777777" w:rsidR="00000000" w:rsidRDefault="00000000">
    <w:pPr>
      <w:pStyle w:val="Header"/>
    </w:pPr>
  </w:p>
  <w:p w14:paraId="395992B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3BB7" w14:textId="77777777" w:rsidR="00000000" w:rsidRDefault="00000000">
    <w:pPr>
      <w:pStyle w:val="Header"/>
    </w:pPr>
  </w:p>
  <w:p w14:paraId="608CB34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752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1C05C64">
      <w:start w:val="1"/>
      <w:numFmt w:val="decimal"/>
      <w:lvlText w:val="%1."/>
      <w:lvlJc w:val="left"/>
      <w:pPr>
        <w:ind w:left="360" w:hanging="360"/>
      </w:pPr>
    </w:lvl>
    <w:lvl w:ilvl="1" w:tplc="FD2890E2" w:tentative="1">
      <w:start w:val="1"/>
      <w:numFmt w:val="lowerLetter"/>
      <w:lvlText w:val="%2."/>
      <w:lvlJc w:val="left"/>
      <w:pPr>
        <w:ind w:left="1080" w:hanging="360"/>
      </w:pPr>
    </w:lvl>
    <w:lvl w:ilvl="2" w:tplc="C0680AEE" w:tentative="1">
      <w:start w:val="1"/>
      <w:numFmt w:val="lowerRoman"/>
      <w:lvlText w:val="%3."/>
      <w:lvlJc w:val="right"/>
      <w:pPr>
        <w:ind w:left="1800" w:hanging="180"/>
      </w:pPr>
    </w:lvl>
    <w:lvl w:ilvl="3" w:tplc="87044DC4" w:tentative="1">
      <w:start w:val="1"/>
      <w:numFmt w:val="decimal"/>
      <w:lvlText w:val="%4."/>
      <w:lvlJc w:val="left"/>
      <w:pPr>
        <w:ind w:left="2520" w:hanging="360"/>
      </w:pPr>
    </w:lvl>
    <w:lvl w:ilvl="4" w:tplc="B11C24A8" w:tentative="1">
      <w:start w:val="1"/>
      <w:numFmt w:val="lowerLetter"/>
      <w:lvlText w:val="%5."/>
      <w:lvlJc w:val="left"/>
      <w:pPr>
        <w:ind w:left="3240" w:hanging="360"/>
      </w:pPr>
    </w:lvl>
    <w:lvl w:ilvl="5" w:tplc="B45A7E02" w:tentative="1">
      <w:start w:val="1"/>
      <w:numFmt w:val="lowerRoman"/>
      <w:lvlText w:val="%6."/>
      <w:lvlJc w:val="right"/>
      <w:pPr>
        <w:ind w:left="3960" w:hanging="180"/>
      </w:pPr>
    </w:lvl>
    <w:lvl w:ilvl="6" w:tplc="A06A7D24" w:tentative="1">
      <w:start w:val="1"/>
      <w:numFmt w:val="decimal"/>
      <w:lvlText w:val="%7."/>
      <w:lvlJc w:val="left"/>
      <w:pPr>
        <w:ind w:left="4680" w:hanging="360"/>
      </w:pPr>
    </w:lvl>
    <w:lvl w:ilvl="7" w:tplc="7278DB0C" w:tentative="1">
      <w:start w:val="1"/>
      <w:numFmt w:val="lowerLetter"/>
      <w:lvlText w:val="%8."/>
      <w:lvlJc w:val="left"/>
      <w:pPr>
        <w:ind w:left="5400" w:hanging="360"/>
      </w:pPr>
    </w:lvl>
    <w:lvl w:ilvl="8" w:tplc="09462D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25E950A">
      <w:start w:val="1"/>
      <w:numFmt w:val="bullet"/>
      <w:lvlText w:val=""/>
      <w:lvlJc w:val="left"/>
      <w:pPr>
        <w:ind w:left="720" w:hanging="360"/>
      </w:pPr>
      <w:rPr>
        <w:rFonts w:ascii="Symbol" w:hAnsi="Symbol" w:hint="default"/>
      </w:rPr>
    </w:lvl>
    <w:lvl w:ilvl="1" w:tplc="0D3C2E08" w:tentative="1">
      <w:start w:val="1"/>
      <w:numFmt w:val="bullet"/>
      <w:lvlText w:val="o"/>
      <w:lvlJc w:val="left"/>
      <w:pPr>
        <w:ind w:left="1440" w:hanging="360"/>
      </w:pPr>
      <w:rPr>
        <w:rFonts w:ascii="Courier New" w:hAnsi="Courier New" w:cs="Courier New" w:hint="default"/>
      </w:rPr>
    </w:lvl>
    <w:lvl w:ilvl="2" w:tplc="608C2EEC" w:tentative="1">
      <w:start w:val="1"/>
      <w:numFmt w:val="bullet"/>
      <w:lvlText w:val=""/>
      <w:lvlJc w:val="left"/>
      <w:pPr>
        <w:ind w:left="2160" w:hanging="360"/>
      </w:pPr>
      <w:rPr>
        <w:rFonts w:ascii="Wingdings" w:hAnsi="Wingdings" w:hint="default"/>
      </w:rPr>
    </w:lvl>
    <w:lvl w:ilvl="3" w:tplc="751C3B88" w:tentative="1">
      <w:start w:val="1"/>
      <w:numFmt w:val="bullet"/>
      <w:lvlText w:val=""/>
      <w:lvlJc w:val="left"/>
      <w:pPr>
        <w:ind w:left="2880" w:hanging="360"/>
      </w:pPr>
      <w:rPr>
        <w:rFonts w:ascii="Symbol" w:hAnsi="Symbol" w:hint="default"/>
      </w:rPr>
    </w:lvl>
    <w:lvl w:ilvl="4" w:tplc="646E48D4" w:tentative="1">
      <w:start w:val="1"/>
      <w:numFmt w:val="bullet"/>
      <w:lvlText w:val="o"/>
      <w:lvlJc w:val="left"/>
      <w:pPr>
        <w:ind w:left="3600" w:hanging="360"/>
      </w:pPr>
      <w:rPr>
        <w:rFonts w:ascii="Courier New" w:hAnsi="Courier New" w:cs="Courier New" w:hint="default"/>
      </w:rPr>
    </w:lvl>
    <w:lvl w:ilvl="5" w:tplc="58729E34" w:tentative="1">
      <w:start w:val="1"/>
      <w:numFmt w:val="bullet"/>
      <w:lvlText w:val=""/>
      <w:lvlJc w:val="left"/>
      <w:pPr>
        <w:ind w:left="4320" w:hanging="360"/>
      </w:pPr>
      <w:rPr>
        <w:rFonts w:ascii="Wingdings" w:hAnsi="Wingdings" w:hint="default"/>
      </w:rPr>
    </w:lvl>
    <w:lvl w:ilvl="6" w:tplc="C16A8A00" w:tentative="1">
      <w:start w:val="1"/>
      <w:numFmt w:val="bullet"/>
      <w:lvlText w:val=""/>
      <w:lvlJc w:val="left"/>
      <w:pPr>
        <w:ind w:left="5040" w:hanging="360"/>
      </w:pPr>
      <w:rPr>
        <w:rFonts w:ascii="Symbol" w:hAnsi="Symbol" w:hint="default"/>
      </w:rPr>
    </w:lvl>
    <w:lvl w:ilvl="7" w:tplc="A83C9A8C" w:tentative="1">
      <w:start w:val="1"/>
      <w:numFmt w:val="bullet"/>
      <w:lvlText w:val="o"/>
      <w:lvlJc w:val="left"/>
      <w:pPr>
        <w:ind w:left="5760" w:hanging="360"/>
      </w:pPr>
      <w:rPr>
        <w:rFonts w:ascii="Courier New" w:hAnsi="Courier New" w:cs="Courier New" w:hint="default"/>
      </w:rPr>
    </w:lvl>
    <w:lvl w:ilvl="8" w:tplc="58A4DC4C" w:tentative="1">
      <w:start w:val="1"/>
      <w:numFmt w:val="bullet"/>
      <w:lvlText w:val=""/>
      <w:lvlJc w:val="left"/>
      <w:pPr>
        <w:ind w:left="6480" w:hanging="360"/>
      </w:pPr>
      <w:rPr>
        <w:rFonts w:ascii="Wingdings" w:hAnsi="Wingdings" w:hint="default"/>
      </w:rPr>
    </w:lvl>
  </w:abstractNum>
  <w:num w:numId="1" w16cid:durableId="544103659">
    <w:abstractNumId w:val="1"/>
  </w:num>
  <w:num w:numId="2" w16cid:durableId="13376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16A2"/>
    <w:rsid w:val="000A680E"/>
    <w:rsid w:val="001216A2"/>
    <w:rsid w:val="00B25574"/>
    <w:rsid w:val="00CA2C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6D4C"/>
  <w15:docId w15:val="{D045EA6F-F6C3-4591-8A33-991CE649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11670</Words>
  <Characters>66523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2025-11-14T03:05:00Z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