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FDF1" w14:textId="77777777" w:rsidR="00000000" w:rsidRDefault="00000000">
      <w:pPr>
        <w:pStyle w:val="Heading1"/>
        <w:rPr>
          <w:rFonts w:cs="Arial"/>
        </w:rPr>
      </w:pPr>
      <w:bookmarkStart w:id="0" w:name="PRMS_RIName"/>
      <w:r>
        <w:rPr>
          <w:rFonts w:cs="Arial"/>
        </w:rPr>
        <w:t>CHT Healthcare Trust - Hillcrest Hospital</w:t>
      </w:r>
      <w:bookmarkEnd w:id="0"/>
    </w:p>
    <w:p w14:paraId="5BEDDF7D" w14:textId="77777777" w:rsidR="00000000" w:rsidRDefault="00000000">
      <w:pPr>
        <w:pStyle w:val="Heading2"/>
        <w:spacing w:after="0"/>
        <w:rPr>
          <w:rFonts w:cs="Arial"/>
        </w:rPr>
      </w:pPr>
      <w:r>
        <w:rPr>
          <w:rFonts w:cs="Arial"/>
        </w:rPr>
        <w:t>Introduction</w:t>
      </w:r>
    </w:p>
    <w:p w14:paraId="4FA3AF8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59298B3"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3F8FB1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1C6A3E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C8AFEC8" w14:textId="77777777" w:rsidR="00000000" w:rsidRDefault="00000000">
      <w:pPr>
        <w:spacing w:before="240" w:after="240"/>
        <w:rPr>
          <w:rFonts w:cs="Arial"/>
          <w:lang w:eastAsia="en-NZ"/>
        </w:rPr>
      </w:pPr>
      <w:r>
        <w:rPr>
          <w:rFonts w:cs="Arial"/>
          <w:lang w:eastAsia="en-NZ"/>
        </w:rPr>
        <w:t>The specifics of this audit included:</w:t>
      </w:r>
    </w:p>
    <w:p w14:paraId="6B5D100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C3CC06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71AECE0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Hillcrest Hospital</w:t>
      </w:r>
      <w:bookmarkEnd w:id="5"/>
    </w:p>
    <w:p w14:paraId="5A22671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 Dementia care</w:t>
      </w:r>
      <w:bookmarkEnd w:id="6"/>
    </w:p>
    <w:p w14:paraId="74DAA08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September 2025</w:t>
      </w:r>
      <w:bookmarkEnd w:id="7"/>
      <w:r w:rsidRPr="009418D4">
        <w:rPr>
          <w:rFonts w:cs="Arial"/>
        </w:rPr>
        <w:tab/>
        <w:t xml:space="preserve">End date: </w:t>
      </w:r>
      <w:bookmarkStart w:id="8" w:name="AuditEndDate"/>
      <w:r>
        <w:rPr>
          <w:rFonts w:cs="Arial"/>
        </w:rPr>
        <w:t>10 September 2025</w:t>
      </w:r>
      <w:bookmarkEnd w:id="8"/>
    </w:p>
    <w:p w14:paraId="024CF81F"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5DD75CA8" w14:textId="77777777" w:rsidR="00801C8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76</w:t>
      </w:r>
      <w:bookmarkEnd w:id="10"/>
    </w:p>
    <w:p w14:paraId="2A0A76F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E83D692" w14:textId="77777777" w:rsidR="00000000" w:rsidRDefault="00000000">
      <w:pPr>
        <w:pStyle w:val="Heading1"/>
        <w:rPr>
          <w:rFonts w:cs="Arial"/>
        </w:rPr>
      </w:pPr>
      <w:r>
        <w:rPr>
          <w:rFonts w:cs="Arial"/>
        </w:rPr>
        <w:lastRenderedPageBreak/>
        <w:t>Executive summary of the audit</w:t>
      </w:r>
    </w:p>
    <w:p w14:paraId="52CB993F" w14:textId="77777777" w:rsidR="00000000" w:rsidRDefault="00000000">
      <w:pPr>
        <w:pStyle w:val="Heading2"/>
        <w:rPr>
          <w:rFonts w:cs="Arial"/>
        </w:rPr>
      </w:pPr>
      <w:r>
        <w:rPr>
          <w:rFonts w:cs="Arial"/>
        </w:rPr>
        <w:t>Introduction</w:t>
      </w:r>
    </w:p>
    <w:p w14:paraId="67C2E99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B89232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717217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D6C44F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D9FD84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8382BE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DF9F5B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955614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B819FC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01C82" w14:paraId="27A7ACDB" w14:textId="77777777">
        <w:trPr>
          <w:cantSplit/>
          <w:tblHeader/>
        </w:trPr>
        <w:tc>
          <w:tcPr>
            <w:tcW w:w="1260" w:type="dxa"/>
            <w:tcBorders>
              <w:bottom w:val="single" w:sz="4" w:space="0" w:color="000000"/>
            </w:tcBorders>
            <w:vAlign w:val="center"/>
          </w:tcPr>
          <w:p w14:paraId="66DC98D2"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7DF9B3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852482D" w14:textId="77777777" w:rsidR="00000000" w:rsidRDefault="00000000">
            <w:pPr>
              <w:spacing w:before="60" w:after="60"/>
              <w:rPr>
                <w:rFonts w:eastAsia="Calibri"/>
                <w:b/>
                <w:szCs w:val="24"/>
              </w:rPr>
            </w:pPr>
            <w:r>
              <w:rPr>
                <w:rFonts w:eastAsia="Calibri"/>
                <w:b/>
                <w:szCs w:val="24"/>
              </w:rPr>
              <w:t>Definition</w:t>
            </w:r>
          </w:p>
        </w:tc>
      </w:tr>
      <w:tr w:rsidR="00801C82" w14:paraId="6E8278AF" w14:textId="77777777">
        <w:trPr>
          <w:cantSplit/>
          <w:trHeight w:val="964"/>
        </w:trPr>
        <w:tc>
          <w:tcPr>
            <w:tcW w:w="1260" w:type="dxa"/>
            <w:tcBorders>
              <w:bottom w:val="single" w:sz="4" w:space="0" w:color="000000"/>
            </w:tcBorders>
            <w:shd w:val="clear" w:color="0066FF" w:fill="0000FF"/>
            <w:vAlign w:val="center"/>
          </w:tcPr>
          <w:p w14:paraId="669F247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2472AC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F40A83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01C82" w14:paraId="5E8E22E9" w14:textId="77777777">
        <w:trPr>
          <w:cantSplit/>
          <w:trHeight w:val="964"/>
        </w:trPr>
        <w:tc>
          <w:tcPr>
            <w:tcW w:w="1260" w:type="dxa"/>
            <w:shd w:val="clear" w:color="33CC33" w:fill="00FF00"/>
            <w:vAlign w:val="center"/>
          </w:tcPr>
          <w:p w14:paraId="1E5CCA96" w14:textId="77777777" w:rsidR="00000000" w:rsidRDefault="00000000">
            <w:pPr>
              <w:spacing w:before="60" w:after="60"/>
              <w:rPr>
                <w:rFonts w:eastAsia="Calibri"/>
                <w:szCs w:val="24"/>
              </w:rPr>
            </w:pPr>
          </w:p>
        </w:tc>
        <w:tc>
          <w:tcPr>
            <w:tcW w:w="7095" w:type="dxa"/>
            <w:shd w:val="clear" w:color="auto" w:fill="auto"/>
            <w:vAlign w:val="center"/>
          </w:tcPr>
          <w:p w14:paraId="68D49D7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FA9577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801C82" w14:paraId="13FDB345" w14:textId="77777777">
        <w:trPr>
          <w:cantSplit/>
          <w:trHeight w:val="964"/>
        </w:trPr>
        <w:tc>
          <w:tcPr>
            <w:tcW w:w="1260" w:type="dxa"/>
            <w:tcBorders>
              <w:bottom w:val="single" w:sz="4" w:space="0" w:color="000000"/>
            </w:tcBorders>
            <w:shd w:val="clear" w:color="auto" w:fill="FFFF00"/>
            <w:vAlign w:val="center"/>
          </w:tcPr>
          <w:p w14:paraId="0DDE2FF2" w14:textId="77777777" w:rsidR="00000000" w:rsidRDefault="00000000">
            <w:pPr>
              <w:spacing w:before="60" w:after="60"/>
              <w:rPr>
                <w:rFonts w:eastAsia="Calibri"/>
                <w:szCs w:val="24"/>
              </w:rPr>
            </w:pPr>
          </w:p>
        </w:tc>
        <w:tc>
          <w:tcPr>
            <w:tcW w:w="7095" w:type="dxa"/>
            <w:shd w:val="clear" w:color="auto" w:fill="auto"/>
            <w:vAlign w:val="center"/>
          </w:tcPr>
          <w:p w14:paraId="1FE20E9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E5668C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01C82" w14:paraId="73D554CF" w14:textId="77777777">
        <w:trPr>
          <w:cantSplit/>
          <w:trHeight w:val="964"/>
        </w:trPr>
        <w:tc>
          <w:tcPr>
            <w:tcW w:w="1260" w:type="dxa"/>
            <w:tcBorders>
              <w:bottom w:val="single" w:sz="4" w:space="0" w:color="000000"/>
            </w:tcBorders>
            <w:shd w:val="clear" w:color="auto" w:fill="FFC800"/>
            <w:vAlign w:val="center"/>
          </w:tcPr>
          <w:p w14:paraId="06D31AE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BBC230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B97A65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01C82" w14:paraId="24A074B8" w14:textId="77777777">
        <w:trPr>
          <w:cantSplit/>
          <w:trHeight w:val="964"/>
        </w:trPr>
        <w:tc>
          <w:tcPr>
            <w:tcW w:w="1260" w:type="dxa"/>
            <w:shd w:val="clear" w:color="auto" w:fill="FF0000"/>
            <w:vAlign w:val="center"/>
          </w:tcPr>
          <w:p w14:paraId="5A23770B" w14:textId="77777777" w:rsidR="00000000" w:rsidRDefault="00000000">
            <w:pPr>
              <w:spacing w:before="60" w:after="60"/>
              <w:rPr>
                <w:rFonts w:eastAsia="Calibri"/>
                <w:szCs w:val="24"/>
              </w:rPr>
            </w:pPr>
          </w:p>
        </w:tc>
        <w:tc>
          <w:tcPr>
            <w:tcW w:w="7095" w:type="dxa"/>
            <w:shd w:val="clear" w:color="auto" w:fill="auto"/>
            <w:vAlign w:val="center"/>
          </w:tcPr>
          <w:p w14:paraId="1D9AC5E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5A7E24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AAA6FCA" w14:textId="77777777" w:rsidR="00000000" w:rsidRDefault="00000000">
      <w:pPr>
        <w:pStyle w:val="Heading2"/>
        <w:spacing w:after="0"/>
        <w:rPr>
          <w:rFonts w:cs="Arial"/>
        </w:rPr>
      </w:pPr>
      <w:r>
        <w:rPr>
          <w:rFonts w:cs="Arial"/>
        </w:rPr>
        <w:t>General overview of the audit</w:t>
      </w:r>
    </w:p>
    <w:p w14:paraId="378F7405" w14:textId="77777777" w:rsidR="00000000" w:rsidRDefault="00000000">
      <w:pPr>
        <w:spacing w:before="240" w:line="276" w:lineRule="auto"/>
        <w:rPr>
          <w:rFonts w:eastAsia="Calibri"/>
        </w:rPr>
      </w:pPr>
      <w:bookmarkStart w:id="13" w:name="GeneralOverview"/>
      <w:r w:rsidRPr="00A4268A">
        <w:rPr>
          <w:rFonts w:eastAsia="Calibri"/>
        </w:rPr>
        <w:t xml:space="preserve">CHT Healthcare Trust (CHT) Hillcrest Hospital is certified to provide rest home, hospital (medical and geriatric), dementia, and residential disability levels of care for up to 80 residents. There were 76 residents on the days of audit. </w:t>
      </w:r>
    </w:p>
    <w:p w14:paraId="1562C347" w14:textId="77777777" w:rsidR="00801C82"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w:t>
      </w:r>
    </w:p>
    <w:p w14:paraId="08EA3E02" w14:textId="77777777" w:rsidR="00801C82" w:rsidRPr="00A4268A" w:rsidRDefault="00000000">
      <w:pPr>
        <w:spacing w:before="240" w:line="276" w:lineRule="auto"/>
        <w:rPr>
          <w:rFonts w:eastAsia="Calibri"/>
        </w:rPr>
      </w:pPr>
      <w:r w:rsidRPr="00A4268A">
        <w:rPr>
          <w:rFonts w:eastAsia="Calibri"/>
        </w:rPr>
        <w:t>The care home manager (RN) is appropriately qualified and experienced and is supported by a clinical coordinator and area manager. 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1D598395" w14:textId="77777777" w:rsidR="00801C82" w:rsidRPr="00A4268A" w:rsidRDefault="00000000">
      <w:pPr>
        <w:spacing w:before="240" w:line="276" w:lineRule="auto"/>
        <w:rPr>
          <w:rFonts w:eastAsia="Calibri"/>
        </w:rPr>
      </w:pPr>
      <w:r w:rsidRPr="00A4268A">
        <w:rPr>
          <w:rFonts w:eastAsia="Calibri"/>
        </w:rPr>
        <w:t xml:space="preserve">This certification audit identified the service meets the Standard. </w:t>
      </w:r>
    </w:p>
    <w:bookmarkEnd w:id="13"/>
    <w:p w14:paraId="0E19AF18" w14:textId="77777777" w:rsidR="00801C82" w:rsidRPr="00A4268A" w:rsidRDefault="00801C82">
      <w:pPr>
        <w:spacing w:before="240" w:line="276" w:lineRule="auto"/>
        <w:rPr>
          <w:rFonts w:eastAsia="Calibri"/>
        </w:rPr>
      </w:pPr>
    </w:p>
    <w:p w14:paraId="0A5ED58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1C82" w14:paraId="0D90773D" w14:textId="77777777" w:rsidTr="00A4268A">
        <w:trPr>
          <w:cantSplit/>
        </w:trPr>
        <w:tc>
          <w:tcPr>
            <w:tcW w:w="10206" w:type="dxa"/>
            <w:vAlign w:val="center"/>
          </w:tcPr>
          <w:p w14:paraId="7332838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3EC593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D283D6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BC91DF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A3B0A17" w14:textId="77777777" w:rsidR="00000000" w:rsidRDefault="00000000">
      <w:pPr>
        <w:spacing w:before="240" w:line="276" w:lineRule="auto"/>
        <w:rPr>
          <w:rFonts w:eastAsia="Calibri"/>
        </w:rPr>
      </w:pPr>
      <w:bookmarkStart w:id="16" w:name="ConsumerRights"/>
      <w:r w:rsidRPr="00A4268A">
        <w:rPr>
          <w:rFonts w:eastAsia="Calibri"/>
        </w:rPr>
        <w:t>CHT Hillcrest Hospital provides an environment that supports resident rights and safe care. Staff demonstrated an understanding of residents' rights and obligations. There is a Māori health plan and a Pacific health plan. The service works to provide high-quality and effective services and care for residents. 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45FF17A1" w14:textId="77777777" w:rsidR="00801C82" w:rsidRPr="00A4268A" w:rsidRDefault="00801C82">
      <w:pPr>
        <w:spacing w:before="240" w:line="276" w:lineRule="auto"/>
        <w:rPr>
          <w:rFonts w:eastAsia="Calibri"/>
        </w:rPr>
      </w:pPr>
    </w:p>
    <w:p w14:paraId="663A5E5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1C82" w14:paraId="5E2DB88E" w14:textId="77777777" w:rsidTr="00A4268A">
        <w:trPr>
          <w:cantSplit/>
        </w:trPr>
        <w:tc>
          <w:tcPr>
            <w:tcW w:w="10206" w:type="dxa"/>
            <w:vAlign w:val="center"/>
          </w:tcPr>
          <w:p w14:paraId="684139A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94E32B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7FC1E9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B0E008C" w14:textId="77777777" w:rsidR="00000000" w:rsidRDefault="00000000">
      <w:pPr>
        <w:spacing w:before="240" w:line="276" w:lineRule="auto"/>
        <w:rPr>
          <w:rFonts w:eastAsia="Calibri"/>
        </w:rPr>
      </w:pPr>
      <w:bookmarkStart w:id="19" w:name="OrganisationalManagement"/>
      <w:r w:rsidRPr="00A4268A">
        <w:rPr>
          <w:rFonts w:eastAsia="Calibri"/>
        </w:rPr>
        <w:t xml:space="preserve">CHT Healthcare Trust has an overarching strategy map with clear business goals to support organisational values. The business plan includes a mission statement and operational objectives. The service has effective quality and risk management systems in place that take a risk-based approach, and these systems meet the needs of residents and their staff. Quality improvement projects are implemented. Internal audits, meetings, and collation of data is completed, with corrective actions developed as indicated. Meeting schedules are maintained. A health and safety programme is implemented. Hazards are managed. Incident forms are </w:t>
      </w:r>
      <w:r w:rsidRPr="00A4268A">
        <w:rPr>
          <w:rFonts w:eastAsia="Calibri"/>
        </w:rPr>
        <w:lastRenderedPageBreak/>
        <w:t xml:space="preserve">documented, and results are analysed. There is a staffing and rostering policy documented. Human resources are managed in accordance with good employment practice. A role specific orientation programme and regular staff education and training are in place. The service ensures the collection, storage, and use of personal and health information of residents is secure, accessible, and confidential. </w:t>
      </w:r>
    </w:p>
    <w:bookmarkEnd w:id="19"/>
    <w:p w14:paraId="0337AFFD" w14:textId="77777777" w:rsidR="00801C82" w:rsidRPr="00A4268A" w:rsidRDefault="00801C82">
      <w:pPr>
        <w:spacing w:before="240" w:line="276" w:lineRule="auto"/>
        <w:rPr>
          <w:rFonts w:eastAsia="Calibri"/>
        </w:rPr>
      </w:pPr>
    </w:p>
    <w:p w14:paraId="0A672813"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1C82" w14:paraId="79D5CDC7" w14:textId="77777777" w:rsidTr="00A4268A">
        <w:trPr>
          <w:cantSplit/>
        </w:trPr>
        <w:tc>
          <w:tcPr>
            <w:tcW w:w="10206" w:type="dxa"/>
            <w:vAlign w:val="center"/>
          </w:tcPr>
          <w:p w14:paraId="327905F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7E7CEB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2F2DB59"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A445371"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CHT Hillcrest has an admission package available prior to, or on entry to the service. The care home manager and clinical coordinator efficiently manage the entry process to the service. Admissions are managed by the registered nurses and the general practitioner at admission. The registered nurses assess, plan and review residents' needs, outcomes, and goals. The care plans demonstrated individualised care. </w:t>
      </w:r>
    </w:p>
    <w:p w14:paraId="4A41CB2D" w14:textId="77777777" w:rsidR="00801C82"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health care assistants are responsible for administration of medicines. They complete annual education and medication competencies. The electronic medicine charts reviewed met prescribing requirements and were reviewed at least three-monthly by the general practitioner. </w:t>
      </w:r>
    </w:p>
    <w:p w14:paraId="591C4EDE" w14:textId="77777777" w:rsidR="00801C82"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2E0A8C77" w14:textId="77777777" w:rsidR="00801C82" w:rsidRPr="00A4268A" w:rsidRDefault="00000000" w:rsidP="00621629">
      <w:pPr>
        <w:spacing w:before="240" w:line="276" w:lineRule="auto"/>
        <w:rPr>
          <w:rFonts w:eastAsia="Calibri"/>
        </w:rPr>
      </w:pPr>
      <w:r w:rsidRPr="00A4268A">
        <w:rPr>
          <w:rFonts w:eastAsia="Calibri"/>
        </w:rPr>
        <w:lastRenderedPageBreak/>
        <w:t xml:space="preserve">Residents were reviewed regularly and referred to specialist services and to other health services as required. Discharge and transfers are coordinated and planned. </w:t>
      </w:r>
    </w:p>
    <w:bookmarkEnd w:id="22"/>
    <w:p w14:paraId="65BB87B2" w14:textId="77777777" w:rsidR="00801C82" w:rsidRPr="00A4268A" w:rsidRDefault="00801C82" w:rsidP="00621629">
      <w:pPr>
        <w:spacing w:before="240" w:line="276" w:lineRule="auto"/>
        <w:rPr>
          <w:rFonts w:eastAsia="Calibri"/>
        </w:rPr>
      </w:pPr>
    </w:p>
    <w:p w14:paraId="6651A90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1C82" w14:paraId="245F29E2" w14:textId="77777777" w:rsidTr="00A4268A">
        <w:trPr>
          <w:cantSplit/>
        </w:trPr>
        <w:tc>
          <w:tcPr>
            <w:tcW w:w="10206" w:type="dxa"/>
            <w:vAlign w:val="center"/>
          </w:tcPr>
          <w:p w14:paraId="65CE6AE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AE8E9D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45F3AC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1D6760D"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All bedrooms are single. Rooms are personalised. </w:t>
      </w:r>
    </w:p>
    <w:p w14:paraId="4B7BBE58" w14:textId="77777777" w:rsidR="00801C82"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bookmarkEnd w:id="25"/>
    <w:p w14:paraId="654205EA" w14:textId="77777777" w:rsidR="00801C82" w:rsidRPr="00A4268A" w:rsidRDefault="00801C82">
      <w:pPr>
        <w:spacing w:before="240" w:line="276" w:lineRule="auto"/>
        <w:rPr>
          <w:rFonts w:eastAsia="Calibri"/>
        </w:rPr>
      </w:pPr>
    </w:p>
    <w:p w14:paraId="30E9DAF1"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1C82" w14:paraId="18181C12" w14:textId="77777777" w:rsidTr="00A4268A">
        <w:trPr>
          <w:cantSplit/>
        </w:trPr>
        <w:tc>
          <w:tcPr>
            <w:tcW w:w="10206" w:type="dxa"/>
            <w:vAlign w:val="center"/>
          </w:tcPr>
          <w:p w14:paraId="16812FD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514E7E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E1072F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FF98EF1"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and provides information and </w:t>
      </w:r>
      <w:r w:rsidRPr="00A4268A">
        <w:rPr>
          <w:rFonts w:eastAsia="Calibri"/>
        </w:rPr>
        <w:lastRenderedPageBreak/>
        <w:t>resources to inform the service providers. Documentation evidenced that relevant infection control education is provided to all staff as part of their orientation and as part of the ongoing in-service education programme. Antimicrobial usage is monitored.</w:t>
      </w:r>
    </w:p>
    <w:p w14:paraId="53ED9A6D" w14:textId="77777777" w:rsidR="00801C82" w:rsidRPr="00A4268A" w:rsidRDefault="00000000">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plans are in place, and the service has access to personal protective equipment supplies. There have been no outbreaks since the previous audit.</w:t>
      </w:r>
    </w:p>
    <w:p w14:paraId="5D4A3092" w14:textId="77777777" w:rsidR="00801C82" w:rsidRPr="00A4268A" w:rsidRDefault="00000000">
      <w:pPr>
        <w:spacing w:before="240" w:line="276" w:lineRule="auto"/>
        <w:rPr>
          <w:rFonts w:eastAsia="Calibri"/>
        </w:rPr>
      </w:pPr>
      <w:r w:rsidRPr="00A4268A">
        <w:rPr>
          <w:rFonts w:eastAsia="Calibri"/>
        </w:rPr>
        <w:t xml:space="preserve">There are documented processes for the management of waste and hazardous substances in place, and incidents are reported in a timely manner. Chemicals are stored safely throughout the facility. Documented policies and procedures for the contracted cleaning and laundry services are implemented with appropriate monitoring systems in place to evaluate the effectiveness of these services. </w:t>
      </w:r>
    </w:p>
    <w:bookmarkEnd w:id="28"/>
    <w:p w14:paraId="02363D3D" w14:textId="77777777" w:rsidR="00801C82" w:rsidRPr="00A4268A" w:rsidRDefault="00801C82">
      <w:pPr>
        <w:spacing w:before="240" w:line="276" w:lineRule="auto"/>
        <w:rPr>
          <w:rFonts w:eastAsia="Calibri"/>
        </w:rPr>
      </w:pPr>
    </w:p>
    <w:p w14:paraId="75D80BB9"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01C82" w14:paraId="6D853193" w14:textId="77777777" w:rsidTr="00A4268A">
        <w:trPr>
          <w:cantSplit/>
        </w:trPr>
        <w:tc>
          <w:tcPr>
            <w:tcW w:w="10206" w:type="dxa"/>
            <w:vAlign w:val="center"/>
          </w:tcPr>
          <w:p w14:paraId="7C46ABB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E37B2C0"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9D14D0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9CBD668" w14:textId="77777777" w:rsidR="00000000" w:rsidRDefault="00000000">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Restraint minimisation is overseen by the restraint coordinator who is a RN. The facility has two residents currently using restraints. Use of restraints is considered as a last resort only after all other options are explored. Education is provided to staff around restraint minimisation. A restraint register is maintained, and restraints are reviewed on a regular basis. </w:t>
      </w:r>
    </w:p>
    <w:bookmarkEnd w:id="31"/>
    <w:p w14:paraId="0BED0CF4" w14:textId="77777777" w:rsidR="00801C82" w:rsidRPr="00A4268A" w:rsidRDefault="00801C82">
      <w:pPr>
        <w:spacing w:before="240" w:line="276" w:lineRule="auto"/>
        <w:rPr>
          <w:rFonts w:eastAsia="Calibri"/>
        </w:rPr>
      </w:pPr>
    </w:p>
    <w:p w14:paraId="2016B6D2" w14:textId="77777777" w:rsidR="00000000" w:rsidRDefault="00000000" w:rsidP="000E6E02">
      <w:pPr>
        <w:pStyle w:val="Heading2"/>
        <w:spacing w:before="0"/>
        <w:rPr>
          <w:rFonts w:cs="Arial"/>
        </w:rPr>
      </w:pPr>
      <w:r>
        <w:rPr>
          <w:rFonts w:cs="Arial"/>
        </w:rPr>
        <w:lastRenderedPageBreak/>
        <w:t>Summary of attainment</w:t>
      </w:r>
    </w:p>
    <w:p w14:paraId="2270696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01C82" w14:paraId="382FF9E8" w14:textId="77777777">
        <w:tc>
          <w:tcPr>
            <w:tcW w:w="1384" w:type="dxa"/>
            <w:vAlign w:val="center"/>
          </w:tcPr>
          <w:p w14:paraId="4D87BF4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BC2B99F" w14:textId="77777777" w:rsidR="00000000" w:rsidRDefault="00000000">
            <w:pPr>
              <w:keepNext/>
              <w:spacing w:before="60" w:after="60"/>
              <w:jc w:val="center"/>
              <w:rPr>
                <w:rFonts w:cs="Arial"/>
                <w:b/>
                <w:sz w:val="20"/>
                <w:szCs w:val="20"/>
              </w:rPr>
            </w:pPr>
            <w:r>
              <w:rPr>
                <w:rFonts w:cs="Arial"/>
                <w:b/>
                <w:sz w:val="20"/>
                <w:szCs w:val="20"/>
              </w:rPr>
              <w:t>Continuous Improvement</w:t>
            </w:r>
          </w:p>
          <w:p w14:paraId="285801F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3516994" w14:textId="77777777" w:rsidR="00000000" w:rsidRDefault="00000000">
            <w:pPr>
              <w:keepNext/>
              <w:spacing w:before="60" w:after="60"/>
              <w:jc w:val="center"/>
              <w:rPr>
                <w:rFonts w:cs="Arial"/>
                <w:b/>
                <w:sz w:val="20"/>
                <w:szCs w:val="20"/>
              </w:rPr>
            </w:pPr>
            <w:r>
              <w:rPr>
                <w:rFonts w:cs="Arial"/>
                <w:b/>
                <w:sz w:val="20"/>
                <w:szCs w:val="20"/>
              </w:rPr>
              <w:t>Fully Attained</w:t>
            </w:r>
          </w:p>
          <w:p w14:paraId="754C39B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84F115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C59648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C71E5F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890B9B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3312169"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EDB65A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1D78D7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55AC0E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5A66FD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D1DB831" w14:textId="77777777" w:rsidR="00000000" w:rsidRDefault="00000000">
            <w:pPr>
              <w:keepNext/>
              <w:spacing w:before="60" w:after="60"/>
              <w:jc w:val="center"/>
              <w:rPr>
                <w:rFonts w:cs="Arial"/>
                <w:b/>
                <w:sz w:val="20"/>
                <w:szCs w:val="20"/>
              </w:rPr>
            </w:pPr>
            <w:r>
              <w:rPr>
                <w:rFonts w:cs="Arial"/>
                <w:b/>
                <w:sz w:val="20"/>
                <w:szCs w:val="20"/>
              </w:rPr>
              <w:t>(PA Critical)</w:t>
            </w:r>
          </w:p>
        </w:tc>
      </w:tr>
      <w:tr w:rsidR="00801C82" w14:paraId="5053F7AE" w14:textId="77777777">
        <w:tc>
          <w:tcPr>
            <w:tcW w:w="1384" w:type="dxa"/>
            <w:vAlign w:val="center"/>
          </w:tcPr>
          <w:p w14:paraId="2393056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A43559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437C13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49FC7E1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67E6F7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B8798D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BFEBA1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63592F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01C82" w14:paraId="0981D01F" w14:textId="77777777">
        <w:tc>
          <w:tcPr>
            <w:tcW w:w="1384" w:type="dxa"/>
            <w:vAlign w:val="center"/>
          </w:tcPr>
          <w:p w14:paraId="4051A1E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6BD170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F282D0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180</w:t>
            </w:r>
            <w:bookmarkEnd w:id="40"/>
          </w:p>
        </w:tc>
        <w:tc>
          <w:tcPr>
            <w:tcW w:w="1843" w:type="dxa"/>
            <w:vAlign w:val="center"/>
          </w:tcPr>
          <w:p w14:paraId="7354FB3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E36C035"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578668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702288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8D8A01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419F93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01C82" w14:paraId="0D078298" w14:textId="77777777">
        <w:tc>
          <w:tcPr>
            <w:tcW w:w="1384" w:type="dxa"/>
            <w:vAlign w:val="center"/>
          </w:tcPr>
          <w:p w14:paraId="037ACFE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985D23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DDE5BE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678712E" w14:textId="77777777" w:rsidR="00000000" w:rsidRDefault="00000000">
            <w:pPr>
              <w:keepNext/>
              <w:spacing w:before="60" w:after="60"/>
              <w:jc w:val="center"/>
              <w:rPr>
                <w:rFonts w:cs="Arial"/>
                <w:b/>
                <w:sz w:val="20"/>
                <w:szCs w:val="20"/>
              </w:rPr>
            </w:pPr>
            <w:r>
              <w:rPr>
                <w:rFonts w:cs="Arial"/>
                <w:b/>
                <w:sz w:val="20"/>
                <w:szCs w:val="20"/>
              </w:rPr>
              <w:t>Unattained Low Risk</w:t>
            </w:r>
          </w:p>
          <w:p w14:paraId="259AB76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B7A74AF" w14:textId="77777777" w:rsidR="00000000" w:rsidRDefault="00000000">
            <w:pPr>
              <w:keepNext/>
              <w:spacing w:before="60" w:after="60"/>
              <w:jc w:val="center"/>
              <w:rPr>
                <w:rFonts w:cs="Arial"/>
                <w:b/>
                <w:sz w:val="20"/>
                <w:szCs w:val="20"/>
              </w:rPr>
            </w:pPr>
            <w:r>
              <w:rPr>
                <w:rFonts w:cs="Arial"/>
                <w:b/>
                <w:sz w:val="20"/>
                <w:szCs w:val="20"/>
              </w:rPr>
              <w:t>Unattained Moderate Risk</w:t>
            </w:r>
          </w:p>
          <w:p w14:paraId="63DB32F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B4016CF" w14:textId="77777777" w:rsidR="00000000" w:rsidRDefault="00000000">
            <w:pPr>
              <w:keepNext/>
              <w:spacing w:before="60" w:after="60"/>
              <w:jc w:val="center"/>
              <w:rPr>
                <w:rFonts w:cs="Arial"/>
                <w:b/>
                <w:sz w:val="20"/>
                <w:szCs w:val="20"/>
              </w:rPr>
            </w:pPr>
            <w:r>
              <w:rPr>
                <w:rFonts w:cs="Arial"/>
                <w:b/>
                <w:sz w:val="20"/>
                <w:szCs w:val="20"/>
              </w:rPr>
              <w:t>Unattained High Risk</w:t>
            </w:r>
          </w:p>
          <w:p w14:paraId="14B7E98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E87A4DB" w14:textId="77777777" w:rsidR="00000000" w:rsidRDefault="00000000">
            <w:pPr>
              <w:keepNext/>
              <w:spacing w:before="60" w:after="60"/>
              <w:jc w:val="center"/>
              <w:rPr>
                <w:rFonts w:cs="Arial"/>
                <w:b/>
                <w:sz w:val="20"/>
                <w:szCs w:val="20"/>
              </w:rPr>
            </w:pPr>
            <w:r>
              <w:rPr>
                <w:rFonts w:cs="Arial"/>
                <w:b/>
                <w:sz w:val="20"/>
                <w:szCs w:val="20"/>
              </w:rPr>
              <w:t>Unattained Critical Risk</w:t>
            </w:r>
          </w:p>
          <w:p w14:paraId="64CC4F35" w14:textId="77777777" w:rsidR="00000000" w:rsidRDefault="00000000">
            <w:pPr>
              <w:keepNext/>
              <w:spacing w:before="60" w:after="60"/>
              <w:jc w:val="center"/>
              <w:rPr>
                <w:rFonts w:cs="Arial"/>
                <w:b/>
                <w:sz w:val="20"/>
                <w:szCs w:val="20"/>
              </w:rPr>
            </w:pPr>
            <w:r>
              <w:rPr>
                <w:rFonts w:cs="Arial"/>
                <w:b/>
                <w:sz w:val="20"/>
                <w:szCs w:val="20"/>
              </w:rPr>
              <w:t>(UA Critical)</w:t>
            </w:r>
          </w:p>
        </w:tc>
      </w:tr>
      <w:tr w:rsidR="00801C82" w14:paraId="41109C55" w14:textId="77777777">
        <w:tc>
          <w:tcPr>
            <w:tcW w:w="1384" w:type="dxa"/>
            <w:vAlign w:val="center"/>
          </w:tcPr>
          <w:p w14:paraId="7429A8A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D37172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5803E4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3E3426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076496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4E99BF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01C82" w14:paraId="34B066EC" w14:textId="77777777">
        <w:tc>
          <w:tcPr>
            <w:tcW w:w="1384" w:type="dxa"/>
            <w:vAlign w:val="center"/>
          </w:tcPr>
          <w:p w14:paraId="354A47D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DB1D5B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A60E7E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2AD970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888E3E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69B08E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E6934C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51B070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8EA0CF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5FF01C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1356"/>
        <w:gridCol w:w="6334"/>
      </w:tblGrid>
      <w:tr w:rsidR="00801C82" w14:paraId="1CA07681" w14:textId="77777777">
        <w:tc>
          <w:tcPr>
            <w:tcW w:w="0" w:type="auto"/>
          </w:tcPr>
          <w:p w14:paraId="72F4A1D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DF1677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11ACFB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01C82" w14:paraId="1C3A0C13" w14:textId="77777777">
        <w:tc>
          <w:tcPr>
            <w:tcW w:w="0" w:type="auto"/>
          </w:tcPr>
          <w:p w14:paraId="52EEFB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53204C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AEF4759" w14:textId="77777777" w:rsidR="00000000" w:rsidRPr="00BE00C7" w:rsidRDefault="00000000" w:rsidP="00BE00C7">
            <w:pPr>
              <w:pStyle w:val="OutcomeDescription"/>
              <w:spacing w:before="120" w:after="120"/>
              <w:rPr>
                <w:rFonts w:cs="Arial"/>
                <w:lang w:eastAsia="en-NZ"/>
              </w:rPr>
            </w:pPr>
          </w:p>
        </w:tc>
        <w:tc>
          <w:tcPr>
            <w:tcW w:w="0" w:type="auto"/>
          </w:tcPr>
          <w:p w14:paraId="28910C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989A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Te Tiriti o Waitangi as a founding document for New Zealand. The service currently has residents who identify as Māori. CHT is committed to respecting the self-determination, cultural values, and beliefs of Māori residents and whānau and evidence is documented in the resident care plan and evidenced in practice. Links are established with local kaumātua. Māori assessments are completed for residents who identify as Māori. </w:t>
            </w:r>
          </w:p>
          <w:p w14:paraId="7C76CB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confirmed that they support increasing Māori capacity by employing more Māori staff members when they apply for employment opportunities at CHT. The CHT Hillcrest Hospital business plan documents a commitment and responsiveness to a culturally diverse workforce. At the time of the audit, there were staff members who identify as Māori. Residents and family/whānau are involved in providing input into the resident’s care planning, their activities, and their dietary needs. </w:t>
            </w:r>
          </w:p>
          <w:p w14:paraId="745CE2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Twenty-two staff interviewed; eight healthcare assistants (HCAs), four registered nurses (RN), one chef, one area kitchen supervisor, two cleaners, three activities coordinators, two laundry staff, and one property manager, described how care is based on the resident’s </w:t>
            </w:r>
            <w:r w:rsidRPr="00BE00C7">
              <w:rPr>
                <w:rFonts w:cs="Arial"/>
                <w:lang w:eastAsia="en-NZ"/>
              </w:rPr>
              <w:lastRenderedPageBreak/>
              <w:t>individual values and beliefs. The service has links with the local Māori community and health service providers.</w:t>
            </w:r>
          </w:p>
          <w:p w14:paraId="2A6267EF" w14:textId="77777777" w:rsidR="00000000" w:rsidRPr="00BE00C7" w:rsidRDefault="00000000" w:rsidP="00BE00C7">
            <w:pPr>
              <w:pStyle w:val="OutcomeDescription"/>
              <w:spacing w:before="120" w:after="120"/>
              <w:rPr>
                <w:rFonts w:cs="Arial"/>
                <w:lang w:eastAsia="en-NZ"/>
              </w:rPr>
            </w:pPr>
          </w:p>
        </w:tc>
      </w:tr>
      <w:tr w:rsidR="00801C82" w14:paraId="2759B7B4" w14:textId="77777777">
        <w:tc>
          <w:tcPr>
            <w:tcW w:w="0" w:type="auto"/>
          </w:tcPr>
          <w:p w14:paraId="79EDFC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A0F1F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1325E0A" w14:textId="77777777" w:rsidR="00000000" w:rsidRPr="00BE00C7" w:rsidRDefault="00000000" w:rsidP="00BE00C7">
            <w:pPr>
              <w:pStyle w:val="OutcomeDescription"/>
              <w:spacing w:before="120" w:after="120"/>
              <w:rPr>
                <w:rFonts w:cs="Arial"/>
                <w:lang w:eastAsia="en-NZ"/>
              </w:rPr>
            </w:pPr>
          </w:p>
        </w:tc>
        <w:tc>
          <w:tcPr>
            <w:tcW w:w="0" w:type="auto"/>
          </w:tcPr>
          <w:p w14:paraId="344E95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BBD1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CHT Pacific health plan. The aim is to uphold the principles of Pacific people by acknowledging respectful relationships, valuing families, and providing high quality healthcare.</w:t>
            </w:r>
          </w:p>
          <w:p w14:paraId="51578247" w14:textId="77777777" w:rsidR="00000000"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There were residents identifying as Pasifika at the time of the audit; the care home manager and area manager confirmed that the residents’ whānau are encouraged to be involved in all aspects of care, particularly in nursing and medical decisions, satisfaction of the service and recognition of cultural needs. Interviews with eight residents; two rest home, six hospital level, and nine family/whānau (seven hospital and two dementia) confirm that individual cultural beliefs and values, knowledge, arts, morals, and personality are respected. This was also evident in interviews conducted by the consumer auditor whereby four younger persons with disability (YPD) out of the six hospital level residents, and two YPD families (of the seven hospital level families interviewed) confirmed the above.</w:t>
            </w:r>
          </w:p>
          <w:p w14:paraId="252DCB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Hillcrest Hospital actively consults with current Pacific employees to ensure connectivity within the region to increase knowledge, awareness and understanding of the needs of Pacific people. There are relationships and consultation with Pacific providers and includes (but not limited to) Pacific churches, and elders to provide services for Pacific people and staff. </w:t>
            </w:r>
          </w:p>
          <w:p w14:paraId="68E731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Code of Rights (the Code) are accessible in a range of Pacific languages. There are staff currently employed that identify as Pasifika. The service continues to provide equitable employment opportunities for the Pacific community (currently 31% of staff identify as Pasifika).</w:t>
            </w:r>
          </w:p>
          <w:p w14:paraId="08545BFD" w14:textId="77777777" w:rsidR="00000000" w:rsidRPr="00BE00C7" w:rsidRDefault="00000000" w:rsidP="00BE00C7">
            <w:pPr>
              <w:pStyle w:val="OutcomeDescription"/>
              <w:spacing w:before="120" w:after="120"/>
              <w:rPr>
                <w:rFonts w:cs="Arial"/>
                <w:lang w:eastAsia="en-NZ"/>
              </w:rPr>
            </w:pPr>
          </w:p>
        </w:tc>
      </w:tr>
      <w:tr w:rsidR="00801C82" w14:paraId="211A423C" w14:textId="77777777">
        <w:tc>
          <w:tcPr>
            <w:tcW w:w="0" w:type="auto"/>
          </w:tcPr>
          <w:p w14:paraId="37E930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7E773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5374027" w14:textId="77777777" w:rsidR="00000000" w:rsidRPr="00BE00C7" w:rsidRDefault="00000000" w:rsidP="00BE00C7">
            <w:pPr>
              <w:pStyle w:val="OutcomeDescription"/>
              <w:spacing w:before="120" w:after="120"/>
              <w:rPr>
                <w:rFonts w:cs="Arial"/>
                <w:lang w:eastAsia="en-NZ"/>
              </w:rPr>
            </w:pPr>
          </w:p>
        </w:tc>
        <w:tc>
          <w:tcPr>
            <w:tcW w:w="0" w:type="auto"/>
          </w:tcPr>
          <w:p w14:paraId="43A4E9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94B7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Details relating to the Code are included in the information that is provided to new residents and their family/whānau. The care home manager, clinical coordinator or RNs discuss aspects of the Code with residents and their family/whānau on admission. Families/whānau are invited to attend. Residents and family/whānau interviewed reported that the service is upholding the residents’ rights. Interactions observed between staff and residents during the audit were respectful. Information about the Nationwide Health and Disability Advocacy Service and the resident advocacy is available at the entrance to the facility and in the entry pack of information provided to residents and their family/whānau.</w:t>
            </w:r>
          </w:p>
          <w:p w14:paraId="6C51A5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links to spiritual supports. Staff receive education in relation to the Code at orientation and through the annual training programme which includes (but is not limited to) understanding the role of advocacy services. Advocacy services are linked to the complaints process, as sighted in the information pack given to residents on admission and noted with one active complaint. The service recognises Māori mana motuhake through its Māori health plan, specific resident focussed goals, and staff could describe how they fully support the values and beliefs of any Māori residents and whānau. </w:t>
            </w:r>
          </w:p>
          <w:p w14:paraId="133CDDEB" w14:textId="77777777" w:rsidR="00000000" w:rsidRPr="00BE00C7" w:rsidRDefault="00000000" w:rsidP="00BE00C7">
            <w:pPr>
              <w:pStyle w:val="OutcomeDescription"/>
              <w:spacing w:before="120" w:after="120"/>
              <w:rPr>
                <w:rFonts w:cs="Arial"/>
                <w:lang w:eastAsia="en-NZ"/>
              </w:rPr>
            </w:pPr>
          </w:p>
        </w:tc>
      </w:tr>
      <w:tr w:rsidR="00801C82" w14:paraId="399ED8EA" w14:textId="77777777">
        <w:tc>
          <w:tcPr>
            <w:tcW w:w="0" w:type="auto"/>
          </w:tcPr>
          <w:p w14:paraId="076BC4A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4C64E2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548EDC5" w14:textId="77777777" w:rsidR="00000000" w:rsidRPr="00BE00C7" w:rsidRDefault="00000000" w:rsidP="00BE00C7">
            <w:pPr>
              <w:pStyle w:val="OutcomeDescription"/>
              <w:spacing w:before="120" w:after="120"/>
              <w:rPr>
                <w:rFonts w:cs="Arial"/>
                <w:lang w:eastAsia="en-NZ"/>
              </w:rPr>
            </w:pPr>
          </w:p>
        </w:tc>
        <w:tc>
          <w:tcPr>
            <w:tcW w:w="0" w:type="auto"/>
          </w:tcPr>
          <w:p w14:paraId="69D678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E17E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HCAs interviewed described how they support residents to choose what they want to do. Residents are supported to make decisions about whether they would like family/whānau members to be involved in their care or other forms of support. Residents have control over and choice over activities they participate in. The CHT Hillcrest Hospital annual training plan demonstrates training that is responsive to the diverse needs of people across the service. It was observed that residents are treated with dignity and respect, and confirmed in interviews conducted on site, and remotely by the consumer auditor. The service promotes care that is holistic and collective in nature through educating staff about te ao Māori and listening to tāngata whaikaha when planning or changing services. </w:t>
            </w:r>
          </w:p>
          <w:p w14:paraId="5CCF86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Satisfaction surveys completed in 2024 and 2025 confirmed that residents and families/whānau felt they are treated with respect. This was also confirmed during interviews with residents and families/whānau. Results are regularly shared at residents’ meeting. A sexuality and intimacy policy is in place with training part of the education schedule. Staff interviewed stated they respect each resident’s right to have space for intimate relationships. Families/whānau interviewed were positive about the service in relation to each resident’s values and beliefs being considered and met. Privacy is ensured and independence is encouraged. Residents' files and care plans identified residents preferred names. Values and beliefs information is gathered on admission with family involvement and is integrated into the residents' care plans. Spiritual needs are identified. A spirituality policy is in place. Residents are encouraged and supported to participate in te ao Māori through the activities plan. Staff were observed to use person-centred and respectful language with residents, including young people with disabilities who confirmed they are able to maintain their personal, gender, sexual, cultural, religious, and spiritual identity. </w:t>
            </w:r>
          </w:p>
          <w:p w14:paraId="20581672" w14:textId="77777777" w:rsidR="00000000" w:rsidRPr="00BE00C7" w:rsidRDefault="00000000" w:rsidP="00BE00C7">
            <w:pPr>
              <w:pStyle w:val="OutcomeDescription"/>
              <w:spacing w:before="120" w:after="120"/>
              <w:rPr>
                <w:rFonts w:cs="Arial"/>
                <w:lang w:eastAsia="en-NZ"/>
              </w:rPr>
            </w:pPr>
            <w:r w:rsidRPr="00BE00C7">
              <w:rPr>
                <w:rFonts w:cs="Arial"/>
                <w:lang w:eastAsia="en-NZ"/>
              </w:rPr>
              <w:t>Privacy is ensured and independence is encouraged. Family/whānau interviewed stated that they enjoy coming and going as they please to visit the resident and they felt welcomed. Residents' files and care plans identified resident’s preferred names. Values and beliefs information is gathered on admission with family involvement and is integrated into the residents' care plans. Spiritual needs are identified, church services are held, and spiritual support is available. A spirituality policy is in place. The management team confirmed that cultural diversity is embedded at CHT Hillcrest Hospital, and this was confirmed during interviews with staff. Te reo Māori is celebrated, and staff are encouraged and supported with correct pronunciation. Te reo Māori resources are available on the education platform. Cultural awareness training is provided annually and covers Te Tiriti o Waitangi, health equity and tikanga Māori</w:t>
            </w:r>
          </w:p>
          <w:p w14:paraId="6E61D114" w14:textId="77777777" w:rsidR="00000000" w:rsidRPr="00BE00C7" w:rsidRDefault="00000000" w:rsidP="00BE00C7">
            <w:pPr>
              <w:pStyle w:val="OutcomeDescription"/>
              <w:spacing w:before="120" w:after="120"/>
              <w:rPr>
                <w:rFonts w:cs="Arial"/>
                <w:lang w:eastAsia="en-NZ"/>
              </w:rPr>
            </w:pPr>
          </w:p>
        </w:tc>
      </w:tr>
      <w:tr w:rsidR="00801C82" w14:paraId="0D3B6EBC" w14:textId="77777777">
        <w:tc>
          <w:tcPr>
            <w:tcW w:w="0" w:type="auto"/>
          </w:tcPr>
          <w:p w14:paraId="1DF44B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FF499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lastRenderedPageBreak/>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5ACA8CE" w14:textId="77777777" w:rsidR="00000000" w:rsidRPr="00BE00C7" w:rsidRDefault="00000000" w:rsidP="00BE00C7">
            <w:pPr>
              <w:pStyle w:val="OutcomeDescription"/>
              <w:spacing w:before="120" w:after="120"/>
              <w:rPr>
                <w:rFonts w:cs="Arial"/>
                <w:lang w:eastAsia="en-NZ"/>
              </w:rPr>
            </w:pPr>
          </w:p>
        </w:tc>
        <w:tc>
          <w:tcPr>
            <w:tcW w:w="0" w:type="auto"/>
          </w:tcPr>
          <w:p w14:paraId="6BD4B1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B478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and neglect policy is being implemented. The policy is a set of standards and outlines the behaviours and conduct that all staff employed at CHT Hillcrest Hospital are expected to uphold. CHT </w:t>
            </w:r>
            <w:r w:rsidRPr="00BE00C7">
              <w:rPr>
                <w:rFonts w:cs="Arial"/>
                <w:lang w:eastAsia="en-NZ"/>
              </w:rPr>
              <w:lastRenderedPageBreak/>
              <w:t xml:space="preserve">organisational policies aim to prevent any form of discrimination, coercion, harassment, or any other exploitation. CHT as an organisation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w:t>
            </w:r>
          </w:p>
          <w:p w14:paraId="7B763D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held responsible for creating a positive, inclusive and a safe working environment. Cultural diversity is acknowledged, and staff are educated on systemic racism and the understanding of injustices through policy and the code of conduct. CHT Māori Health Strategy includes strategies to abolishing institutional racism. Staff complete education on orientation and annually as per the training plan on how to identify abuse and neglect. Staff are educated on how to value the older person showing them respect and dignity. All residents and families/whānau interviewed confirmed that the staff are very caring, supportive, and respectful. </w:t>
            </w:r>
          </w:p>
          <w:p w14:paraId="0223AE8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the clinical coordinator, RNs and HCAs confirmed their understanding of professional boundaries, including the boundaries of their role and responsibilities. There are short, and long-term objectives in the CHT Māori health plan and cultural policy that provides a framework and guide to improving Māori health and a leadership commitment to address inequities.</w:t>
            </w:r>
          </w:p>
          <w:p w14:paraId="2DEA368C" w14:textId="77777777" w:rsidR="00000000" w:rsidRPr="00BE00C7" w:rsidRDefault="00000000" w:rsidP="00BE00C7">
            <w:pPr>
              <w:pStyle w:val="OutcomeDescription"/>
              <w:spacing w:before="120" w:after="120"/>
              <w:rPr>
                <w:rFonts w:cs="Arial"/>
                <w:lang w:eastAsia="en-NZ"/>
              </w:rPr>
            </w:pPr>
          </w:p>
        </w:tc>
      </w:tr>
      <w:tr w:rsidR="00801C82" w14:paraId="2A2207E2" w14:textId="77777777">
        <w:tc>
          <w:tcPr>
            <w:tcW w:w="0" w:type="auto"/>
          </w:tcPr>
          <w:p w14:paraId="3C13CC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E9B4E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who use our services and effectively communicate with them about </w:t>
            </w:r>
            <w:r w:rsidRPr="00BE00C7">
              <w:rPr>
                <w:rFonts w:cs="Arial"/>
                <w:lang w:eastAsia="en-NZ"/>
              </w:rPr>
              <w:lastRenderedPageBreak/>
              <w:t>their choices.</w:t>
            </w:r>
          </w:p>
          <w:p w14:paraId="071FB2C9" w14:textId="77777777" w:rsidR="00000000" w:rsidRPr="00BE00C7" w:rsidRDefault="00000000" w:rsidP="00BE00C7">
            <w:pPr>
              <w:pStyle w:val="OutcomeDescription"/>
              <w:spacing w:before="120" w:after="120"/>
              <w:rPr>
                <w:rFonts w:cs="Arial"/>
                <w:lang w:eastAsia="en-NZ"/>
              </w:rPr>
            </w:pPr>
          </w:p>
        </w:tc>
        <w:tc>
          <w:tcPr>
            <w:tcW w:w="0" w:type="auto"/>
          </w:tcPr>
          <w:p w14:paraId="661A8F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0104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relatives on admission. Monthly resident meetings identify feedback from residents and consequent follow up by the service. Policies and procedures relating to accident/incidents, complaints, and open disclosure policy alert staff to their responsibility to notify family/next of kin of any adverse event that occurs. Electronic accident/incident forms have a section to indicate if next of kin have been informed (or not). This is also documented in the progress notes. The accident/incident forms reviewed identified relatives are kept informed; </w:t>
            </w:r>
            <w:r w:rsidRPr="00BE00C7">
              <w:rPr>
                <w:rFonts w:cs="Arial"/>
                <w:lang w:eastAsia="en-NZ"/>
              </w:rPr>
              <w:lastRenderedPageBreak/>
              <w:t xml:space="preserve">this was confirmed through the interviews with family/whānau. </w:t>
            </w:r>
          </w:p>
          <w:p w14:paraId="56281FD1"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in addition to staff members who speak the residents’ languages. At the time of the audit all residents spoke English. Language and communication needs of young people with disabilities are considered, and use of alternative information and communication methods are available and used where applicable.</w:t>
            </w:r>
          </w:p>
          <w:p w14:paraId="5C5975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Health New Zealand Health specialist services. </w:t>
            </w:r>
          </w:p>
          <w:p w14:paraId="6F00BB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delivery of care includes a multidisciplinary team approach, with residents and family/whānau providing consent for information sharing and then receiving effective  communication regarding services involved. The management team were able to describe an implemented process around providing residents with time for discussion around care, time to consider decisions, and opportunities for further discussion, if required. Residents and family/whānau interviewed confirm they know what is happening within the facility and felt informed regarding events and changes through regular communication and newsletters.</w:t>
            </w:r>
          </w:p>
          <w:p w14:paraId="0A16DCD2" w14:textId="77777777" w:rsidR="00000000" w:rsidRPr="00BE00C7" w:rsidRDefault="00000000" w:rsidP="00BE00C7">
            <w:pPr>
              <w:pStyle w:val="OutcomeDescription"/>
              <w:spacing w:before="120" w:after="120"/>
              <w:rPr>
                <w:rFonts w:cs="Arial"/>
                <w:lang w:eastAsia="en-NZ"/>
              </w:rPr>
            </w:pPr>
          </w:p>
        </w:tc>
      </w:tr>
      <w:tr w:rsidR="00801C82" w14:paraId="3A6B7659" w14:textId="77777777">
        <w:tc>
          <w:tcPr>
            <w:tcW w:w="0" w:type="auto"/>
          </w:tcPr>
          <w:p w14:paraId="769527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31138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56C26784" w14:textId="77777777" w:rsidR="00000000" w:rsidRPr="00BE00C7" w:rsidRDefault="00000000" w:rsidP="00BE00C7">
            <w:pPr>
              <w:pStyle w:val="OutcomeDescription"/>
              <w:spacing w:before="120" w:after="120"/>
              <w:rPr>
                <w:rFonts w:cs="Arial"/>
                <w:lang w:eastAsia="en-NZ"/>
              </w:rPr>
            </w:pPr>
          </w:p>
        </w:tc>
        <w:tc>
          <w:tcPr>
            <w:tcW w:w="0" w:type="auto"/>
          </w:tcPr>
          <w:p w14:paraId="7B0A17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2EE7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Nine resident files reviewed included informed consent forms signed by either the resident or powers of attorney/welfare guardians. Consent forms for vaccinations were also on file where appropriate. Residents and relatives interviewed could describe what informed consent was and their rights around choice. There is an advance directive policy. </w:t>
            </w:r>
          </w:p>
          <w:p w14:paraId="1B67C9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best practice tikanga guidelines, welcoming the involvement of </w:t>
            </w:r>
            <w:r w:rsidRPr="00BE00C7">
              <w:rPr>
                <w:rFonts w:cs="Arial"/>
                <w:lang w:eastAsia="en-NZ"/>
              </w:rPr>
              <w:lastRenderedPageBreak/>
              <w:t xml:space="preserve">whānau in decision-making where the person receiving services wants them to be involved. Discussions with residents and relatives confirmed that they are involved in the decision-making process, and in the planning of care. Admission agreements had been signed and sighted for all the files seen. Copies of enduring power of attorneys (EPOAs) or welfare guardianship, and activation letters were on resident files where required. </w:t>
            </w:r>
          </w:p>
          <w:p w14:paraId="77BA2006" w14:textId="77777777" w:rsidR="00000000" w:rsidRPr="00BE00C7" w:rsidRDefault="00000000" w:rsidP="00BE00C7">
            <w:pPr>
              <w:pStyle w:val="OutcomeDescription"/>
              <w:spacing w:before="120" w:after="120"/>
              <w:rPr>
                <w:rFonts w:cs="Arial"/>
                <w:lang w:eastAsia="en-NZ"/>
              </w:rPr>
            </w:pPr>
          </w:p>
        </w:tc>
      </w:tr>
      <w:tr w:rsidR="00801C82" w14:paraId="26F788AE" w14:textId="77777777">
        <w:tc>
          <w:tcPr>
            <w:tcW w:w="0" w:type="auto"/>
          </w:tcPr>
          <w:p w14:paraId="47A80B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4BBC5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284CA04" w14:textId="77777777" w:rsidR="00000000" w:rsidRPr="00BE00C7" w:rsidRDefault="00000000" w:rsidP="00BE00C7">
            <w:pPr>
              <w:pStyle w:val="OutcomeDescription"/>
              <w:spacing w:before="120" w:after="120"/>
              <w:rPr>
                <w:rFonts w:cs="Arial"/>
                <w:lang w:eastAsia="en-NZ"/>
              </w:rPr>
            </w:pPr>
          </w:p>
        </w:tc>
        <w:tc>
          <w:tcPr>
            <w:tcW w:w="0" w:type="auto"/>
          </w:tcPr>
          <w:p w14:paraId="3B46B9F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583F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care home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Five complaints have been lodged in 2024, and ten in 2025 year to date. All internal complaints were of a minor nature, and no trends were identified. There have been two external complaints received via HDC (December 2024 and April 2024) to which the service has fully responded and are awaiting further information from HDC. </w:t>
            </w:r>
          </w:p>
          <w:p w14:paraId="0B7A80A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a variety of avenues they can choose from to make a complaint or express a concern. Resident meetings are held monthly and create a platform where concerns can be raised. During interviews with family/whānau, they confirmed the care home manager is available to listen to concerns and acts promptly on issues raised. Residents and family/whānau making a complaint can involve an independent support person in the process if they choose. Information about support resources for Māori is available to staff to assist Māori in the complaints process. Māori residents are supported to ensure an equitable complaints process. The management team acknowledged the understanding that for Māori, there is a preference for face-to-face communication. Staff are informed of complaints (and any subsequent corrective actions) in the quality/staff and RNs meetings (minutes sighted). Any higher risk complaints would be managed with the support of the area manager.</w:t>
            </w:r>
          </w:p>
          <w:p w14:paraId="75A71C59" w14:textId="77777777" w:rsidR="00000000" w:rsidRPr="00BE00C7" w:rsidRDefault="00000000" w:rsidP="00BE00C7">
            <w:pPr>
              <w:pStyle w:val="OutcomeDescription"/>
              <w:spacing w:before="120" w:after="120"/>
              <w:rPr>
                <w:rFonts w:cs="Arial"/>
                <w:lang w:eastAsia="en-NZ"/>
              </w:rPr>
            </w:pPr>
          </w:p>
        </w:tc>
      </w:tr>
      <w:tr w:rsidR="00801C82" w14:paraId="4378BA74" w14:textId="77777777">
        <w:tc>
          <w:tcPr>
            <w:tcW w:w="0" w:type="auto"/>
          </w:tcPr>
          <w:p w14:paraId="014348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D50FA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6A0EACB" w14:textId="77777777" w:rsidR="00000000" w:rsidRPr="00BE00C7" w:rsidRDefault="00000000" w:rsidP="00BE00C7">
            <w:pPr>
              <w:pStyle w:val="OutcomeDescription"/>
              <w:spacing w:before="120" w:after="120"/>
              <w:rPr>
                <w:rFonts w:cs="Arial"/>
                <w:lang w:eastAsia="en-NZ"/>
              </w:rPr>
            </w:pPr>
          </w:p>
        </w:tc>
        <w:tc>
          <w:tcPr>
            <w:tcW w:w="0" w:type="auto"/>
          </w:tcPr>
          <w:p w14:paraId="165C57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95EB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Hillcrest Hospital is owned by CHT Healthcare Trust, providing hospital (geriatric and medical), dementia, rest home, and residential disability (physical) levels of care for up to 80 residents. Sixty beds are certified for dual purpose use, and there is a 20-bed secure dementia unit. All rooms are designed for single occupancy. On the day of audit there were 76 residents in total. There were 12 rest home, 17 dementia level, and 42 hospital level residents including four hospital residents on a long-term support- chronic health care (LTS-CHC)contract. There were four residents on a younger person with disability (YPD) contract and one younger person funded by the accident compensation corporation (ACC). All other residents were under the age-related residential care services agreement. </w:t>
            </w:r>
          </w:p>
          <w:p w14:paraId="6580D5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has an overarching strategy map with clear business goals to support organisational values. One of CHT’s key business goals is to provide equal access to aged care services. They aim to achieve this by providing affordable care and by enhancing physical and mental wellbeing of their residents. CHT premium rates and room sizes are in line with those principles, supporting their goal. The business plan includes a mission statement and operational objectives with site specific goals related to budgeted occupancy, complaints management, resident satisfaction, availability of standard rooms, customer engagement and staff satisfaction. The care home manager reports on these areas monthly to the area manager. CHT is a charitable/ not for profit organisation whose organisational philosophy and strategic plan reflects a person/family centred approach. </w:t>
            </w:r>
          </w:p>
          <w:p w14:paraId="1A8599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of CHT Healthcare Trust consists of seven trustees. Each of the trustees contributes their own areas of expertise to the Board, including legal, accounting, medical, human resources, marketing, and business management. The Chairperson of the Board is also an experienced director and chairs other organisational Boards. The area manager confirmed the strategic plan, its reflection of collaboration with Māori, which aligns with Manatū Hauora Ministry of Health strategies and addresses barriers to equitable service delivery. </w:t>
            </w:r>
          </w:p>
          <w:p w14:paraId="126108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Board sub committees that are involved in the quality </w:t>
            </w:r>
            <w:r w:rsidRPr="00BE00C7">
              <w:rPr>
                <w:rFonts w:cs="Arial"/>
                <w:lang w:eastAsia="en-NZ"/>
              </w:rPr>
              <w:lastRenderedPageBreak/>
              <w:t xml:space="preserve">and risk management system: the Quality, Health &amp; Safety Committee (QHSC), and the Audit and Risk Committee. </w:t>
            </w:r>
          </w:p>
          <w:p w14:paraId="2F8358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Health &amp; Safety Committee (QHSC), reports to the Board and monitors CHT’s compliance with its policies and procedures on quality health and safety and relevant legislation and contractual requirements, as a part of its responsibilities. The quality programme includes a quality programme policy, and quality goals (including site specific business goals) that are reviewed monthly in unit review meetings, as well as being discussed in the monthly staff/quality meetings. </w:t>
            </w:r>
          </w:p>
          <w:p w14:paraId="5CDA88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Audit and Risk Committee assists the Board in fulfilling its responsibilities relating to accounting and reporting, and risk management practices. </w:t>
            </w:r>
          </w:p>
          <w:p w14:paraId="46A6C0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area managers provide the clinical oversight for the care facilities and provide a detailed analysis of clinical data to the Board prior to every Board meeting. Discussions are held at the Board meeting around the issues raised and any corrective actions taken. The clinical data is compared both internally as well as externally against the national clinical benchmarking data and is reported on quarterly. </w:t>
            </w:r>
          </w:p>
          <w:p w14:paraId="0644F0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CHT’s Māori health plan incorporates the principles of Te Tiriti o Waitangi, including partnership in recognising all cultures as partners and valuing each culture for the contributions they bring. Cultural advisors at the governance level ensure Māori have meaningful representation in order to have substantive input into organisational operational policies. CHT’s Māori Health Plan has a set of actions to address barriers to Māori accessing care and employment within CHT. The principles of these actions are also applied to people with disabilities. One of the actions from the Māori Health plan is to develop meaningful relationships with kaumātua/kuia/koroua at governance, operational and service level. CHT have established a Māori working party to complement this action, including respected kaumatua. The Board and executive team have attended cultural training to ensure they are able to demonstrate expertise in Te Tiriti, health equity and cultural safety. </w:t>
            </w:r>
          </w:p>
          <w:p w14:paraId="1DC206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has completed more than eight hours of training related to managing an aged care facility and include interRAI, </w:t>
            </w:r>
            <w:r w:rsidRPr="00BE00C7">
              <w:rPr>
                <w:rFonts w:cs="Arial"/>
                <w:lang w:eastAsia="en-NZ"/>
              </w:rPr>
              <w:lastRenderedPageBreak/>
              <w:t>privacy related training, CHT specific business, infection control, cultural and restraint training.</w:t>
            </w:r>
          </w:p>
          <w:p w14:paraId="378D5167" w14:textId="77777777" w:rsidR="00000000" w:rsidRPr="00BE00C7" w:rsidRDefault="00000000" w:rsidP="00BE00C7">
            <w:pPr>
              <w:pStyle w:val="OutcomeDescription"/>
              <w:spacing w:before="120" w:after="120"/>
              <w:rPr>
                <w:rFonts w:cs="Arial"/>
                <w:lang w:eastAsia="en-NZ"/>
              </w:rPr>
            </w:pPr>
          </w:p>
        </w:tc>
      </w:tr>
      <w:tr w:rsidR="00801C82" w14:paraId="4F1351FF" w14:textId="77777777">
        <w:tc>
          <w:tcPr>
            <w:tcW w:w="0" w:type="auto"/>
          </w:tcPr>
          <w:p w14:paraId="0995CC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2CF8A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F03E63E" w14:textId="77777777" w:rsidR="00000000" w:rsidRPr="00BE00C7" w:rsidRDefault="00000000" w:rsidP="00BE00C7">
            <w:pPr>
              <w:pStyle w:val="OutcomeDescription"/>
              <w:spacing w:before="120" w:after="120"/>
              <w:rPr>
                <w:rFonts w:cs="Arial"/>
                <w:lang w:eastAsia="en-NZ"/>
              </w:rPr>
            </w:pPr>
          </w:p>
        </w:tc>
        <w:tc>
          <w:tcPr>
            <w:tcW w:w="0" w:type="auto"/>
          </w:tcPr>
          <w:p w14:paraId="53A4C5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2FCA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Hillcrest Hospital has an established quality and risk management programme. The quality and risk management systems include performance monitoring through internal audits and through the collection of clinical indicator data. Clinical indicator data (e.g., falls, skin tears, infections, episodes of behaviours that challenge) is collected, analysed at facility level, and benchmarked within the organisation. Meeting minutes reviewed evidence quality data is shared in staff meetings. Internal audits are completed six-monthly by the area manager. Corrective actions are documented to address service improvements, with evidence of progress and sign off when achieved. </w:t>
            </w:r>
          </w:p>
          <w:p w14:paraId="0B895D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utilises quality data to identify improvements within individual facilities and organisation wide. CHT Hillcrest have been working on decreasing pressure injuries. Between October 2024 and March 2025, a total of ten pressure injuries were recorded, corresponding to a rate 0.7 per 1000 bed days. December marked the highest incidence with a notable spike involving four new pressure injuries in three different stages: unstageable, stage one and two. All were facility acquired. In March two pressure injuries were reported, one unstageable and one stage two. The aim of the initiative was to achieve a 50% reduction in pressure injury incidence within six months through consistent implementation of evidence- based prevention strategies supported by monthly monitoring, quarterly wound care team meeting and staff education. Currently there is one resolving suspected deep tissue injury which has almost healed.</w:t>
            </w:r>
          </w:p>
          <w:p w14:paraId="2FC9BC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data analysis identified a high incidence of falls. There were 95 incidents of falls recorded between September 2024 and March 2025. A quality initiative was implemented and included the Frailty Guide being introduced to the nursing team, targeted education sessions such as Manual Handling were conducted, health and safety representatives became actively involved, attending meetings and reporting gaps directly to management which were promptly addressed. Nursing team meetings reinforced fall prevention </w:t>
            </w:r>
            <w:r w:rsidRPr="00BE00C7">
              <w:rPr>
                <w:rFonts w:cs="Arial"/>
                <w:lang w:eastAsia="en-NZ"/>
              </w:rPr>
              <w:lastRenderedPageBreak/>
              <w:t xml:space="preserve">strategies including increased rounding and adherence to care plans, particularly staffing ratios when carrying personal cares to a resident. A project was launched to improve the accessibility and clarity of care plans by placing simplified summaries in each resident’s room. These visual summaries are accompanied by coloured images which are prominently displayed on each resident’s pinboard to ensure clear visibility for all staff, visitors, and family members. Quality data from April 2025 to September 2025 identified falls have reduced to 75 over this period. Quality data evidence a continued downward trend of fall related incidents. </w:t>
            </w:r>
          </w:p>
          <w:p w14:paraId="695368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Combined staff/quality meetings provide an avenue for discussions in relation to (but not limited to) quality data; health and safety; infection control/pandemic strategies; complaints; compliments; staffing; and education. Resident/family satisfaction surveys are completed monthly, with a selection invited each month (on the yearly anniversary of their admission), with the aim of covering all residents and families/whānau in a calendar year. Surveys completed in 2024 and 2025 reflect high levels of resident/family satisfaction. </w:t>
            </w:r>
          </w:p>
          <w:p w14:paraId="3FDEE8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A document control system is in place. Policies are regularly reviewed and reflect updates to the Ngā Paerewa Standard (NZS 8134:2021). Staff have completed a range of training, including cultural awareness training, to ensure a high quality of service is delivered to all residents within the service. A health and safety system is being implemented, with the service having trained health and safety representatives. Hazard identification forms and an up-to-date hazard register were sighted. In the event of a staff accident or incident, a debrief process is documented on the accident/incident form. Health and safety training begins at orientation and continues annually. </w:t>
            </w:r>
          </w:p>
          <w:p w14:paraId="65910D90" w14:textId="77777777" w:rsidR="00000000" w:rsidRPr="00BE00C7" w:rsidRDefault="00000000" w:rsidP="00BE00C7">
            <w:pPr>
              <w:pStyle w:val="OutcomeDescription"/>
              <w:spacing w:before="120" w:after="120"/>
              <w:rPr>
                <w:rFonts w:cs="Arial"/>
                <w:lang w:eastAsia="en-NZ"/>
              </w:rPr>
            </w:pPr>
            <w:r w:rsidRPr="00BE00C7">
              <w:rPr>
                <w:rFonts w:cs="Arial"/>
                <w:lang w:eastAsia="en-NZ"/>
              </w:rPr>
              <w:t>Accident/incident forms reviewed indicated that the electronic forms are completed in full and are signed off by the care home manager or clinical coordinator. Incident and accident data is collated monthly and analysed by both the care home manager and the area manager. Results are discussed in the staff/quality meetings.</w:t>
            </w:r>
          </w:p>
          <w:p w14:paraId="08C229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care home manager evidenced their awareness of their requirement to notify relevant authorities in relation to essential </w:t>
            </w:r>
            <w:r w:rsidRPr="00BE00C7">
              <w:rPr>
                <w:rFonts w:cs="Arial"/>
                <w:lang w:eastAsia="en-NZ"/>
              </w:rPr>
              <w:lastRenderedPageBreak/>
              <w:t xml:space="preserve">notifications. Section 31 notifications and severity assessment code (sac) notifications have been submitted as required. There have been no outbreaks since the previous audit. </w:t>
            </w:r>
          </w:p>
          <w:p w14:paraId="1BC0D0B4" w14:textId="77777777" w:rsidR="00000000" w:rsidRPr="00BE00C7" w:rsidRDefault="00000000" w:rsidP="00BE00C7">
            <w:pPr>
              <w:pStyle w:val="OutcomeDescription"/>
              <w:spacing w:before="120" w:after="120"/>
              <w:rPr>
                <w:rFonts w:cs="Arial"/>
                <w:lang w:eastAsia="en-NZ"/>
              </w:rPr>
            </w:pPr>
          </w:p>
        </w:tc>
      </w:tr>
      <w:tr w:rsidR="00801C82" w14:paraId="4E4A8AC6" w14:textId="77777777">
        <w:tc>
          <w:tcPr>
            <w:tcW w:w="0" w:type="auto"/>
          </w:tcPr>
          <w:p w14:paraId="333D7D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911E2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E25351E" w14:textId="77777777" w:rsidR="00000000" w:rsidRPr="00BE00C7" w:rsidRDefault="00000000" w:rsidP="00BE00C7">
            <w:pPr>
              <w:pStyle w:val="OutcomeDescription"/>
              <w:spacing w:before="120" w:after="120"/>
              <w:rPr>
                <w:rFonts w:cs="Arial"/>
                <w:lang w:eastAsia="en-NZ"/>
              </w:rPr>
            </w:pPr>
          </w:p>
        </w:tc>
        <w:tc>
          <w:tcPr>
            <w:tcW w:w="0" w:type="auto"/>
          </w:tcPr>
          <w:p w14:paraId="147390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680A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appropriate coverage for the effective delivery of care and support. Interviews with staff confirmed that their workload is manageable. Vacant shifts are covered by available HCAs, RNs, casual staff, or bureau staff. Out of hours on-call 24/7 cover is shared between the care home manager and clinical coordinator. The area manager will perform the care home manager’s role in her absence. Staff and residents are informed when there are changes to staffing levels, evidenced in staff interviews. </w:t>
            </w:r>
          </w:p>
          <w:p w14:paraId="225A05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and clinical coordinator are both available from Monday to Friday. The full RN compliment roster is documented. </w:t>
            </w:r>
          </w:p>
          <w:p w14:paraId="729129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and topics related to caring for younger people (engaging persons in meaningful activities). The training content provided resources to staff to encourage participation in learning opportunities that provide them with up-to-date information on Māori health outcomes and disparities, and health equity. External training opportunities for care staff include training through Health New Zealand, hospice and the organisation’s online training portal which can be accessed on personal devices. </w:t>
            </w:r>
          </w:p>
          <w:p w14:paraId="46027F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with 45 having attained a level 3 or higher qualification. Thirty-five HCAs work regularly in the secure dementia unit, all of whom have achieved the required dementia standards. The CHT Hillcrest Hospital orientation programme ensure core competencies and compulsory knowledge/topics are addressed. All staff are required to complete competency assessments as part of their orientation. All HCAs are required to complete annual competencies for restraint; handwashing; correct use of PPE; cultural safety; and moving and handling. A record </w:t>
            </w:r>
            <w:r w:rsidRPr="00BE00C7">
              <w:rPr>
                <w:rFonts w:cs="Arial"/>
                <w:lang w:eastAsia="en-NZ"/>
              </w:rPr>
              <w:lastRenderedPageBreak/>
              <w:t xml:space="preserve">of completion is maintained on an electronic register. </w:t>
            </w:r>
          </w:p>
          <w:p w14:paraId="68D01B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RN specific competencies include syringe driver and interRAI assessment competency. Nine of ten RNs are interRAI trained. All RNs are encouraged to also attend external training, webinars and zoom training where available. All RNs are encouraged to attend in-service training and have completed training around infection control, including pandemic preparedness, effective communication in the care setting, and management of diabetes, dementia, and delirium. All staff are encouraged to attend staff meetings where quality data and ethnicity data is shared. </w:t>
            </w:r>
          </w:p>
          <w:p w14:paraId="12B0E77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Details of the Employee Assistance Programme (EAP) are available to staff for support both with work and home life issues.</w:t>
            </w:r>
          </w:p>
          <w:p w14:paraId="27ADB6CC" w14:textId="77777777" w:rsidR="00000000" w:rsidRPr="00BE00C7" w:rsidRDefault="00000000" w:rsidP="00BE00C7">
            <w:pPr>
              <w:pStyle w:val="OutcomeDescription"/>
              <w:spacing w:before="120" w:after="120"/>
              <w:rPr>
                <w:rFonts w:cs="Arial"/>
                <w:lang w:eastAsia="en-NZ"/>
              </w:rPr>
            </w:pPr>
          </w:p>
        </w:tc>
      </w:tr>
      <w:tr w:rsidR="00801C82" w14:paraId="7DC96E19" w14:textId="77777777">
        <w:tc>
          <w:tcPr>
            <w:tcW w:w="0" w:type="auto"/>
          </w:tcPr>
          <w:p w14:paraId="1CBA9F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E86D0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4F83793" w14:textId="77777777" w:rsidR="00000000" w:rsidRPr="00BE00C7" w:rsidRDefault="00000000" w:rsidP="00BE00C7">
            <w:pPr>
              <w:pStyle w:val="OutcomeDescription"/>
              <w:spacing w:before="120" w:after="120"/>
              <w:rPr>
                <w:rFonts w:cs="Arial"/>
                <w:lang w:eastAsia="en-NZ"/>
              </w:rPr>
            </w:pPr>
          </w:p>
        </w:tc>
        <w:tc>
          <w:tcPr>
            <w:tcW w:w="0" w:type="auto"/>
          </w:tcPr>
          <w:p w14:paraId="5178F4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3AFE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Nine staff files reviewed (two RNs, one EN, three HCAs, one administrator, and two activity coordinators) evidenced implementation of the recruitment process, employment contracts, police checking and completed orientation. There are job descriptions in place for all positions that includes outcomes, accountability, responsibilities, and functions to be achieved for each position. All staff who have been employed for over one year have an annual appraisal completed.</w:t>
            </w:r>
          </w:p>
          <w:p w14:paraId="7A5332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HCAs to provide a culturally safe environment for Māori. Information held about staff is kept secure, and confidential. Ethnicity data is identified for staff, and an employee ethnicity database is available. Following any staff incident/accident, evidence of debriefing and follow-up action taken </w:t>
            </w:r>
            <w:r w:rsidRPr="00BE00C7">
              <w:rPr>
                <w:rFonts w:cs="Arial"/>
                <w:lang w:eastAsia="en-NZ"/>
              </w:rPr>
              <w:lastRenderedPageBreak/>
              <w:t>are documented. Wellbeing support is provided to staff.</w:t>
            </w:r>
          </w:p>
          <w:p w14:paraId="64CBE97E" w14:textId="77777777" w:rsidR="00000000" w:rsidRPr="00BE00C7" w:rsidRDefault="00000000" w:rsidP="00BE00C7">
            <w:pPr>
              <w:pStyle w:val="OutcomeDescription"/>
              <w:spacing w:before="120" w:after="120"/>
              <w:rPr>
                <w:rFonts w:cs="Arial"/>
                <w:lang w:eastAsia="en-NZ"/>
              </w:rPr>
            </w:pPr>
          </w:p>
        </w:tc>
      </w:tr>
      <w:tr w:rsidR="00801C82" w14:paraId="23197BEA" w14:textId="77777777">
        <w:tc>
          <w:tcPr>
            <w:tcW w:w="0" w:type="auto"/>
          </w:tcPr>
          <w:p w14:paraId="3391A1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4EAC5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DABEAE7" w14:textId="77777777" w:rsidR="00000000" w:rsidRPr="00BE00C7" w:rsidRDefault="00000000" w:rsidP="00BE00C7">
            <w:pPr>
              <w:pStyle w:val="OutcomeDescription"/>
              <w:spacing w:before="120" w:after="120"/>
              <w:rPr>
                <w:rFonts w:cs="Arial"/>
                <w:lang w:eastAsia="en-NZ"/>
              </w:rPr>
            </w:pPr>
          </w:p>
        </w:tc>
        <w:tc>
          <w:tcPr>
            <w:tcW w:w="0" w:type="auto"/>
          </w:tcPr>
          <w:p w14:paraId="775F9C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F91D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a mixture of hard copy and an electronic format. Electronic information is regularly backed-up using cloud-based technology and password protected. There is a documented CHT 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provider. </w:t>
            </w:r>
          </w:p>
          <w:p w14:paraId="54F685D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archived files are securely stored in a locked room or backed up on the electronic system and easily retrievable when required. 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area manager is the privacy officer and there is a pathway of communication and approval to release health information. The service is not responsible for National Health Index registration.</w:t>
            </w:r>
          </w:p>
          <w:p w14:paraId="1079936D" w14:textId="77777777" w:rsidR="00000000" w:rsidRPr="00BE00C7" w:rsidRDefault="00000000" w:rsidP="00BE00C7">
            <w:pPr>
              <w:pStyle w:val="OutcomeDescription"/>
              <w:spacing w:before="120" w:after="120"/>
              <w:rPr>
                <w:rFonts w:cs="Arial"/>
                <w:lang w:eastAsia="en-NZ"/>
              </w:rPr>
            </w:pPr>
          </w:p>
        </w:tc>
      </w:tr>
      <w:tr w:rsidR="00801C82" w14:paraId="448B1C6E" w14:textId="77777777">
        <w:tc>
          <w:tcPr>
            <w:tcW w:w="0" w:type="auto"/>
          </w:tcPr>
          <w:p w14:paraId="23B3862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392DED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1FDC402" w14:textId="77777777" w:rsidR="00000000" w:rsidRPr="00BE00C7" w:rsidRDefault="00000000" w:rsidP="00BE00C7">
            <w:pPr>
              <w:pStyle w:val="OutcomeDescription"/>
              <w:spacing w:before="120" w:after="120"/>
              <w:rPr>
                <w:rFonts w:cs="Arial"/>
                <w:lang w:eastAsia="en-NZ"/>
              </w:rPr>
            </w:pPr>
          </w:p>
        </w:tc>
        <w:tc>
          <w:tcPr>
            <w:tcW w:w="0" w:type="auto"/>
          </w:tcPr>
          <w:p w14:paraId="6F555F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3DF5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Nine admission agreements reviewed align with all service requirements. Exclusions from the service are included in the admission agreement. Family/whānau and residents interviewed stated that they have received the information pack and received sufficient information prior to and on entry to the service. Admission criteria are based on the assessed need of the resident and the contracts under which the service operates. The care home manager and clinical coordinator are </w:t>
            </w:r>
            <w:r w:rsidRPr="00BE00C7">
              <w:rPr>
                <w:rFonts w:cs="Arial"/>
                <w:lang w:eastAsia="en-NZ"/>
              </w:rPr>
              <w:lastRenderedPageBreak/>
              <w:t xml:space="preserve">available to answer any questions regarding the admission process and a waiting list is managed. </w:t>
            </w:r>
          </w:p>
          <w:p w14:paraId="190C02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CHT Hillcrest is committed to recognising and celebrating tāngata whenua (iwi) in a meaningful way through partnership, educational programmes and liaison with their local marae and other maraes through whanau connections. They can also access Māori advisory services.</w:t>
            </w:r>
          </w:p>
          <w:p w14:paraId="7CC8F5D0" w14:textId="77777777" w:rsidR="00000000" w:rsidRPr="00BE00C7" w:rsidRDefault="00000000" w:rsidP="00BE00C7">
            <w:pPr>
              <w:pStyle w:val="OutcomeDescription"/>
              <w:spacing w:before="120" w:after="120"/>
              <w:rPr>
                <w:rFonts w:cs="Arial"/>
                <w:lang w:eastAsia="en-NZ"/>
              </w:rPr>
            </w:pPr>
          </w:p>
        </w:tc>
      </w:tr>
      <w:tr w:rsidR="00801C82" w14:paraId="609A43D1" w14:textId="77777777">
        <w:tc>
          <w:tcPr>
            <w:tcW w:w="0" w:type="auto"/>
          </w:tcPr>
          <w:p w14:paraId="27CE89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9701A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CB4591E" w14:textId="77777777" w:rsidR="00000000" w:rsidRPr="00BE00C7" w:rsidRDefault="00000000" w:rsidP="00BE00C7">
            <w:pPr>
              <w:pStyle w:val="OutcomeDescription"/>
              <w:spacing w:before="120" w:after="120"/>
              <w:rPr>
                <w:rFonts w:cs="Arial"/>
                <w:lang w:eastAsia="en-NZ"/>
              </w:rPr>
            </w:pPr>
          </w:p>
        </w:tc>
        <w:tc>
          <w:tcPr>
            <w:tcW w:w="0" w:type="auto"/>
          </w:tcPr>
          <w:p w14:paraId="4DCBA0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D834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 files were reviewed for this audit: five hospital resident files including one resident on a LTS-CHC contract and one resident on an ACC contract. One resident on a YPD contract, two rest home and two dementia. The unit coordinators and the registered nurses (RN) are responsible for conducting all assessments and for the development of care plans. Residents and family/whānau interviewed report they are involved in the assessment, care planning and review process as evidenced in the files reviewed. </w:t>
            </w:r>
          </w:p>
          <w:p w14:paraId="5C58489F"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and cultural awareness policy is in place to ensure the service supports Māori and family/whānau to identify their own pae ora outcomes in their care or support plan. There is also a Pasifika health care plan to ensure the service supports Pasifika and their family/whanau.</w:t>
            </w:r>
          </w:p>
          <w:p w14:paraId="41E6D4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All reviewed files (excluding the ACC contract) had interRAI assessments completed. All files reviewed confirmed that the initial interRAI assessments and initial long-term care plans were completed in a timely manner. The long-term care plan includes interventions to guide care delivery, </w:t>
            </w:r>
            <w:r w:rsidRPr="00BE00C7">
              <w:rPr>
                <w:rFonts w:cs="Arial"/>
                <w:lang w:eastAsia="en-NZ"/>
              </w:rPr>
              <w:lastRenderedPageBreak/>
              <w:t xml:space="preserve">which are reflective of assessed needs. The care plans were holistic and align with the service’s model of person-centred care. Care plan evaluations were completed at least six-monthly or when residents’ needs changed. Short-term care plans for infections, weight loss, behaviour that challenges and wounds were well utilised, with interventions transferred to the long-term care plans in a timely manner. The resident on the ACC contract had appropriate assessments completed which were linked to the long-term care plan. </w:t>
            </w:r>
          </w:p>
          <w:p w14:paraId="4F6F48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general practitioner (GP) ensures residents are assessed within five working days of admission. The GP reviews each resident monthly in the hospital and three monthly in the rest home and dementia unit. The GP practice provides on-call service for after hours. The clinical coordinator is available 24/7 for clinical advice and decision making as required. When interviewed, the GP expressed satisfaction with the standard of care and the RN’s competence at CHT Hillcrest. Specialist referrals are initiated as needed. Allied health interventions were documented and integrated into care plans. The service has a contracted physiotherapist who works six hours a week. The CHT dietitian is contacted as required. A podiatrist visits six weekly and a speech language therapist, occupational health therapist, continence advisor, hospice specialists and wound care specialist nurse are available as required. </w:t>
            </w:r>
          </w:p>
          <w:p w14:paraId="7B4456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a verbal handover at the beginning of each duty that maintains a continuity of service delivery; this was observed on the day of audit and found to be comprehensive in nature. Progress notes are written daily by registered nurses and HCAs. The registered nurses further add to the progress notes if there are any incidents, GP visits or changes in health status. </w:t>
            </w:r>
          </w:p>
          <w:p w14:paraId="07B8B45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family/whānau. When a resident’s condition alters, the staff alert the unit coordinators who then initiate a review with a GP. Family/whānau stated they were notified of all changes to health, including infections, accident/incidents, GP visit, medication changes and any changes to health status, and this was consistently documented in the resident’s progress notes.</w:t>
            </w:r>
          </w:p>
          <w:p w14:paraId="53EC31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wound register is maintained. There was one resident with a minor wound, one with a diabetic ulcer, one with a cancerous skin lesion, one resolving stage 1 pressure injury and one resolving suspected deep tissue injury (sac report sighted). The cancerous lesion is being reviewed by the dermatology clinic. The wound care specialist had been accessed for input to the diabetic ulcer. All wounds were reviewed and had comprehensive wound assessments, wound management plans and documented evaluations, including photographs to show healing progression. The wound care specialist had been accessed for input to the suspected deep tissue injury. The HCAs and RNs interviewed confirmed there are adequate clinical supplies and equipment provided, including continence, wound care supplies and pressure injury prevention resources.</w:t>
            </w:r>
          </w:p>
          <w:p w14:paraId="27349E13"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Healthcare assistants and RNs complete monitoring charts, including bowel chart; blood pressure; weight; food and fluid chart; pain; behaviour; blood glucose levels; repositioning and restraint monitoring. All monitoring reviewed was implemented as scheduled. Neurological observations are completed for unwitnessed falls and suspected head injuries according to policy.</w:t>
            </w:r>
          </w:p>
          <w:p w14:paraId="5D67A55C" w14:textId="77777777" w:rsidR="00000000" w:rsidRPr="00BE00C7" w:rsidRDefault="00000000" w:rsidP="00BE00C7">
            <w:pPr>
              <w:pStyle w:val="OutcomeDescription"/>
              <w:spacing w:before="120" w:after="120"/>
              <w:rPr>
                <w:rFonts w:cs="Arial"/>
                <w:lang w:eastAsia="en-NZ"/>
              </w:rPr>
            </w:pPr>
          </w:p>
          <w:p w14:paraId="6C3FA498" w14:textId="77777777" w:rsidR="00000000" w:rsidRPr="00BE00C7" w:rsidRDefault="00000000" w:rsidP="00BE00C7">
            <w:pPr>
              <w:pStyle w:val="OutcomeDescription"/>
              <w:spacing w:before="120" w:after="120"/>
              <w:rPr>
                <w:rFonts w:cs="Arial"/>
                <w:lang w:eastAsia="en-NZ"/>
              </w:rPr>
            </w:pPr>
          </w:p>
        </w:tc>
      </w:tr>
      <w:tr w:rsidR="00801C82" w14:paraId="5C54EDCD" w14:textId="77777777">
        <w:tc>
          <w:tcPr>
            <w:tcW w:w="0" w:type="auto"/>
          </w:tcPr>
          <w:p w14:paraId="192898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574C5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BBAB4D7" w14:textId="77777777" w:rsidR="00000000" w:rsidRPr="00BE00C7" w:rsidRDefault="00000000" w:rsidP="00BE00C7">
            <w:pPr>
              <w:pStyle w:val="OutcomeDescription"/>
              <w:spacing w:before="120" w:after="120"/>
              <w:rPr>
                <w:rFonts w:cs="Arial"/>
                <w:lang w:eastAsia="en-NZ"/>
              </w:rPr>
            </w:pPr>
          </w:p>
        </w:tc>
        <w:tc>
          <w:tcPr>
            <w:tcW w:w="0" w:type="auto"/>
          </w:tcPr>
          <w:p w14:paraId="34B864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F994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team of five activities coordinators (two of whom are diversional therapists (DT). The team covers seven days a week. The programme is supported by the HCAs. </w:t>
            </w:r>
          </w:p>
          <w:p w14:paraId="21C145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the calendar is placed in large print on all noticeboards. Those residents who want one can have a copy in their rooms. The activity team facilitate opportunities to participate in te reo Māori, incorporating Māori language in entertainment and singing, craft, participation in Waitangi weekend, Māori language week and Matariki. </w:t>
            </w:r>
          </w:p>
          <w:p w14:paraId="0E863A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manicures, hand massage and </w:t>
            </w:r>
            <w:r w:rsidRPr="00BE00C7">
              <w:rPr>
                <w:rFonts w:cs="Arial"/>
                <w:lang w:eastAsia="en-NZ"/>
              </w:rPr>
              <w:lastRenderedPageBreak/>
              <w:t xml:space="preserve">chit-chat. There are lounges where residents and families/whānau can watch television and access newspapers, games, puzzles, and books. </w:t>
            </w:r>
          </w:p>
          <w:p w14:paraId="4E7EA1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set programme in the dementia unit; however, all staff are very aware that this programme needs to be flexible. The residents in the dementia unit have an individualised 24-hour activity plan documented for each resident. </w:t>
            </w:r>
          </w:p>
          <w:p w14:paraId="6AF47EA7"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exercises; newspaper reading, music and movement; crafts; games; quizzes; entertainers; board gaming; hand pampering; bingo and happy hour. There are daily morning walks in each unit, regular van drives for outings, regular entertainers visiting the residents, regular church services and Roman Catholic communion. The van outings are short for those with a short attention span, and longer for those residents with a greater concentration span. There are two facility cats and pet therapy dogs visit.</w:t>
            </w:r>
          </w:p>
          <w:p w14:paraId="40ABC9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for the younger residents included one on one activities and outings and movies of their choice. </w:t>
            </w:r>
          </w:p>
          <w:p w14:paraId="19527F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quarterly resident meetings in the rest home and hospital. Activities staff rely on feedback from other staff and family/whanau in the dementia unit. Residents and family/whanau can also provide feedback on activities at the six-monthly reviews. Residents and family/whānau interviewed stated the activity programme is meaningful and engaging. Family/whanau acknowledged the difficulties in the dementia unit but said staff did an amazing job.</w:t>
            </w:r>
          </w:p>
          <w:p w14:paraId="0CE58611" w14:textId="77777777" w:rsidR="00000000" w:rsidRPr="00BE00C7" w:rsidRDefault="00000000" w:rsidP="00BE00C7">
            <w:pPr>
              <w:pStyle w:val="OutcomeDescription"/>
              <w:spacing w:before="120" w:after="120"/>
              <w:rPr>
                <w:rFonts w:cs="Arial"/>
                <w:lang w:eastAsia="en-NZ"/>
              </w:rPr>
            </w:pPr>
          </w:p>
        </w:tc>
      </w:tr>
      <w:tr w:rsidR="00801C82" w14:paraId="1A1C8740" w14:textId="77777777">
        <w:tc>
          <w:tcPr>
            <w:tcW w:w="0" w:type="auto"/>
          </w:tcPr>
          <w:p w14:paraId="4133B1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71D43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w:t>
            </w:r>
            <w:r w:rsidRPr="00BE00C7">
              <w:rPr>
                <w:rFonts w:cs="Arial"/>
                <w:lang w:eastAsia="en-NZ"/>
              </w:rPr>
              <w:lastRenderedPageBreak/>
              <w:t>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8BDF845" w14:textId="77777777" w:rsidR="00000000" w:rsidRPr="00BE00C7" w:rsidRDefault="00000000" w:rsidP="00BE00C7">
            <w:pPr>
              <w:pStyle w:val="OutcomeDescription"/>
              <w:spacing w:before="120" w:after="120"/>
              <w:rPr>
                <w:rFonts w:cs="Arial"/>
                <w:lang w:eastAsia="en-NZ"/>
              </w:rPr>
            </w:pPr>
          </w:p>
        </w:tc>
        <w:tc>
          <w:tcPr>
            <w:tcW w:w="0" w:type="auto"/>
          </w:tcPr>
          <w:p w14:paraId="6AEA33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D6E2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w:t>
            </w:r>
            <w:r w:rsidRPr="00BE00C7">
              <w:rPr>
                <w:rFonts w:cs="Arial"/>
                <w:lang w:eastAsia="en-NZ"/>
              </w:rPr>
              <w:lastRenderedPageBreak/>
              <w:t xml:space="preserve">basis. Education around safe medication administration has been provided. Eleven RN’s have completed syringe driver training. </w:t>
            </w:r>
          </w:p>
          <w:p w14:paraId="0FAF41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HCAs interviewed could describe their role regarding medication administration. All medications are checked on delivery against the medication chart and any discrepancies are fed back to the supplying pharmacy. </w:t>
            </w:r>
          </w:p>
          <w:p w14:paraId="517BEF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the medication room. Medication trolleys were always locked when not in use. The medication fridge and medication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 </w:t>
            </w:r>
          </w:p>
          <w:p w14:paraId="1A9070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Eighteen electronic medication charts were reviewed. The medication charts reviewed confirmed the GP reviews all resident medication charts three-monthly and each chart has a photo identification and allergy status identified. There was one rest home resident self-medicating on the days of audit. There was a consent form signed by the GP, RN and resident. This is reviewed three monthly. All of the resident’s medications were stored in a locked drawer. </w:t>
            </w:r>
          </w:p>
          <w:p w14:paraId="323B46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Medication competent HCAs or registered nurses sign when the medication has been administered. The facility does not use standing orders. Residents and family/whānau are updated around medication changes, including the reason for changing medications and side effects. This is documented in the progress notes. </w:t>
            </w:r>
          </w:p>
          <w:p w14:paraId="27082A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clinical coordinator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 </w:t>
            </w:r>
          </w:p>
          <w:p w14:paraId="7F4F23C7" w14:textId="77777777" w:rsidR="00000000" w:rsidRPr="00BE00C7" w:rsidRDefault="00000000" w:rsidP="00BE00C7">
            <w:pPr>
              <w:pStyle w:val="OutcomeDescription"/>
              <w:spacing w:before="120" w:after="120"/>
              <w:rPr>
                <w:rFonts w:cs="Arial"/>
                <w:lang w:eastAsia="en-NZ"/>
              </w:rPr>
            </w:pPr>
          </w:p>
        </w:tc>
      </w:tr>
      <w:tr w:rsidR="00801C82" w14:paraId="6F5222D9" w14:textId="77777777">
        <w:tc>
          <w:tcPr>
            <w:tcW w:w="0" w:type="auto"/>
          </w:tcPr>
          <w:p w14:paraId="537D62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C42BB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72926E3" w14:textId="77777777" w:rsidR="00000000" w:rsidRPr="00BE00C7" w:rsidRDefault="00000000" w:rsidP="00BE00C7">
            <w:pPr>
              <w:pStyle w:val="OutcomeDescription"/>
              <w:spacing w:before="120" w:after="120"/>
              <w:rPr>
                <w:rFonts w:cs="Arial"/>
                <w:lang w:eastAsia="en-NZ"/>
              </w:rPr>
            </w:pPr>
          </w:p>
        </w:tc>
        <w:tc>
          <w:tcPr>
            <w:tcW w:w="0" w:type="auto"/>
          </w:tcPr>
          <w:p w14:paraId="00C5BB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B783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by an external contractor. There is a chef manager, a weekend cook and two kitchen hands on a rostered basis. The kitchen was observed to be clean, well-organised, well equipped and a current approved food control plan was in place. </w:t>
            </w:r>
          </w:p>
          <w:p w14:paraId="674C23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four-weekly seasonal menu has been reviewed by a dietitian. There is a food services manual available on an electronic device. The kitchen manager receives resident dietary information from the registered nurses and is notified of any changes to dietary requirements (vegetarian, dairy free, pureed foods) or residents with weight loss. The chef manager (interviewed) is aware of resident likes, dislikes, and special dietary requirements. Alternative meals are offered for those residents with dislikes or religious and cultural preferences. Māori or Pasifika menu options are built into the menu plan (coconut buns, curries, kai moana) and family/whanau can bring special meals for their relatives. Residents have access to nutritious snacks 24 hours a day. On the day of audit, meals were observed to be well presented. Healthcare assistants interviewed understand tikanga guidelines in terms of everyday practice. Tikanga guidelines are available to staff.</w:t>
            </w:r>
          </w:p>
          <w:p w14:paraId="6F0101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14A490E8"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transported to dining rooms using hot boxes. There was a pleasant ambiance in the dining rooms. Residents were observed enjoying their meals. Staff were observed assisting residents with meals in the dining area especially in the dementia unit. Encouragement is given to stay seated for those residents who wander/constantly walk. Modified utensils are available for residents to maintain independence with eating as required.</w:t>
            </w:r>
          </w:p>
          <w:p w14:paraId="0857C7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were very complimentary regarding the food service, and the variety and choice of meals provided. They can offer feedback at the resident meetings </w:t>
            </w:r>
            <w:r w:rsidRPr="00BE00C7">
              <w:rPr>
                <w:rFonts w:cs="Arial"/>
                <w:lang w:eastAsia="en-NZ"/>
              </w:rPr>
              <w:lastRenderedPageBreak/>
              <w:t xml:space="preserve">and through resident surveys. </w:t>
            </w:r>
          </w:p>
          <w:p w14:paraId="2A85EFED" w14:textId="77777777" w:rsidR="00000000" w:rsidRPr="00BE00C7" w:rsidRDefault="00000000" w:rsidP="00BE00C7">
            <w:pPr>
              <w:pStyle w:val="OutcomeDescription"/>
              <w:spacing w:before="120" w:after="120"/>
              <w:rPr>
                <w:rFonts w:cs="Arial"/>
                <w:lang w:eastAsia="en-NZ"/>
              </w:rPr>
            </w:pPr>
          </w:p>
        </w:tc>
      </w:tr>
      <w:tr w:rsidR="00801C82" w14:paraId="6F66C9AD" w14:textId="77777777">
        <w:tc>
          <w:tcPr>
            <w:tcW w:w="0" w:type="auto"/>
          </w:tcPr>
          <w:p w14:paraId="3D0FD1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2D866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2CE89E8" w14:textId="77777777" w:rsidR="00000000" w:rsidRPr="00BE00C7" w:rsidRDefault="00000000" w:rsidP="00BE00C7">
            <w:pPr>
              <w:pStyle w:val="OutcomeDescription"/>
              <w:spacing w:before="120" w:after="120"/>
              <w:rPr>
                <w:rFonts w:cs="Arial"/>
                <w:lang w:eastAsia="en-NZ"/>
              </w:rPr>
            </w:pPr>
          </w:p>
        </w:tc>
        <w:tc>
          <w:tcPr>
            <w:tcW w:w="0" w:type="auto"/>
          </w:tcPr>
          <w:p w14:paraId="288D7D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0301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29516163"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clinical coordinator and registered nurses explained the transfer between services includes a comprehensive verbal handover and the completion of specific transfer documentation.</w:t>
            </w:r>
          </w:p>
          <w:p w14:paraId="3211C95D" w14:textId="77777777" w:rsidR="00000000" w:rsidRPr="00BE00C7" w:rsidRDefault="00000000" w:rsidP="00BE00C7">
            <w:pPr>
              <w:pStyle w:val="OutcomeDescription"/>
              <w:spacing w:before="120" w:after="120"/>
              <w:rPr>
                <w:rFonts w:cs="Arial"/>
                <w:lang w:eastAsia="en-NZ"/>
              </w:rPr>
            </w:pPr>
          </w:p>
        </w:tc>
      </w:tr>
      <w:tr w:rsidR="00801C82" w14:paraId="42B9A224" w14:textId="77777777">
        <w:tc>
          <w:tcPr>
            <w:tcW w:w="0" w:type="auto"/>
          </w:tcPr>
          <w:p w14:paraId="5553EA5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F519B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8CF9758" w14:textId="77777777" w:rsidR="00000000" w:rsidRPr="00BE00C7" w:rsidRDefault="00000000" w:rsidP="00BE00C7">
            <w:pPr>
              <w:pStyle w:val="OutcomeDescription"/>
              <w:spacing w:before="120" w:after="120"/>
              <w:rPr>
                <w:rFonts w:cs="Arial"/>
                <w:lang w:eastAsia="en-NZ"/>
              </w:rPr>
            </w:pPr>
          </w:p>
        </w:tc>
        <w:tc>
          <w:tcPr>
            <w:tcW w:w="0" w:type="auto"/>
          </w:tcPr>
          <w:p w14:paraId="5EEDD8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A97F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warrant of fitness is current. Maintenance is managed by CHT head of properties and implemented by a maintenance person covering two CHT facilities. There is an annual maintenance plan for planned maintenance including checks and compliance for the building warrant of fitness, testing and tagging of electrical equipment, calibration and servicing of clinical equipment and hoists, testing of the call bell system, hot water checks and maintenance of the building and grounds. Records reviewed evidenced all equipment tag, test and calibration checks have been completed annually as scheduled. CHT Hillcrest uses a transport company to transport residents on outings in a mobility van. Staff log maintenance or repair requests on an electronic system. This is automatically alerted to the maintenance person and signed off when repairs have been completed. Essential contractors such as plumbers, boilers, refrigeration service people and electricians are available 24 hours a day as required. Staff interviewed stated they have adequate equipment to safely deliver care for residents needs. </w:t>
            </w:r>
          </w:p>
          <w:p w14:paraId="3285AB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tour of the facility was conducted. The facility is a single-level building featuring six wings designated for the hospital and rest home, along with two wings for the dementia unit. Each room on the rest </w:t>
            </w:r>
            <w:r w:rsidRPr="00BE00C7">
              <w:rPr>
                <w:rFonts w:cs="Arial"/>
                <w:lang w:eastAsia="en-NZ"/>
              </w:rPr>
              <w:lastRenderedPageBreak/>
              <w:t xml:space="preserve">home/ hospital side has its own ensuite bathroom. There are no shared rooms. Residents can easily access the garden. There is a well-appointed courtyard with seating and shade. </w:t>
            </w:r>
          </w:p>
          <w:p w14:paraId="4D17EB9B" w14:textId="77777777" w:rsidR="00000000" w:rsidRPr="00BE00C7" w:rsidRDefault="00000000" w:rsidP="00BE00C7">
            <w:pPr>
              <w:pStyle w:val="OutcomeDescription"/>
              <w:spacing w:before="120" w:after="120"/>
              <w:rPr>
                <w:rFonts w:cs="Arial"/>
                <w:lang w:eastAsia="en-NZ"/>
              </w:rPr>
            </w:pPr>
            <w:r w:rsidRPr="00BE00C7">
              <w:rPr>
                <w:rFonts w:cs="Arial"/>
                <w:lang w:eastAsia="en-NZ"/>
              </w:rPr>
              <w:t>Most of the hospital is carpeted with vinyl surfaces in bathrooms/toilets and kitchenette areas. There is adequate space for storage of mobility equipment. Residents are encouraged to bring their own possessions, including those with cultural or spiritual significance into the facility and can personalise their room. Residents were observed moving freely around the areas with mobility aids where required.</w:t>
            </w:r>
          </w:p>
          <w:p w14:paraId="29B678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handrails in hallways and private and communal toilets. The hallways are wide. The lounges allow ample room for residents to mobilise and use equipment safely. The dining rooms are at the end of the lounges and there is also a kitchenette. There are spaces for residents to have quieter times or entertain visitors. Activities take place in the communal lounges. </w:t>
            </w:r>
          </w:p>
          <w:p w14:paraId="583581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sufficient communal toilets situated in close proximity to communal areas. Toilet/shower facilities are easy to clean. There is ample space in toilet and shower areas to accommodate shower chairs if required. There are signs on all shower/toilet doors. The visitor’s toilet is situated near the reception.</w:t>
            </w:r>
          </w:p>
          <w:p w14:paraId="17B2F8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and setting were observed to be culturally safe for Māori and family/whānau, and Māori residents had their artwork displayed inside their room. All bedrooms and communal areas have ample natural light and ventilation. The central heating throughout the facility is set to an ambient temperature. There is ample space in all areas to allow care to be provided and for the safe use of mobility equipment. Staff interviewed reported they have plenty of space to provide care to residents. The facility is non-smoking. There is ample natural light in all resident rooms and communal areas throughout the facility.</w:t>
            </w:r>
          </w:p>
          <w:p w14:paraId="47E319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Dementia unit. </w:t>
            </w:r>
          </w:p>
          <w:p w14:paraId="6E577E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unit has vinyl flooring throughout. Residents are encouraged to personalise their room. All rooms are single with hand-basins. Showers and toilets are communal. The toilet doors have pictures of toilets on them. Residents were observed moving freely around the </w:t>
            </w:r>
            <w:r w:rsidRPr="00BE00C7">
              <w:rPr>
                <w:rFonts w:cs="Arial"/>
                <w:lang w:eastAsia="en-NZ"/>
              </w:rPr>
              <w:lastRenderedPageBreak/>
              <w:t xml:space="preserve">areas with mobility aids where required. There are small groupings of chairs which provide quieter spaces within the lounge. The outdoor area is safely fenced and there is a long-looped pathway. There is also a small gazebo which has a thatched roof Pasifika style. </w:t>
            </w:r>
          </w:p>
          <w:p w14:paraId="2D9EC2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and the clinical coordinator described how they would utilise their links with the kaumātua and local iwi to ensure the designs and environments reflect the aspirations and identity of Māori in any new construction. </w:t>
            </w:r>
          </w:p>
          <w:p w14:paraId="3E9DB1C5" w14:textId="77777777" w:rsidR="00000000" w:rsidRPr="00BE00C7" w:rsidRDefault="00000000" w:rsidP="00BE00C7">
            <w:pPr>
              <w:pStyle w:val="OutcomeDescription"/>
              <w:spacing w:before="120" w:after="120"/>
              <w:rPr>
                <w:rFonts w:cs="Arial"/>
                <w:lang w:eastAsia="en-NZ"/>
              </w:rPr>
            </w:pPr>
          </w:p>
        </w:tc>
      </w:tr>
      <w:tr w:rsidR="00801C82" w14:paraId="1359CEE6" w14:textId="77777777">
        <w:tc>
          <w:tcPr>
            <w:tcW w:w="0" w:type="auto"/>
          </w:tcPr>
          <w:p w14:paraId="668E15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3CF07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85FEDDA" w14:textId="77777777" w:rsidR="00000000" w:rsidRPr="00BE00C7" w:rsidRDefault="00000000" w:rsidP="00BE00C7">
            <w:pPr>
              <w:pStyle w:val="OutcomeDescription"/>
              <w:spacing w:before="120" w:after="120"/>
              <w:rPr>
                <w:rFonts w:cs="Arial"/>
                <w:lang w:eastAsia="en-NZ"/>
              </w:rPr>
            </w:pPr>
          </w:p>
        </w:tc>
        <w:tc>
          <w:tcPr>
            <w:tcW w:w="0" w:type="auto"/>
          </w:tcPr>
          <w:p w14:paraId="4334A6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D602F9"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on the 15 February 2018. Fire evacuation drills are held six-monthly. Civil defence supplies are stored in an identified cupboard and are checked six-monthly. The facility has ordered a generator to have on-site. Meantime they have an agreement with a contractor to hire one in the event of a power outage. There are gas barbeques to cook on. There is an adequate food supply available for each resident for minimum of three days. Emergency water tanks provide 3,650 litres of mains water storage. They are connected to the water supply via a UV filter system.</w:t>
            </w:r>
          </w:p>
          <w:p w14:paraId="0E3CF3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The RNs, the activity coordinators and a selection of HCAs hold current first aid certificates ensuring there is a first aid trained staff member on duty 24/7. There are call bells in the residents’ rooms, communal toilets, and lounge/dining room areas. Call bells are tested as per maintenance schedule. Staff were observed to be responsive to call bells on the days of the audit. Residents and families/whānau interviewed confirmed that call bells are answered in a timely manner. The facility is secured at night and there are nightly security patrols (contractor). </w:t>
            </w:r>
          </w:p>
          <w:p w14:paraId="53482FAD" w14:textId="77777777" w:rsidR="00000000" w:rsidRPr="00BE00C7" w:rsidRDefault="00000000" w:rsidP="00BE00C7">
            <w:pPr>
              <w:pStyle w:val="OutcomeDescription"/>
              <w:spacing w:before="120" w:after="120"/>
              <w:rPr>
                <w:rFonts w:cs="Arial"/>
                <w:lang w:eastAsia="en-NZ"/>
              </w:rPr>
            </w:pPr>
          </w:p>
        </w:tc>
      </w:tr>
      <w:tr w:rsidR="00801C82" w14:paraId="183FDB50" w14:textId="77777777">
        <w:tc>
          <w:tcPr>
            <w:tcW w:w="0" w:type="auto"/>
          </w:tcPr>
          <w:p w14:paraId="776319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2FCBD7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A22DEEA" w14:textId="77777777" w:rsidR="00000000" w:rsidRPr="00BE00C7" w:rsidRDefault="00000000" w:rsidP="00BE00C7">
            <w:pPr>
              <w:pStyle w:val="OutcomeDescription"/>
              <w:spacing w:before="120" w:after="120"/>
              <w:rPr>
                <w:rFonts w:cs="Arial"/>
                <w:lang w:eastAsia="en-NZ"/>
              </w:rPr>
            </w:pPr>
          </w:p>
        </w:tc>
        <w:tc>
          <w:tcPr>
            <w:tcW w:w="0" w:type="auto"/>
          </w:tcPr>
          <w:p w14:paraId="66CE92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C884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and antimicrobial stewardship (AMS) programme is linked into the electronic quality risk and incident reporting system. The infection control and AMS programme is reviewed annually by an external provider, and they meet annually with all CHT infection control staff following this review. Infection control audits are conducted. Infection rates are presented and discussed at quality and staff meetings. Infection control data is also sent to head office where it is reported at monthly Board meetings. The data is also benchmarked with other CHT facilities. Results of benchmarking are presented back to the facility electronically and results discussed with staff. This information is also displayed on staff noticeboards. Infection control is part of the strategic and quality plans.</w:t>
            </w:r>
          </w:p>
          <w:p w14:paraId="308884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access to an infection prevention clinical nurse specialist from the Infection Service and Health New Zealand. The service monitors compliance on antibiotic and antimicrobial use through evaluation and monitoring of medication prescribing charts, prescriptions, medical notes, as well as the prescribing patterns of medical practitioners.</w:t>
            </w:r>
          </w:p>
          <w:p w14:paraId="004BEB4A"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are asked not to visit if unwell. There are hand sanitisers strategically placed around the facility. Residents and staff are offered vaccinations as required.</w:t>
            </w:r>
          </w:p>
          <w:p w14:paraId="7B8E2C21" w14:textId="77777777" w:rsidR="00000000" w:rsidRPr="00BE00C7" w:rsidRDefault="00000000" w:rsidP="00BE00C7">
            <w:pPr>
              <w:pStyle w:val="OutcomeDescription"/>
              <w:spacing w:before="120" w:after="120"/>
              <w:rPr>
                <w:rFonts w:cs="Arial"/>
                <w:lang w:eastAsia="en-NZ"/>
              </w:rPr>
            </w:pPr>
          </w:p>
        </w:tc>
      </w:tr>
      <w:tr w:rsidR="00801C82" w14:paraId="1E3791A5" w14:textId="77777777">
        <w:tc>
          <w:tcPr>
            <w:tcW w:w="0" w:type="auto"/>
          </w:tcPr>
          <w:p w14:paraId="64CD4E8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34A48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3DD0C5C" w14:textId="77777777" w:rsidR="00000000" w:rsidRPr="00BE00C7" w:rsidRDefault="00000000" w:rsidP="00BE00C7">
            <w:pPr>
              <w:pStyle w:val="OutcomeDescription"/>
              <w:spacing w:before="120" w:after="120"/>
              <w:rPr>
                <w:rFonts w:cs="Arial"/>
                <w:lang w:eastAsia="en-NZ"/>
              </w:rPr>
            </w:pPr>
          </w:p>
        </w:tc>
        <w:tc>
          <w:tcPr>
            <w:tcW w:w="0" w:type="auto"/>
          </w:tcPr>
          <w:p w14:paraId="122FF1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5DF6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registered nurse oversees infection control and the AMS programme across the service. The job description outlines the responsibility of the role. The infection control programme, its content and detail, is appropriate for the size, complexity and degree of risk associated with the service. The infection control programme has been approved and is reviewed annually. </w:t>
            </w:r>
          </w:p>
          <w:p w14:paraId="33B965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outbreak and pandemic response plan (incorporating Covid-19), which includes preparation, planning and the management of outbreaks. There is ample personal protective equipment (PPE), with extra stocks available as required. There is a process to ensure stock gets rotated and checked for expiry dates. </w:t>
            </w:r>
          </w:p>
          <w:p w14:paraId="6A667B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resource nurse (IFCRN) has completed infection </w:t>
            </w:r>
            <w:r w:rsidRPr="00BE00C7">
              <w:rPr>
                <w:rFonts w:cs="Arial"/>
                <w:lang w:eastAsia="en-NZ"/>
              </w:rPr>
              <w:lastRenderedPageBreak/>
              <w:t xml:space="preserve">control education. There is good external support from the GP, laboratory, the external provider, and Health New Zealand infection control nurse specialist. The IFCRN has input to purchasing supplies, equipment, other related clinical policies that may impact on HAI risk. </w:t>
            </w:r>
          </w:p>
          <w:p w14:paraId="78A112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online infection control manual outlines a comprehensive range of policies, standards and guidelines and includes defining roles, responsibilities and oversight, training, and education of staff. Policies and procedures are reviewed by the external provider in consultation with infection control coordinators. Policies are available to staff.</w:t>
            </w:r>
          </w:p>
          <w:p w14:paraId="5649B1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All shared equipment is appropriately disinfected between use, and internal audits have been updated to include this. The service incorporates te reo Māori information around infection control for Māori residents, Māori protocols are adhered to, and staff are able to describe these practices, acknowledging the spirit of Te Tiriti.</w:t>
            </w:r>
          </w:p>
          <w:p w14:paraId="64360A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There has been additional infection control training and Covid-19 management. Staff have completed handwashing and personal protective equipment competencies. Resident education occurs as part of the daily cares. Residents and family/whānau were kept informed and updated on pandemic policies and procedures through resident meetings, newsletters, and emails. The management team and IFCRN would liaise with their community iwi links should the design of any new building or significant change be proposed to the existing facility. </w:t>
            </w:r>
          </w:p>
          <w:p w14:paraId="0832C18A" w14:textId="77777777" w:rsidR="00000000" w:rsidRPr="00BE00C7" w:rsidRDefault="00000000" w:rsidP="00BE00C7">
            <w:pPr>
              <w:pStyle w:val="OutcomeDescription"/>
              <w:spacing w:before="120" w:after="120"/>
              <w:rPr>
                <w:rFonts w:cs="Arial"/>
                <w:lang w:eastAsia="en-NZ"/>
              </w:rPr>
            </w:pPr>
          </w:p>
        </w:tc>
      </w:tr>
      <w:tr w:rsidR="00801C82" w14:paraId="3EBBA6D1" w14:textId="77777777">
        <w:tc>
          <w:tcPr>
            <w:tcW w:w="0" w:type="auto"/>
          </w:tcPr>
          <w:p w14:paraId="54DB17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42131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r>
            <w:r w:rsidRPr="00BE00C7">
              <w:rPr>
                <w:rFonts w:cs="Arial"/>
                <w:lang w:eastAsia="en-NZ"/>
              </w:rPr>
              <w:lastRenderedPageBreak/>
              <w:t>As service providers: We promote responsible antimicrobials prescribing and implement an AMS programme that is appropriate to the needs, size, and scope of our services.</w:t>
            </w:r>
          </w:p>
          <w:p w14:paraId="38782827" w14:textId="77777777" w:rsidR="00000000" w:rsidRPr="00BE00C7" w:rsidRDefault="00000000" w:rsidP="00BE00C7">
            <w:pPr>
              <w:pStyle w:val="OutcomeDescription"/>
              <w:spacing w:before="120" w:after="120"/>
              <w:rPr>
                <w:rFonts w:cs="Arial"/>
                <w:lang w:eastAsia="en-NZ"/>
              </w:rPr>
            </w:pPr>
          </w:p>
        </w:tc>
        <w:tc>
          <w:tcPr>
            <w:tcW w:w="0" w:type="auto"/>
          </w:tcPr>
          <w:p w14:paraId="74A91F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3ADD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prescriptions, and medical notes through a monthly multidisciplinary meeting. The antimicrobial policy is appropriate for the size, scope, and complexity of the resident cohort. Infection rates are collated monthly and </w:t>
            </w:r>
            <w:r w:rsidRPr="00BE00C7">
              <w:rPr>
                <w:rFonts w:cs="Arial"/>
                <w:lang w:eastAsia="en-NZ"/>
              </w:rPr>
              <w:lastRenderedPageBreak/>
              <w:t>reported to the quality and infection control meetings, as well as CHT head office. Prophylactic use of antibiotics is not considered to be appropriate and is discouraged.</w:t>
            </w:r>
          </w:p>
          <w:p w14:paraId="484CA0A5" w14:textId="77777777" w:rsidR="00000000" w:rsidRPr="00BE00C7" w:rsidRDefault="00000000" w:rsidP="00BE00C7">
            <w:pPr>
              <w:pStyle w:val="OutcomeDescription"/>
              <w:spacing w:before="120" w:after="120"/>
              <w:rPr>
                <w:rFonts w:cs="Arial"/>
                <w:lang w:eastAsia="en-NZ"/>
              </w:rPr>
            </w:pPr>
          </w:p>
        </w:tc>
      </w:tr>
      <w:tr w:rsidR="00801C82" w14:paraId="71CEB412" w14:textId="77777777">
        <w:tc>
          <w:tcPr>
            <w:tcW w:w="0" w:type="auto"/>
          </w:tcPr>
          <w:p w14:paraId="3FFB87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F91CD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791CB6E" w14:textId="77777777" w:rsidR="00000000" w:rsidRPr="00BE00C7" w:rsidRDefault="00000000" w:rsidP="00BE00C7">
            <w:pPr>
              <w:pStyle w:val="OutcomeDescription"/>
              <w:spacing w:before="120" w:after="120"/>
              <w:rPr>
                <w:rFonts w:cs="Arial"/>
                <w:lang w:eastAsia="en-NZ"/>
              </w:rPr>
            </w:pPr>
          </w:p>
        </w:tc>
        <w:tc>
          <w:tcPr>
            <w:tcW w:w="0" w:type="auto"/>
          </w:tcPr>
          <w:p w14:paraId="7F3602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FD0E58"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control surveillance is discussed at quality and staff meetings and sent to CHT head office. Meeting minutes and graphs are displayed for staff. Action plans are required for any infection rates of concern. The service captures ethnicity data on admission and incorporates this into surveillance methods and data captured around infections. Internal infection control audits are completed with corrective actions for areas of improvement. The service receives email notifications and alerts from CHT head office and Health New Zealand for any community concerns.</w:t>
            </w:r>
          </w:p>
          <w:p w14:paraId="681C3C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outbreaks since the previous audit; however, the facility has a pandemic plan and Covid-19 Response Framework. The IFCRN explained staff are well trained to respond rapidly. Families/whānau would be kept informed by phone or email in case of an outbreak, and visiting would be able to continue under restricted conditions.</w:t>
            </w:r>
          </w:p>
          <w:p w14:paraId="1E3BA8FD" w14:textId="77777777" w:rsidR="00000000" w:rsidRPr="00BE00C7" w:rsidRDefault="00000000" w:rsidP="00BE00C7">
            <w:pPr>
              <w:pStyle w:val="OutcomeDescription"/>
              <w:spacing w:before="120" w:after="120"/>
              <w:rPr>
                <w:rFonts w:cs="Arial"/>
                <w:lang w:eastAsia="en-NZ"/>
              </w:rPr>
            </w:pPr>
          </w:p>
        </w:tc>
      </w:tr>
      <w:tr w:rsidR="00801C82" w14:paraId="7C8FDF1A" w14:textId="77777777">
        <w:tc>
          <w:tcPr>
            <w:tcW w:w="0" w:type="auto"/>
          </w:tcPr>
          <w:p w14:paraId="21DEFF4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02F491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safe </w:t>
            </w:r>
            <w:r w:rsidRPr="00BE00C7">
              <w:rPr>
                <w:rFonts w:cs="Arial"/>
                <w:lang w:eastAsia="en-NZ"/>
              </w:rPr>
              <w:lastRenderedPageBreak/>
              <w:t>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B77F604" w14:textId="77777777" w:rsidR="00000000" w:rsidRPr="00BE00C7" w:rsidRDefault="00000000" w:rsidP="00BE00C7">
            <w:pPr>
              <w:pStyle w:val="OutcomeDescription"/>
              <w:spacing w:before="120" w:after="120"/>
              <w:rPr>
                <w:rFonts w:cs="Arial"/>
                <w:lang w:eastAsia="en-NZ"/>
              </w:rPr>
            </w:pPr>
          </w:p>
        </w:tc>
        <w:tc>
          <w:tcPr>
            <w:tcW w:w="0" w:type="auto"/>
          </w:tcPr>
          <w:p w14:paraId="4425E1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4DB6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kept in a secure cupboard on the cleaning trolley, and the trolley is kept in a locked cupboard when not in use. Safety datasheets and product sheets are available. Sharp’s containers are available and meet the hazardous substances regulations for containers. Gloves, aprons, and masks are available for staff, and they were observed to be wearing these as they carried </w:t>
            </w:r>
            <w:r w:rsidRPr="00BE00C7">
              <w:rPr>
                <w:rFonts w:cs="Arial"/>
                <w:lang w:eastAsia="en-NZ"/>
              </w:rPr>
              <w:lastRenderedPageBreak/>
              <w:t>out their duties on the days of audit. Eye protection (goggles and face shields) is available. Staff have completed chemical safety training. A chemical provider monitors the effectiveness of chemicals. Cleaning is done by on-site cleaners who are contracted by an external service. There are sluice rooms with a sanitiser for the disposal of soiled water or waste. The sluice rooms are kept closed when not in use.</w:t>
            </w:r>
          </w:p>
          <w:p w14:paraId="4C67E4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for CHT Hillcrest Hospital is processed on site (external building) by a contracted service. There are defined clean/dirty areas for the pickup and drop off. There are clear processes to guide staff in the transportation and distribution of the linen. </w:t>
            </w:r>
          </w:p>
          <w:p w14:paraId="48AB32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Cleanliness of the environment, including cleaning and laundry services are monitored by the infection control coordinator, and area manager through the internal auditing system. Residents and family/whānau interviewed were satisfied with the standard of cleanliness and laundry services. </w:t>
            </w:r>
          </w:p>
          <w:p w14:paraId="6ACAAE5C" w14:textId="77777777" w:rsidR="00000000" w:rsidRPr="00BE00C7" w:rsidRDefault="00000000" w:rsidP="00BE00C7">
            <w:pPr>
              <w:pStyle w:val="OutcomeDescription"/>
              <w:spacing w:before="120" w:after="120"/>
              <w:rPr>
                <w:rFonts w:cs="Arial"/>
                <w:lang w:eastAsia="en-NZ"/>
              </w:rPr>
            </w:pPr>
          </w:p>
        </w:tc>
      </w:tr>
      <w:tr w:rsidR="00801C82" w14:paraId="6CE11244" w14:textId="77777777">
        <w:tc>
          <w:tcPr>
            <w:tcW w:w="0" w:type="auto"/>
          </w:tcPr>
          <w:p w14:paraId="366EE7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7A0BC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C7B8B7C" w14:textId="77777777" w:rsidR="00000000" w:rsidRPr="00BE00C7" w:rsidRDefault="00000000" w:rsidP="00BE00C7">
            <w:pPr>
              <w:pStyle w:val="OutcomeDescription"/>
              <w:spacing w:before="120" w:after="120"/>
              <w:rPr>
                <w:rFonts w:cs="Arial"/>
                <w:lang w:eastAsia="en-NZ"/>
              </w:rPr>
            </w:pPr>
          </w:p>
        </w:tc>
        <w:tc>
          <w:tcPr>
            <w:tcW w:w="0" w:type="auto"/>
          </w:tcPr>
          <w:p w14:paraId="3AA2FC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B4D6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restraint consideration and application must be done in partnership with residents, families/whānau, and the choice of device must be the least restrictive possible. When restraint is considered, the facility works in partnership with the resident and family/whānau to ensure services are mana enhancing. </w:t>
            </w:r>
          </w:p>
          <w:p w14:paraId="498E56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a RN. There are currently two hospital level care residents listed on the restraint register as using bed rails. The residents use bed rails to provide safety, minimise risk of injury, assistance with bed mobility, and repositioning. Both bed rails have covers. </w:t>
            </w:r>
          </w:p>
          <w:p w14:paraId="748A5F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use of restraint is reviewed monthly by the restraint coordinator and reported at the staff meetings to the clinical coordinator and to head office. The resident and/or family/whānau are consulted on the restraint procedures, as part of the restraint review processes, as required. all restraint reviews are conducted with the resident and family/whānau present so the voice of the resident can be heard. The restraint coordinator interviewed described the focus on minimising </w:t>
            </w:r>
            <w:r w:rsidRPr="00BE00C7">
              <w:rPr>
                <w:rFonts w:cs="Arial"/>
                <w:lang w:eastAsia="en-NZ"/>
              </w:rPr>
              <w:lastRenderedPageBreak/>
              <w:t xml:space="preserve">restraint wherever possible and working towards a restraint-free environment. Restraint minimisation is included as part of the mandatory training plan and orientation programme. Staff complete competencies at orientation and annually. </w:t>
            </w:r>
          </w:p>
          <w:p w14:paraId="7B9060DE" w14:textId="77777777" w:rsidR="00000000" w:rsidRPr="00BE00C7" w:rsidRDefault="00000000" w:rsidP="00BE00C7">
            <w:pPr>
              <w:pStyle w:val="OutcomeDescription"/>
              <w:spacing w:before="120" w:after="120"/>
              <w:rPr>
                <w:rFonts w:cs="Arial"/>
                <w:lang w:eastAsia="en-NZ"/>
              </w:rPr>
            </w:pPr>
          </w:p>
        </w:tc>
      </w:tr>
      <w:tr w:rsidR="00801C82" w14:paraId="4DEC5F7B" w14:textId="77777777">
        <w:tc>
          <w:tcPr>
            <w:tcW w:w="0" w:type="auto"/>
          </w:tcPr>
          <w:p w14:paraId="1186B1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7741B9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F66DB56" w14:textId="77777777" w:rsidR="00000000" w:rsidRPr="00BE00C7" w:rsidRDefault="00000000" w:rsidP="00BE00C7">
            <w:pPr>
              <w:pStyle w:val="OutcomeDescription"/>
              <w:spacing w:before="120" w:after="120"/>
              <w:rPr>
                <w:rFonts w:cs="Arial"/>
                <w:lang w:eastAsia="en-NZ"/>
              </w:rPr>
            </w:pPr>
          </w:p>
        </w:tc>
        <w:tc>
          <w:tcPr>
            <w:tcW w:w="0" w:type="auto"/>
          </w:tcPr>
          <w:p w14:paraId="17F931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E941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is maintained by the restraint coordinator. The files of the two hospital residents listed as using restraint were reviewed. The restraint assessment addresses alternatives to restraint use before restraint is initiated (e.g., falls prevention strategies, managing behaviours). The residents were using restraint as a last resort and/or at the insistence of them or their activated EPOA. Written consent was obtained from each resident and/or their EPOA. The use of restraint is approved by the GP and reviewed monthly. No emergency restraints have been required; however, the use of emergency restraint and the requirement for a debrief meeting is included in the restraint policy. The restraint coordinator was fluent in the definition of emergency restraint and the processes around this including the requirement for a debrief meeting to be held with staff, the resident and family/whānau. </w:t>
            </w:r>
          </w:p>
          <w:p w14:paraId="087C894A" w14:textId="77777777" w:rsidR="00000000" w:rsidRPr="00BE00C7" w:rsidRDefault="00000000" w:rsidP="00BE00C7">
            <w:pPr>
              <w:pStyle w:val="OutcomeDescription"/>
              <w:spacing w:before="120" w:after="120"/>
              <w:rPr>
                <w:rFonts w:cs="Arial"/>
                <w:lang w:eastAsia="en-NZ"/>
              </w:rPr>
            </w:pPr>
            <w:r w:rsidRPr="00BE00C7">
              <w:rPr>
                <w:rFonts w:cs="Arial"/>
                <w:lang w:eastAsia="en-NZ"/>
              </w:rPr>
              <w:t>he current restraints are scheduled to be monitored four-hourly, and this is occurring. Monitoring includes resident’s cultural, physical, psychological, spiritual, and psychosocial needs. No accidents or incidents have occurred as a result of restraint use. Restraints are regularly reviewed and discussed in the staff meetings. The formal and documented review of restraint use takes place annually.</w:t>
            </w:r>
          </w:p>
          <w:p w14:paraId="2CAB97D4" w14:textId="77777777" w:rsidR="00000000" w:rsidRPr="00BE00C7" w:rsidRDefault="00000000" w:rsidP="00BE00C7">
            <w:pPr>
              <w:pStyle w:val="OutcomeDescription"/>
              <w:spacing w:before="120" w:after="120"/>
              <w:rPr>
                <w:rFonts w:cs="Arial"/>
                <w:lang w:eastAsia="en-NZ"/>
              </w:rPr>
            </w:pPr>
          </w:p>
        </w:tc>
      </w:tr>
      <w:tr w:rsidR="00801C82" w14:paraId="5B240157" w14:textId="77777777">
        <w:tc>
          <w:tcPr>
            <w:tcW w:w="0" w:type="auto"/>
          </w:tcPr>
          <w:p w14:paraId="0017C5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2B0A4F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45916D81" w14:textId="77777777" w:rsidR="00000000" w:rsidRPr="00BE00C7" w:rsidRDefault="00000000" w:rsidP="00BE00C7">
            <w:pPr>
              <w:pStyle w:val="OutcomeDescription"/>
              <w:spacing w:before="120" w:after="120"/>
              <w:rPr>
                <w:rFonts w:cs="Arial"/>
                <w:lang w:eastAsia="en-NZ"/>
              </w:rPr>
            </w:pPr>
          </w:p>
        </w:tc>
        <w:tc>
          <w:tcPr>
            <w:tcW w:w="0" w:type="auto"/>
          </w:tcPr>
          <w:p w14:paraId="7722D3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0EC2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working towards a restraint-free environment by collecting, monitoring, and reviewing data and implementing improvement activities. The service includes the use of restraint in their annual internal audit programme. The annual review is completed by the restraint coordinator and the restraint support staff at CHT head office. The outcome of the internal audit is discussed in meetings. The restraint coordinator reports to all staff at monthly meetings. This report includes a review of restraint use, restraint incidents (should they occur), and education needs. Each resident utilising restraint and/or their EPOA has input into the review process. </w:t>
            </w:r>
            <w:r w:rsidRPr="00BE00C7">
              <w:rPr>
                <w:rFonts w:cs="Arial"/>
                <w:lang w:eastAsia="en-NZ"/>
              </w:rPr>
              <w:lastRenderedPageBreak/>
              <w:t xml:space="preserve">Restraint data, including any incidents, are reported as part of the restraint coordinator reporting to the clinical coordinator and head office. A comprehensive review of individual restraints is conducted at least six-monthly during care plan reviews. </w:t>
            </w:r>
          </w:p>
          <w:p w14:paraId="673AF05D" w14:textId="77777777" w:rsidR="00000000" w:rsidRPr="00BE00C7" w:rsidRDefault="00000000" w:rsidP="00BE00C7">
            <w:pPr>
              <w:pStyle w:val="OutcomeDescription"/>
              <w:spacing w:before="120" w:after="120"/>
              <w:rPr>
                <w:rFonts w:cs="Arial"/>
                <w:lang w:eastAsia="en-NZ"/>
              </w:rPr>
            </w:pPr>
          </w:p>
        </w:tc>
      </w:tr>
    </w:tbl>
    <w:p w14:paraId="0F54537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113463D" w14:textId="77777777" w:rsidR="00000000" w:rsidRDefault="00000000">
      <w:pPr>
        <w:pStyle w:val="Heading1"/>
        <w:rPr>
          <w:rFonts w:cs="Arial"/>
        </w:rPr>
      </w:pPr>
      <w:r>
        <w:rPr>
          <w:rFonts w:cs="Arial"/>
        </w:rPr>
        <w:lastRenderedPageBreak/>
        <w:t>Specific results for criterion where corrective actions are required</w:t>
      </w:r>
    </w:p>
    <w:p w14:paraId="4B7A609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0D9215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4E0797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01C82" w14:paraId="113A9A9D" w14:textId="77777777">
        <w:tc>
          <w:tcPr>
            <w:tcW w:w="0" w:type="auto"/>
          </w:tcPr>
          <w:p w14:paraId="02A1B8C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04A373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A3593C6" w14:textId="77777777" w:rsidR="00000000" w:rsidRDefault="00000000">
      <w:pPr>
        <w:pStyle w:val="Heading1"/>
        <w:rPr>
          <w:rFonts w:cs="Arial"/>
        </w:rPr>
      </w:pPr>
      <w:r>
        <w:rPr>
          <w:rFonts w:cs="Arial"/>
        </w:rPr>
        <w:lastRenderedPageBreak/>
        <w:t>Specific results for criterion where a continuous improvement has been recorded</w:t>
      </w:r>
    </w:p>
    <w:p w14:paraId="4472D56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4713B9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707D6A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01C82" w14:paraId="1E846368" w14:textId="77777777">
        <w:tc>
          <w:tcPr>
            <w:tcW w:w="0" w:type="auto"/>
          </w:tcPr>
          <w:p w14:paraId="52C3042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7E6489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87B074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1F4B" w14:textId="77777777" w:rsidR="009E471A" w:rsidRDefault="009E471A">
      <w:r>
        <w:separator/>
      </w:r>
    </w:p>
  </w:endnote>
  <w:endnote w:type="continuationSeparator" w:id="0">
    <w:p w14:paraId="7AE709A8" w14:textId="77777777" w:rsidR="009E471A" w:rsidRDefault="009E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DA77" w14:textId="77777777" w:rsidR="00000000" w:rsidRDefault="00000000">
    <w:pPr>
      <w:pStyle w:val="Footer"/>
    </w:pPr>
  </w:p>
  <w:p w14:paraId="430FE1E5" w14:textId="77777777" w:rsidR="00000000" w:rsidRDefault="00000000"/>
  <w:p w14:paraId="5359DFC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233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CHT Healthcare Trust - Hillcrest Hospital</w:t>
    </w:r>
    <w:bookmarkEnd w:id="59"/>
    <w:r>
      <w:rPr>
        <w:rFonts w:cs="Arial"/>
        <w:sz w:val="16"/>
        <w:szCs w:val="20"/>
      </w:rPr>
      <w:tab/>
      <w:t xml:space="preserve">Date of Audit: </w:t>
    </w:r>
    <w:bookmarkStart w:id="60" w:name="AuditStartDate1"/>
    <w:r>
      <w:rPr>
        <w:rFonts w:cs="Arial"/>
        <w:sz w:val="16"/>
        <w:szCs w:val="20"/>
      </w:rPr>
      <w:t>9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8028D7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608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A8C9" w14:textId="77777777" w:rsidR="009E471A" w:rsidRDefault="009E471A">
      <w:r>
        <w:separator/>
      </w:r>
    </w:p>
  </w:footnote>
  <w:footnote w:type="continuationSeparator" w:id="0">
    <w:p w14:paraId="6CBC8B75" w14:textId="77777777" w:rsidR="009E471A" w:rsidRDefault="009E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656B" w14:textId="77777777" w:rsidR="00000000" w:rsidRDefault="00000000">
    <w:pPr>
      <w:pStyle w:val="Header"/>
    </w:pPr>
  </w:p>
  <w:p w14:paraId="63197AE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FAF7" w14:textId="77777777" w:rsidR="00000000" w:rsidRDefault="00000000">
    <w:pPr>
      <w:pStyle w:val="Header"/>
    </w:pPr>
  </w:p>
  <w:p w14:paraId="44699B0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E4B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DF8D9BE">
      <w:start w:val="1"/>
      <w:numFmt w:val="decimal"/>
      <w:lvlText w:val="%1."/>
      <w:lvlJc w:val="left"/>
      <w:pPr>
        <w:ind w:left="360" w:hanging="360"/>
      </w:pPr>
    </w:lvl>
    <w:lvl w:ilvl="1" w:tplc="CA6C053E" w:tentative="1">
      <w:start w:val="1"/>
      <w:numFmt w:val="lowerLetter"/>
      <w:lvlText w:val="%2."/>
      <w:lvlJc w:val="left"/>
      <w:pPr>
        <w:ind w:left="1080" w:hanging="360"/>
      </w:pPr>
    </w:lvl>
    <w:lvl w:ilvl="2" w:tplc="62188BC2" w:tentative="1">
      <w:start w:val="1"/>
      <w:numFmt w:val="lowerRoman"/>
      <w:lvlText w:val="%3."/>
      <w:lvlJc w:val="right"/>
      <w:pPr>
        <w:ind w:left="1800" w:hanging="180"/>
      </w:pPr>
    </w:lvl>
    <w:lvl w:ilvl="3" w:tplc="186A1C08" w:tentative="1">
      <w:start w:val="1"/>
      <w:numFmt w:val="decimal"/>
      <w:lvlText w:val="%4."/>
      <w:lvlJc w:val="left"/>
      <w:pPr>
        <w:ind w:left="2520" w:hanging="360"/>
      </w:pPr>
    </w:lvl>
    <w:lvl w:ilvl="4" w:tplc="E4FC4E86" w:tentative="1">
      <w:start w:val="1"/>
      <w:numFmt w:val="lowerLetter"/>
      <w:lvlText w:val="%5."/>
      <w:lvlJc w:val="left"/>
      <w:pPr>
        <w:ind w:left="3240" w:hanging="360"/>
      </w:pPr>
    </w:lvl>
    <w:lvl w:ilvl="5" w:tplc="C346E60E" w:tentative="1">
      <w:start w:val="1"/>
      <w:numFmt w:val="lowerRoman"/>
      <w:lvlText w:val="%6."/>
      <w:lvlJc w:val="right"/>
      <w:pPr>
        <w:ind w:left="3960" w:hanging="180"/>
      </w:pPr>
    </w:lvl>
    <w:lvl w:ilvl="6" w:tplc="66180C9C" w:tentative="1">
      <w:start w:val="1"/>
      <w:numFmt w:val="decimal"/>
      <w:lvlText w:val="%7."/>
      <w:lvlJc w:val="left"/>
      <w:pPr>
        <w:ind w:left="4680" w:hanging="360"/>
      </w:pPr>
    </w:lvl>
    <w:lvl w:ilvl="7" w:tplc="15000B3C" w:tentative="1">
      <w:start w:val="1"/>
      <w:numFmt w:val="lowerLetter"/>
      <w:lvlText w:val="%8."/>
      <w:lvlJc w:val="left"/>
      <w:pPr>
        <w:ind w:left="5400" w:hanging="360"/>
      </w:pPr>
    </w:lvl>
    <w:lvl w:ilvl="8" w:tplc="4482BD8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4D4A6F2">
      <w:start w:val="1"/>
      <w:numFmt w:val="bullet"/>
      <w:lvlText w:val=""/>
      <w:lvlJc w:val="left"/>
      <w:pPr>
        <w:ind w:left="720" w:hanging="360"/>
      </w:pPr>
      <w:rPr>
        <w:rFonts w:ascii="Symbol" w:hAnsi="Symbol" w:hint="default"/>
      </w:rPr>
    </w:lvl>
    <w:lvl w:ilvl="1" w:tplc="220ECF86" w:tentative="1">
      <w:start w:val="1"/>
      <w:numFmt w:val="bullet"/>
      <w:lvlText w:val="o"/>
      <w:lvlJc w:val="left"/>
      <w:pPr>
        <w:ind w:left="1440" w:hanging="360"/>
      </w:pPr>
      <w:rPr>
        <w:rFonts w:ascii="Courier New" w:hAnsi="Courier New" w:cs="Courier New" w:hint="default"/>
      </w:rPr>
    </w:lvl>
    <w:lvl w:ilvl="2" w:tplc="03983284" w:tentative="1">
      <w:start w:val="1"/>
      <w:numFmt w:val="bullet"/>
      <w:lvlText w:val=""/>
      <w:lvlJc w:val="left"/>
      <w:pPr>
        <w:ind w:left="2160" w:hanging="360"/>
      </w:pPr>
      <w:rPr>
        <w:rFonts w:ascii="Wingdings" w:hAnsi="Wingdings" w:hint="default"/>
      </w:rPr>
    </w:lvl>
    <w:lvl w:ilvl="3" w:tplc="71C2A0FA" w:tentative="1">
      <w:start w:val="1"/>
      <w:numFmt w:val="bullet"/>
      <w:lvlText w:val=""/>
      <w:lvlJc w:val="left"/>
      <w:pPr>
        <w:ind w:left="2880" w:hanging="360"/>
      </w:pPr>
      <w:rPr>
        <w:rFonts w:ascii="Symbol" w:hAnsi="Symbol" w:hint="default"/>
      </w:rPr>
    </w:lvl>
    <w:lvl w:ilvl="4" w:tplc="470866A6" w:tentative="1">
      <w:start w:val="1"/>
      <w:numFmt w:val="bullet"/>
      <w:lvlText w:val="o"/>
      <w:lvlJc w:val="left"/>
      <w:pPr>
        <w:ind w:left="3600" w:hanging="360"/>
      </w:pPr>
      <w:rPr>
        <w:rFonts w:ascii="Courier New" w:hAnsi="Courier New" w:cs="Courier New" w:hint="default"/>
      </w:rPr>
    </w:lvl>
    <w:lvl w:ilvl="5" w:tplc="579099FE" w:tentative="1">
      <w:start w:val="1"/>
      <w:numFmt w:val="bullet"/>
      <w:lvlText w:val=""/>
      <w:lvlJc w:val="left"/>
      <w:pPr>
        <w:ind w:left="4320" w:hanging="360"/>
      </w:pPr>
      <w:rPr>
        <w:rFonts w:ascii="Wingdings" w:hAnsi="Wingdings" w:hint="default"/>
      </w:rPr>
    </w:lvl>
    <w:lvl w:ilvl="6" w:tplc="1D8E5748" w:tentative="1">
      <w:start w:val="1"/>
      <w:numFmt w:val="bullet"/>
      <w:lvlText w:val=""/>
      <w:lvlJc w:val="left"/>
      <w:pPr>
        <w:ind w:left="5040" w:hanging="360"/>
      </w:pPr>
      <w:rPr>
        <w:rFonts w:ascii="Symbol" w:hAnsi="Symbol" w:hint="default"/>
      </w:rPr>
    </w:lvl>
    <w:lvl w:ilvl="7" w:tplc="DFCC311C" w:tentative="1">
      <w:start w:val="1"/>
      <w:numFmt w:val="bullet"/>
      <w:lvlText w:val="o"/>
      <w:lvlJc w:val="left"/>
      <w:pPr>
        <w:ind w:left="5760" w:hanging="360"/>
      </w:pPr>
      <w:rPr>
        <w:rFonts w:ascii="Courier New" w:hAnsi="Courier New" w:cs="Courier New" w:hint="default"/>
      </w:rPr>
    </w:lvl>
    <w:lvl w:ilvl="8" w:tplc="7B5C0EBE" w:tentative="1">
      <w:start w:val="1"/>
      <w:numFmt w:val="bullet"/>
      <w:lvlText w:val=""/>
      <w:lvlJc w:val="left"/>
      <w:pPr>
        <w:ind w:left="6480" w:hanging="360"/>
      </w:pPr>
      <w:rPr>
        <w:rFonts w:ascii="Wingdings" w:hAnsi="Wingdings" w:hint="default"/>
      </w:rPr>
    </w:lvl>
  </w:abstractNum>
  <w:num w:numId="1" w16cid:durableId="399206697">
    <w:abstractNumId w:val="1"/>
  </w:num>
  <w:num w:numId="2" w16cid:durableId="120023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82"/>
    <w:rsid w:val="00801C82"/>
    <w:rsid w:val="008801B8"/>
    <w:rsid w:val="009E471A"/>
    <w:rsid w:val="00E812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6D80"/>
  <w15:docId w15:val="{4D6118DD-E7E2-4C94-AB1B-725D6F8C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13561</Words>
  <Characters>77302</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2025-11-10T02:50:00Z</dcterms:created>
  <dcterms:modified xsi:type="dcterms:W3CDTF">2025-11-10T02:50:00Z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