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AECA" w14:textId="77777777" w:rsidR="00000000" w:rsidRDefault="00000000">
      <w:pPr>
        <w:pStyle w:val="Heading1"/>
        <w:rPr>
          <w:rFonts w:cs="Arial"/>
        </w:rPr>
      </w:pPr>
      <w:bookmarkStart w:id="0" w:name="PRMS_RIName"/>
      <w:r>
        <w:rPr>
          <w:rFonts w:cs="Arial"/>
        </w:rPr>
        <w:t>The Ultimate Care Group Limited - Alden Rose Court</w:t>
      </w:r>
      <w:bookmarkEnd w:id="0"/>
    </w:p>
    <w:p w14:paraId="386A3AEC" w14:textId="77777777" w:rsidR="00000000" w:rsidRDefault="00000000">
      <w:pPr>
        <w:pStyle w:val="Heading2"/>
        <w:spacing w:after="0"/>
        <w:rPr>
          <w:rFonts w:cs="Arial"/>
        </w:rPr>
      </w:pPr>
      <w:r>
        <w:rPr>
          <w:rFonts w:cs="Arial"/>
        </w:rPr>
        <w:t>Introduction</w:t>
      </w:r>
    </w:p>
    <w:p w14:paraId="5E634AC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2385C0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72E768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8686B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FEAFA9D" w14:textId="77777777" w:rsidR="00000000" w:rsidRDefault="00000000">
      <w:pPr>
        <w:spacing w:before="240" w:after="240"/>
        <w:rPr>
          <w:rFonts w:cs="Arial"/>
          <w:lang w:eastAsia="en-NZ"/>
        </w:rPr>
      </w:pPr>
      <w:r>
        <w:rPr>
          <w:rFonts w:cs="Arial"/>
          <w:lang w:eastAsia="en-NZ"/>
        </w:rPr>
        <w:t>The specifics of this audit included:</w:t>
      </w:r>
    </w:p>
    <w:p w14:paraId="049D34A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DFA89F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2F8ACC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Rose Court</w:t>
      </w:r>
      <w:bookmarkEnd w:id="5"/>
    </w:p>
    <w:p w14:paraId="7AC5BED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F37286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September 2025</w:t>
      </w:r>
      <w:bookmarkEnd w:id="7"/>
      <w:r w:rsidRPr="009418D4">
        <w:rPr>
          <w:rFonts w:cs="Arial"/>
        </w:rPr>
        <w:tab/>
        <w:t xml:space="preserve">End date: </w:t>
      </w:r>
      <w:bookmarkStart w:id="8" w:name="AuditEndDate"/>
      <w:r>
        <w:rPr>
          <w:rFonts w:cs="Arial"/>
        </w:rPr>
        <w:t>10 September 2025</w:t>
      </w:r>
      <w:bookmarkEnd w:id="8"/>
    </w:p>
    <w:p w14:paraId="5216D43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0D7E3B3" w14:textId="77777777" w:rsidR="007E37A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054719D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3B69EA7" w14:textId="77777777" w:rsidR="00000000" w:rsidRDefault="00000000">
      <w:pPr>
        <w:pStyle w:val="Heading1"/>
        <w:rPr>
          <w:rFonts w:cs="Arial"/>
        </w:rPr>
      </w:pPr>
      <w:r>
        <w:rPr>
          <w:rFonts w:cs="Arial"/>
        </w:rPr>
        <w:lastRenderedPageBreak/>
        <w:t>Executive summary of the audit</w:t>
      </w:r>
    </w:p>
    <w:p w14:paraId="5FF12ED4" w14:textId="77777777" w:rsidR="00000000" w:rsidRDefault="00000000">
      <w:pPr>
        <w:pStyle w:val="Heading2"/>
        <w:rPr>
          <w:rFonts w:cs="Arial"/>
        </w:rPr>
      </w:pPr>
      <w:r>
        <w:rPr>
          <w:rFonts w:cs="Arial"/>
        </w:rPr>
        <w:t>Introduction</w:t>
      </w:r>
    </w:p>
    <w:p w14:paraId="429E63C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1662D7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EC2C1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63543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FA31CE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F995A2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23A07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6CF03F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ED6F5D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E37A0" w14:paraId="651D594E" w14:textId="77777777">
        <w:trPr>
          <w:cantSplit/>
          <w:tblHeader/>
        </w:trPr>
        <w:tc>
          <w:tcPr>
            <w:tcW w:w="1260" w:type="dxa"/>
            <w:tcBorders>
              <w:bottom w:val="single" w:sz="4" w:space="0" w:color="000000"/>
            </w:tcBorders>
            <w:vAlign w:val="center"/>
          </w:tcPr>
          <w:p w14:paraId="27A10E6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8B3014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643E10C" w14:textId="77777777" w:rsidR="00000000" w:rsidRDefault="00000000">
            <w:pPr>
              <w:spacing w:before="60" w:after="60"/>
              <w:rPr>
                <w:rFonts w:eastAsia="Calibri"/>
                <w:b/>
                <w:szCs w:val="24"/>
              </w:rPr>
            </w:pPr>
            <w:r>
              <w:rPr>
                <w:rFonts w:eastAsia="Calibri"/>
                <w:b/>
                <w:szCs w:val="24"/>
              </w:rPr>
              <w:t>Definition</w:t>
            </w:r>
          </w:p>
        </w:tc>
      </w:tr>
      <w:tr w:rsidR="007E37A0" w14:paraId="5D2CC3A0" w14:textId="77777777">
        <w:trPr>
          <w:cantSplit/>
          <w:trHeight w:val="964"/>
        </w:trPr>
        <w:tc>
          <w:tcPr>
            <w:tcW w:w="1260" w:type="dxa"/>
            <w:tcBorders>
              <w:bottom w:val="single" w:sz="4" w:space="0" w:color="000000"/>
            </w:tcBorders>
            <w:shd w:val="clear" w:color="0066FF" w:fill="0000FF"/>
            <w:vAlign w:val="center"/>
          </w:tcPr>
          <w:p w14:paraId="31F7FE4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E27D5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8EFA8D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E37A0" w14:paraId="6B0DB22F" w14:textId="77777777">
        <w:trPr>
          <w:cantSplit/>
          <w:trHeight w:val="964"/>
        </w:trPr>
        <w:tc>
          <w:tcPr>
            <w:tcW w:w="1260" w:type="dxa"/>
            <w:shd w:val="clear" w:color="33CC33" w:fill="00FF00"/>
            <w:vAlign w:val="center"/>
          </w:tcPr>
          <w:p w14:paraId="1959BF92" w14:textId="77777777" w:rsidR="00000000" w:rsidRDefault="00000000">
            <w:pPr>
              <w:spacing w:before="60" w:after="60"/>
              <w:rPr>
                <w:rFonts w:eastAsia="Calibri"/>
                <w:szCs w:val="24"/>
              </w:rPr>
            </w:pPr>
          </w:p>
        </w:tc>
        <w:tc>
          <w:tcPr>
            <w:tcW w:w="7095" w:type="dxa"/>
            <w:shd w:val="clear" w:color="auto" w:fill="auto"/>
            <w:vAlign w:val="center"/>
          </w:tcPr>
          <w:p w14:paraId="231713D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760E3B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E37A0" w14:paraId="22F1024E" w14:textId="77777777">
        <w:trPr>
          <w:cantSplit/>
          <w:trHeight w:val="964"/>
        </w:trPr>
        <w:tc>
          <w:tcPr>
            <w:tcW w:w="1260" w:type="dxa"/>
            <w:tcBorders>
              <w:bottom w:val="single" w:sz="4" w:space="0" w:color="000000"/>
            </w:tcBorders>
            <w:shd w:val="clear" w:color="auto" w:fill="FFFF00"/>
            <w:vAlign w:val="center"/>
          </w:tcPr>
          <w:p w14:paraId="07799DD4" w14:textId="77777777" w:rsidR="00000000" w:rsidRDefault="00000000">
            <w:pPr>
              <w:spacing w:before="60" w:after="60"/>
              <w:rPr>
                <w:rFonts w:eastAsia="Calibri"/>
                <w:szCs w:val="24"/>
              </w:rPr>
            </w:pPr>
          </w:p>
        </w:tc>
        <w:tc>
          <w:tcPr>
            <w:tcW w:w="7095" w:type="dxa"/>
            <w:shd w:val="clear" w:color="auto" w:fill="auto"/>
            <w:vAlign w:val="center"/>
          </w:tcPr>
          <w:p w14:paraId="5FA87F1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E20949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E37A0" w14:paraId="385C08C2" w14:textId="77777777">
        <w:trPr>
          <w:cantSplit/>
          <w:trHeight w:val="964"/>
        </w:trPr>
        <w:tc>
          <w:tcPr>
            <w:tcW w:w="1260" w:type="dxa"/>
            <w:tcBorders>
              <w:bottom w:val="single" w:sz="4" w:space="0" w:color="000000"/>
            </w:tcBorders>
            <w:shd w:val="clear" w:color="auto" w:fill="FFC800"/>
            <w:vAlign w:val="center"/>
          </w:tcPr>
          <w:p w14:paraId="12F22C9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FA4CCC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5001A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E37A0" w14:paraId="2751900F" w14:textId="77777777">
        <w:trPr>
          <w:cantSplit/>
          <w:trHeight w:val="964"/>
        </w:trPr>
        <w:tc>
          <w:tcPr>
            <w:tcW w:w="1260" w:type="dxa"/>
            <w:shd w:val="clear" w:color="auto" w:fill="FF0000"/>
            <w:vAlign w:val="center"/>
          </w:tcPr>
          <w:p w14:paraId="3DC8D0F2" w14:textId="77777777" w:rsidR="00000000" w:rsidRDefault="00000000">
            <w:pPr>
              <w:spacing w:before="60" w:after="60"/>
              <w:rPr>
                <w:rFonts w:eastAsia="Calibri"/>
                <w:szCs w:val="24"/>
              </w:rPr>
            </w:pPr>
          </w:p>
        </w:tc>
        <w:tc>
          <w:tcPr>
            <w:tcW w:w="7095" w:type="dxa"/>
            <w:shd w:val="clear" w:color="auto" w:fill="auto"/>
            <w:vAlign w:val="center"/>
          </w:tcPr>
          <w:p w14:paraId="5C049EE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851706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F106038" w14:textId="77777777" w:rsidR="00000000" w:rsidRDefault="00000000">
      <w:pPr>
        <w:pStyle w:val="Heading2"/>
        <w:spacing w:after="0"/>
        <w:rPr>
          <w:rFonts w:cs="Arial"/>
        </w:rPr>
      </w:pPr>
      <w:r>
        <w:rPr>
          <w:rFonts w:cs="Arial"/>
        </w:rPr>
        <w:t>General overview of the audit</w:t>
      </w:r>
    </w:p>
    <w:p w14:paraId="32483D34" w14:textId="77777777" w:rsidR="00000000" w:rsidRDefault="00000000">
      <w:pPr>
        <w:spacing w:before="240" w:line="276" w:lineRule="auto"/>
        <w:rPr>
          <w:rFonts w:eastAsia="Calibri"/>
        </w:rPr>
      </w:pPr>
      <w:bookmarkStart w:id="13" w:name="GeneralOverview"/>
      <w:r w:rsidRPr="00A4268A">
        <w:rPr>
          <w:rFonts w:eastAsia="Calibri"/>
        </w:rPr>
        <w:t>Alden Rose Court (formerly Ultimate Care Rose Court) are certified to provide rest home and hospital (geriatric and medical) level of care. There are 54 dual purpose beds and 21 serviced apartments certified as suitable to provide for rest home level of care. On the day of the audit, there were 53 residents.</w:t>
      </w:r>
    </w:p>
    <w:p w14:paraId="1860CD48" w14:textId="77777777" w:rsidR="007E37A0"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a review of policies and procedures, the review of residents and staff files, observations, and interviews with residents, family/whānau, staff, general practitioner and management. </w:t>
      </w:r>
    </w:p>
    <w:p w14:paraId="54B01161" w14:textId="77777777" w:rsidR="007E37A0" w:rsidRPr="00A4268A" w:rsidRDefault="00000000">
      <w:pPr>
        <w:spacing w:before="240" w:line="276" w:lineRule="auto"/>
        <w:rPr>
          <w:rFonts w:eastAsia="Calibri"/>
        </w:rPr>
      </w:pPr>
      <w:r w:rsidRPr="00A4268A">
        <w:rPr>
          <w:rFonts w:eastAsia="Calibri"/>
        </w:rPr>
        <w:t xml:space="preserve">The facility manager is supported by the executive team, a clinical services manager, and a team of experienced clinical and non-clinical staff. Interviews with residents, family/whānau and the general practitioner were positive and complimented the management and staff for providing a resident centred service for the community. </w:t>
      </w:r>
    </w:p>
    <w:p w14:paraId="0197A85C" w14:textId="77777777" w:rsidR="007E37A0" w:rsidRPr="00A4268A" w:rsidRDefault="00000000">
      <w:pPr>
        <w:spacing w:before="240" w:line="276" w:lineRule="auto"/>
        <w:rPr>
          <w:rFonts w:eastAsia="Calibri"/>
        </w:rPr>
      </w:pPr>
      <w:r w:rsidRPr="00A4268A">
        <w:rPr>
          <w:rFonts w:eastAsia="Calibri"/>
        </w:rPr>
        <w:t>This certification audit identified no shortfalls.</w:t>
      </w:r>
    </w:p>
    <w:p w14:paraId="32227709" w14:textId="77777777" w:rsidR="007E37A0" w:rsidRPr="00A4268A" w:rsidRDefault="00000000">
      <w:pPr>
        <w:spacing w:before="240" w:line="276" w:lineRule="auto"/>
        <w:rPr>
          <w:rFonts w:eastAsia="Calibri"/>
        </w:rPr>
      </w:pPr>
      <w:r w:rsidRPr="00A4268A">
        <w:rPr>
          <w:rFonts w:eastAsia="Calibri"/>
        </w:rPr>
        <w:t xml:space="preserve">The service was awarded a continuous improvement rating for the management of urinary tract infections. </w:t>
      </w:r>
    </w:p>
    <w:bookmarkEnd w:id="13"/>
    <w:p w14:paraId="6F3D7527" w14:textId="77777777" w:rsidR="007E37A0" w:rsidRPr="00A4268A" w:rsidRDefault="007E37A0">
      <w:pPr>
        <w:spacing w:before="240" w:line="276" w:lineRule="auto"/>
        <w:rPr>
          <w:rFonts w:eastAsia="Calibri"/>
        </w:rPr>
      </w:pPr>
    </w:p>
    <w:p w14:paraId="23C4393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7A0" w14:paraId="1515A153" w14:textId="77777777" w:rsidTr="00A4268A">
        <w:trPr>
          <w:cantSplit/>
        </w:trPr>
        <w:tc>
          <w:tcPr>
            <w:tcW w:w="10206" w:type="dxa"/>
            <w:vAlign w:val="center"/>
          </w:tcPr>
          <w:p w14:paraId="39D2CAC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6B9A35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ABCD84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9C3516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9DAB1A2" w14:textId="77777777" w:rsidR="00000000" w:rsidRDefault="00000000">
      <w:pPr>
        <w:spacing w:before="240" w:line="276" w:lineRule="auto"/>
        <w:rPr>
          <w:rFonts w:eastAsia="Calibri"/>
        </w:rPr>
      </w:pPr>
      <w:bookmarkStart w:id="16" w:name="ConsumerRights"/>
      <w:r w:rsidRPr="00A4268A">
        <w:rPr>
          <w:rFonts w:eastAsia="Calibri"/>
        </w:rPr>
        <w:t xml:space="preserve">Alden Rose Court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Residents receive services in a manner that considers their dignity, privacy and independence. </w:t>
      </w:r>
    </w:p>
    <w:p w14:paraId="55DD94CD" w14:textId="77777777" w:rsidR="007E37A0" w:rsidRPr="00A4268A" w:rsidRDefault="00000000">
      <w:pPr>
        <w:spacing w:before="240" w:line="276" w:lineRule="auto"/>
        <w:rPr>
          <w:rFonts w:eastAsia="Calibri"/>
        </w:rPr>
      </w:pPr>
      <w:r w:rsidRPr="00A4268A">
        <w:rPr>
          <w:rFonts w:eastAsia="Calibri"/>
        </w:rPr>
        <w:t xml:space="preserve">The management and staff listen and respect the voices of the residents and effectively communicate with them about their choices. Care plans accommodate the choices of residents. Details relating to the Health and Disability Commissioner’s (HDC) Code of Health and Disability Services Consumers Rights (the Code) are included in the information packs given to new or potential residents and family/whānau. The rights of the resident and/or their family/whānau to make a complaint are understood, respected, and upheld by the service. </w:t>
      </w:r>
    </w:p>
    <w:p w14:paraId="30A26D8A" w14:textId="77777777" w:rsidR="007E37A0" w:rsidRPr="00A4268A" w:rsidRDefault="00000000">
      <w:pPr>
        <w:spacing w:before="240" w:line="276" w:lineRule="auto"/>
        <w:rPr>
          <w:rFonts w:eastAsia="Calibri"/>
        </w:rPr>
      </w:pPr>
      <w:r w:rsidRPr="00A4268A">
        <w:rPr>
          <w:rFonts w:eastAsia="Calibri"/>
        </w:rPr>
        <w:t>Complaints processes are implemented, and complaints and concerns are actively managed.</w:t>
      </w:r>
    </w:p>
    <w:bookmarkEnd w:id="16"/>
    <w:p w14:paraId="625124A4" w14:textId="77777777" w:rsidR="007E37A0" w:rsidRPr="00A4268A" w:rsidRDefault="007E37A0">
      <w:pPr>
        <w:spacing w:before="240" w:line="276" w:lineRule="auto"/>
        <w:rPr>
          <w:rFonts w:eastAsia="Calibri"/>
        </w:rPr>
      </w:pPr>
    </w:p>
    <w:p w14:paraId="5DF79BC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7A0" w14:paraId="748205CF" w14:textId="77777777" w:rsidTr="00A4268A">
        <w:trPr>
          <w:cantSplit/>
        </w:trPr>
        <w:tc>
          <w:tcPr>
            <w:tcW w:w="10206" w:type="dxa"/>
            <w:vAlign w:val="center"/>
          </w:tcPr>
          <w:p w14:paraId="7F208A0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E5BC26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3DA22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B25C206"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Alden Rose Court is part of a wider investment group and is privately owned. The service is led by a governing body. Services are planned, coordinated, and are appropriate to the needs of the residents. Alden Rose Court has a documented quality and risk management system. A robust health and safety programme is implemented, and hazards are reviewed on a regular basis. </w:t>
      </w:r>
    </w:p>
    <w:p w14:paraId="32912258" w14:textId="77777777" w:rsidR="007E37A0"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There is policy to guide staffing requirements including skill mixes. Residents and family/whānau reported that staffing levels are adequate to meet the needs of the residents. </w:t>
      </w:r>
    </w:p>
    <w:p w14:paraId="04DF4C5C" w14:textId="77777777" w:rsidR="007E37A0"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0581165B" w14:textId="77777777" w:rsidR="007E37A0" w:rsidRPr="00A4268A" w:rsidRDefault="007E37A0">
      <w:pPr>
        <w:spacing w:before="240" w:line="276" w:lineRule="auto"/>
        <w:rPr>
          <w:rFonts w:eastAsia="Calibri"/>
        </w:rPr>
      </w:pPr>
    </w:p>
    <w:p w14:paraId="444345A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7A0" w14:paraId="78E8071D" w14:textId="77777777" w:rsidTr="00A4268A">
        <w:trPr>
          <w:cantSplit/>
        </w:trPr>
        <w:tc>
          <w:tcPr>
            <w:tcW w:w="10206" w:type="dxa"/>
            <w:vAlign w:val="center"/>
          </w:tcPr>
          <w:p w14:paraId="63D2D7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A95C13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2191E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865D17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 and management team are responsible for managing the entry process to the service. The service works in partnership with the residents, and their family/whānau or enduring power of attorneys to assess, plan and evaluate care.</w:t>
      </w:r>
    </w:p>
    <w:p w14:paraId="75213AF6" w14:textId="77777777" w:rsidR="007E37A0" w:rsidRPr="00A4268A" w:rsidRDefault="00000000" w:rsidP="00621629">
      <w:pPr>
        <w:spacing w:before="240" w:line="276" w:lineRule="auto"/>
        <w:rPr>
          <w:rFonts w:eastAsia="Calibri"/>
        </w:rPr>
      </w:pPr>
      <w:r w:rsidRPr="00A4268A">
        <w:rPr>
          <w:rFonts w:eastAsia="Calibri"/>
        </w:rPr>
        <w:t>The planned activity programme provides residents with a variety of individual and group activities. There are adequate resources to undertake activities at the service.</w:t>
      </w:r>
    </w:p>
    <w:p w14:paraId="16DFD7E5" w14:textId="77777777" w:rsidR="007E37A0" w:rsidRPr="00A4268A" w:rsidRDefault="00000000" w:rsidP="00621629">
      <w:pPr>
        <w:spacing w:before="240" w:line="276" w:lineRule="auto"/>
        <w:rPr>
          <w:rFonts w:eastAsia="Calibri"/>
        </w:rPr>
      </w:pPr>
      <w:r w:rsidRPr="00A4268A">
        <w:rPr>
          <w:rFonts w:eastAsia="Calibri"/>
        </w:rPr>
        <w:t>Medication policies are available and accessible. Registered nurses and medication competent caregivers are responsible for administration of medicines. They complete annual education and medication competencies. The medicine charts reviewed are reviewed at least three-monthly by the general practitioner.</w:t>
      </w:r>
    </w:p>
    <w:p w14:paraId="246A2EA8" w14:textId="77777777" w:rsidR="007E37A0"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and fluids for residents are provided in line with recognised nutritional guidelines and additional requirements/modified needs are being met. The service has a current food control plan.</w:t>
      </w:r>
    </w:p>
    <w:p w14:paraId="188C9AEE" w14:textId="77777777" w:rsidR="007E37A0" w:rsidRPr="00A4268A" w:rsidRDefault="00000000"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planned and coordinated.</w:t>
      </w:r>
    </w:p>
    <w:bookmarkEnd w:id="22"/>
    <w:p w14:paraId="65206344" w14:textId="77777777" w:rsidR="007E37A0" w:rsidRPr="00A4268A" w:rsidRDefault="007E37A0" w:rsidP="00621629">
      <w:pPr>
        <w:spacing w:before="240" w:line="276" w:lineRule="auto"/>
        <w:rPr>
          <w:rFonts w:eastAsia="Calibri"/>
        </w:rPr>
      </w:pPr>
    </w:p>
    <w:p w14:paraId="268D1A7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7A0" w14:paraId="7329A40D" w14:textId="77777777" w:rsidTr="00A4268A">
        <w:trPr>
          <w:cantSplit/>
        </w:trPr>
        <w:tc>
          <w:tcPr>
            <w:tcW w:w="10206" w:type="dxa"/>
            <w:vAlign w:val="center"/>
          </w:tcPr>
          <w:p w14:paraId="0E3E381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3FB1F9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F82ED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F877E89"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All rooms have individual ensuites. There are communal toilets situated close to lounge areas with appropriate signage. Resident rooms are personalised.</w:t>
      </w:r>
    </w:p>
    <w:p w14:paraId="2C0E1255" w14:textId="77777777" w:rsidR="007E37A0"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w:t>
      </w:r>
    </w:p>
    <w:p w14:paraId="32E20213" w14:textId="77777777" w:rsidR="007E37A0" w:rsidRPr="00A4268A" w:rsidRDefault="00000000">
      <w:pPr>
        <w:spacing w:before="240" w:line="276" w:lineRule="auto"/>
        <w:rPr>
          <w:rFonts w:eastAsia="Calibri"/>
        </w:rPr>
      </w:pPr>
      <w:r w:rsidRPr="00A4268A">
        <w:rPr>
          <w:rFonts w:eastAsia="Calibri"/>
        </w:rPr>
        <w:t>Security checks are performed by staff, and the doors are locked at night.</w:t>
      </w:r>
    </w:p>
    <w:bookmarkEnd w:id="25"/>
    <w:p w14:paraId="23765969" w14:textId="77777777" w:rsidR="007E37A0" w:rsidRPr="00A4268A" w:rsidRDefault="007E37A0">
      <w:pPr>
        <w:spacing w:before="240" w:line="276" w:lineRule="auto"/>
        <w:rPr>
          <w:rFonts w:eastAsia="Calibri"/>
        </w:rPr>
      </w:pPr>
    </w:p>
    <w:p w14:paraId="0E50E81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7A0" w14:paraId="59EEBB0A" w14:textId="77777777" w:rsidTr="00A4268A">
        <w:trPr>
          <w:cantSplit/>
        </w:trPr>
        <w:tc>
          <w:tcPr>
            <w:tcW w:w="10206" w:type="dxa"/>
            <w:vAlign w:val="center"/>
          </w:tcPr>
          <w:p w14:paraId="50E37C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222F6F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26A7A9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68A5EF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residents, service providers and visitors. The infection prevention control programme is implemented and meets the needs of Alden Rose Court and provides information and resources to inform the service providers. </w:t>
      </w:r>
    </w:p>
    <w:p w14:paraId="756974D4" w14:textId="77777777" w:rsidR="007E37A0" w:rsidRPr="00A4268A" w:rsidRDefault="00000000">
      <w:pPr>
        <w:spacing w:before="240" w:line="276" w:lineRule="auto"/>
        <w:rPr>
          <w:rFonts w:eastAsia="Calibri"/>
        </w:rPr>
      </w:pPr>
      <w:r w:rsidRPr="00A4268A">
        <w:rPr>
          <w:rFonts w:eastAsia="Calibri"/>
        </w:rPr>
        <w:t xml:space="preserve">Documentation evidenced that relevant infection prevention education is provided to all staff as part of their orientation and as part of the ongoing in-service education programme. Infection prevention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w:t>
      </w:r>
    </w:p>
    <w:p w14:paraId="69B3E013" w14:textId="77777777" w:rsidR="007E37A0"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two outbreaks since the previous audit. There are documented processes for the management of waste and hazardous substances in place. </w:t>
      </w:r>
    </w:p>
    <w:p w14:paraId="34A82ADF" w14:textId="77777777" w:rsidR="007E37A0" w:rsidRPr="00A4268A" w:rsidRDefault="00000000">
      <w:pPr>
        <w:spacing w:before="240" w:line="276" w:lineRule="auto"/>
        <w:rPr>
          <w:rFonts w:eastAsia="Calibri"/>
        </w:rPr>
      </w:pPr>
      <w:r w:rsidRPr="00A4268A">
        <w:rPr>
          <w:rFonts w:eastAsia="Calibri"/>
        </w:rPr>
        <w:t>Chemicals are stored safely throughout the facility. Documented policies and procedures for the cleaning and laundry services are implemented, with appropriate monitoring systems in place to evaluate the effectiveness of these services.</w:t>
      </w:r>
    </w:p>
    <w:bookmarkEnd w:id="28"/>
    <w:p w14:paraId="32816B0E" w14:textId="77777777" w:rsidR="007E37A0" w:rsidRPr="00A4268A" w:rsidRDefault="007E37A0">
      <w:pPr>
        <w:spacing w:before="240" w:line="276" w:lineRule="auto"/>
        <w:rPr>
          <w:rFonts w:eastAsia="Calibri"/>
        </w:rPr>
      </w:pPr>
    </w:p>
    <w:p w14:paraId="29F4BAD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7A0" w14:paraId="5446EE89" w14:textId="77777777" w:rsidTr="00A4268A">
        <w:trPr>
          <w:cantSplit/>
        </w:trPr>
        <w:tc>
          <w:tcPr>
            <w:tcW w:w="10206" w:type="dxa"/>
            <w:vAlign w:val="center"/>
          </w:tcPr>
          <w:p w14:paraId="2CB0EA9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A24F2A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67CFEC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039DA3B"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0675E8D2" w14:textId="77777777" w:rsidR="007E37A0" w:rsidRPr="00A4268A" w:rsidRDefault="007E37A0">
      <w:pPr>
        <w:spacing w:before="240" w:line="276" w:lineRule="auto"/>
        <w:rPr>
          <w:rFonts w:eastAsia="Calibri"/>
        </w:rPr>
      </w:pPr>
    </w:p>
    <w:p w14:paraId="74717C87" w14:textId="77777777" w:rsidR="00000000" w:rsidRDefault="00000000" w:rsidP="000E6E02">
      <w:pPr>
        <w:pStyle w:val="Heading2"/>
        <w:spacing w:before="0"/>
        <w:rPr>
          <w:rFonts w:cs="Arial"/>
        </w:rPr>
      </w:pPr>
      <w:r>
        <w:rPr>
          <w:rFonts w:cs="Arial"/>
        </w:rPr>
        <w:t>Summary of attainment</w:t>
      </w:r>
    </w:p>
    <w:p w14:paraId="40C348B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E37A0" w14:paraId="77355479" w14:textId="77777777">
        <w:tc>
          <w:tcPr>
            <w:tcW w:w="1384" w:type="dxa"/>
            <w:vAlign w:val="center"/>
          </w:tcPr>
          <w:p w14:paraId="1ECA8B0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B452605" w14:textId="77777777" w:rsidR="00000000" w:rsidRDefault="00000000">
            <w:pPr>
              <w:keepNext/>
              <w:spacing w:before="60" w:after="60"/>
              <w:jc w:val="center"/>
              <w:rPr>
                <w:rFonts w:cs="Arial"/>
                <w:b/>
                <w:sz w:val="20"/>
                <w:szCs w:val="20"/>
              </w:rPr>
            </w:pPr>
            <w:r>
              <w:rPr>
                <w:rFonts w:cs="Arial"/>
                <w:b/>
                <w:sz w:val="20"/>
                <w:szCs w:val="20"/>
              </w:rPr>
              <w:t>Continuous Improvement</w:t>
            </w:r>
          </w:p>
          <w:p w14:paraId="06D085C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8A8F5B8" w14:textId="77777777" w:rsidR="00000000" w:rsidRDefault="00000000">
            <w:pPr>
              <w:keepNext/>
              <w:spacing w:before="60" w:after="60"/>
              <w:jc w:val="center"/>
              <w:rPr>
                <w:rFonts w:cs="Arial"/>
                <w:b/>
                <w:sz w:val="20"/>
                <w:szCs w:val="20"/>
              </w:rPr>
            </w:pPr>
            <w:r>
              <w:rPr>
                <w:rFonts w:cs="Arial"/>
                <w:b/>
                <w:sz w:val="20"/>
                <w:szCs w:val="20"/>
              </w:rPr>
              <w:t>Fully Attained</w:t>
            </w:r>
          </w:p>
          <w:p w14:paraId="54E73FD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688736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BBFB93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5305BE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B4365B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3A3114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1DA8FC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8CBC8D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CE40B3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38EF82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ED39CDB" w14:textId="77777777" w:rsidR="00000000" w:rsidRDefault="00000000">
            <w:pPr>
              <w:keepNext/>
              <w:spacing w:before="60" w:after="60"/>
              <w:jc w:val="center"/>
              <w:rPr>
                <w:rFonts w:cs="Arial"/>
                <w:b/>
                <w:sz w:val="20"/>
                <w:szCs w:val="20"/>
              </w:rPr>
            </w:pPr>
            <w:r>
              <w:rPr>
                <w:rFonts w:cs="Arial"/>
                <w:b/>
                <w:sz w:val="20"/>
                <w:szCs w:val="20"/>
              </w:rPr>
              <w:t>(PA Critical)</w:t>
            </w:r>
          </w:p>
        </w:tc>
      </w:tr>
      <w:tr w:rsidR="007E37A0" w14:paraId="678417EF" w14:textId="77777777">
        <w:tc>
          <w:tcPr>
            <w:tcW w:w="1384" w:type="dxa"/>
            <w:vAlign w:val="center"/>
          </w:tcPr>
          <w:p w14:paraId="53F69AC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9C584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6F4488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4904D7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EF8E54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D81028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94BBDA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9B8899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E37A0" w14:paraId="11B019FF" w14:textId="77777777">
        <w:tc>
          <w:tcPr>
            <w:tcW w:w="1384" w:type="dxa"/>
            <w:vAlign w:val="center"/>
          </w:tcPr>
          <w:p w14:paraId="51972C1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F83BA1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B86B34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997DFF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76E8D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6CFFE4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45A2EF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2C8F01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BE20B7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E37A0" w14:paraId="5D30255A" w14:textId="77777777">
        <w:tc>
          <w:tcPr>
            <w:tcW w:w="1384" w:type="dxa"/>
            <w:vAlign w:val="center"/>
          </w:tcPr>
          <w:p w14:paraId="19DF17D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EA3839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1FC90A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1451042" w14:textId="77777777" w:rsidR="00000000" w:rsidRDefault="00000000">
            <w:pPr>
              <w:keepNext/>
              <w:spacing w:before="60" w:after="60"/>
              <w:jc w:val="center"/>
              <w:rPr>
                <w:rFonts w:cs="Arial"/>
                <w:b/>
                <w:sz w:val="20"/>
                <w:szCs w:val="20"/>
              </w:rPr>
            </w:pPr>
            <w:r>
              <w:rPr>
                <w:rFonts w:cs="Arial"/>
                <w:b/>
                <w:sz w:val="20"/>
                <w:szCs w:val="20"/>
              </w:rPr>
              <w:t>Unattained Low Risk</w:t>
            </w:r>
          </w:p>
          <w:p w14:paraId="618D8E6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E9D7292" w14:textId="77777777" w:rsidR="00000000" w:rsidRDefault="00000000">
            <w:pPr>
              <w:keepNext/>
              <w:spacing w:before="60" w:after="60"/>
              <w:jc w:val="center"/>
              <w:rPr>
                <w:rFonts w:cs="Arial"/>
                <w:b/>
                <w:sz w:val="20"/>
                <w:szCs w:val="20"/>
              </w:rPr>
            </w:pPr>
            <w:r>
              <w:rPr>
                <w:rFonts w:cs="Arial"/>
                <w:b/>
                <w:sz w:val="20"/>
                <w:szCs w:val="20"/>
              </w:rPr>
              <w:t>Unattained Moderate Risk</w:t>
            </w:r>
          </w:p>
          <w:p w14:paraId="4940FA6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CD2C6BD" w14:textId="77777777" w:rsidR="00000000" w:rsidRDefault="00000000">
            <w:pPr>
              <w:keepNext/>
              <w:spacing w:before="60" w:after="60"/>
              <w:jc w:val="center"/>
              <w:rPr>
                <w:rFonts w:cs="Arial"/>
                <w:b/>
                <w:sz w:val="20"/>
                <w:szCs w:val="20"/>
              </w:rPr>
            </w:pPr>
            <w:r>
              <w:rPr>
                <w:rFonts w:cs="Arial"/>
                <w:b/>
                <w:sz w:val="20"/>
                <w:szCs w:val="20"/>
              </w:rPr>
              <w:t>Unattained High Risk</w:t>
            </w:r>
          </w:p>
          <w:p w14:paraId="1D1F168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CB01907" w14:textId="77777777" w:rsidR="00000000" w:rsidRDefault="00000000">
            <w:pPr>
              <w:keepNext/>
              <w:spacing w:before="60" w:after="60"/>
              <w:jc w:val="center"/>
              <w:rPr>
                <w:rFonts w:cs="Arial"/>
                <w:b/>
                <w:sz w:val="20"/>
                <w:szCs w:val="20"/>
              </w:rPr>
            </w:pPr>
            <w:r>
              <w:rPr>
                <w:rFonts w:cs="Arial"/>
                <w:b/>
                <w:sz w:val="20"/>
                <w:szCs w:val="20"/>
              </w:rPr>
              <w:t>Unattained Critical Risk</w:t>
            </w:r>
          </w:p>
          <w:p w14:paraId="1ABCEF2C" w14:textId="77777777" w:rsidR="00000000" w:rsidRDefault="00000000">
            <w:pPr>
              <w:keepNext/>
              <w:spacing w:before="60" w:after="60"/>
              <w:jc w:val="center"/>
              <w:rPr>
                <w:rFonts w:cs="Arial"/>
                <w:b/>
                <w:sz w:val="20"/>
                <w:szCs w:val="20"/>
              </w:rPr>
            </w:pPr>
            <w:r>
              <w:rPr>
                <w:rFonts w:cs="Arial"/>
                <w:b/>
                <w:sz w:val="20"/>
                <w:szCs w:val="20"/>
              </w:rPr>
              <w:t>(UA Critical)</w:t>
            </w:r>
          </w:p>
        </w:tc>
      </w:tr>
      <w:tr w:rsidR="007E37A0" w14:paraId="72EB3C02" w14:textId="77777777">
        <w:tc>
          <w:tcPr>
            <w:tcW w:w="1384" w:type="dxa"/>
            <w:vAlign w:val="center"/>
          </w:tcPr>
          <w:p w14:paraId="1B15DAA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71A37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298D69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C6C0CF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83ADBA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08EFF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E37A0" w14:paraId="50080C30" w14:textId="77777777">
        <w:tc>
          <w:tcPr>
            <w:tcW w:w="1384" w:type="dxa"/>
            <w:vAlign w:val="center"/>
          </w:tcPr>
          <w:p w14:paraId="456A120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142C01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8D0A7A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7BD3F7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239554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C889D5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FC85D3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4ADB1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8AA14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F59BC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7E37A0" w14:paraId="33D1756D" w14:textId="77777777">
        <w:tc>
          <w:tcPr>
            <w:tcW w:w="0" w:type="auto"/>
          </w:tcPr>
          <w:p w14:paraId="30AD753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976B0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58195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E37A0" w14:paraId="17319D54" w14:textId="77777777">
        <w:tc>
          <w:tcPr>
            <w:tcW w:w="0" w:type="auto"/>
          </w:tcPr>
          <w:p w14:paraId="0592A7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62BBA0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68BB80B" w14:textId="77777777" w:rsidR="00000000" w:rsidRPr="00BE00C7" w:rsidRDefault="00000000" w:rsidP="00BE00C7">
            <w:pPr>
              <w:pStyle w:val="OutcomeDescription"/>
              <w:spacing w:before="120" w:after="120"/>
              <w:rPr>
                <w:rFonts w:cs="Arial"/>
                <w:lang w:eastAsia="en-NZ"/>
              </w:rPr>
            </w:pPr>
          </w:p>
        </w:tc>
        <w:tc>
          <w:tcPr>
            <w:tcW w:w="0" w:type="auto"/>
          </w:tcPr>
          <w:p w14:paraId="292045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0D9E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policy is documented for the service. This policy acknowledges Te Tiriti o Waitangi as a founding document for New Zealand. The aim is to co-design health services using a collaborative and partnership model with Māori and Pacific, although the policy focuses on Māori. At the time of the audit there were residents who identified as Māori. The Māori health plan policy includes commitment to the concepts of Te Whare Tapa Whā Māori model of health, and the provision of services based on the principles of mana motuhake. There is Māori representation on the Board, who is the organisation’s lead advisor for tāngata whaikaha, Māori, whānau and Te Tiriti matters. </w:t>
            </w:r>
          </w:p>
          <w:p w14:paraId="6385ED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Board representative supports the organisation to ensure meaningful implementation of the Māori Health plan occurs at all levels. The links in place with local Māori ensures Māori residents are supported to navigate all aspects of service delivery. Alden Rose Court is committed to providing a service that is responsive and inviting for Māori. The service currently has staff who identify as Māori and actively seeks to employ more Māori staff members. </w:t>
            </w:r>
          </w:p>
          <w:p w14:paraId="23E2707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training around cultural safety and Te Tiriti o Waitangi. Residents and whānau are involved in resident’s care planning.</w:t>
            </w:r>
          </w:p>
          <w:p w14:paraId="41027AE6" w14:textId="77777777" w:rsidR="00000000" w:rsidRPr="00BE00C7" w:rsidRDefault="00000000" w:rsidP="00BE00C7">
            <w:pPr>
              <w:pStyle w:val="OutcomeDescription"/>
              <w:spacing w:before="120" w:after="120"/>
              <w:rPr>
                <w:rFonts w:cs="Arial"/>
                <w:lang w:eastAsia="en-NZ"/>
              </w:rPr>
            </w:pPr>
          </w:p>
        </w:tc>
      </w:tr>
      <w:tr w:rsidR="007E37A0" w14:paraId="3D2C1139" w14:textId="77777777">
        <w:tc>
          <w:tcPr>
            <w:tcW w:w="0" w:type="auto"/>
          </w:tcPr>
          <w:p w14:paraId="656D55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E82E7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EE5F425" w14:textId="77777777" w:rsidR="00000000" w:rsidRPr="00BE00C7" w:rsidRDefault="00000000" w:rsidP="00BE00C7">
            <w:pPr>
              <w:pStyle w:val="OutcomeDescription"/>
              <w:spacing w:before="120" w:after="120"/>
              <w:rPr>
                <w:rFonts w:cs="Arial"/>
                <w:lang w:eastAsia="en-NZ"/>
              </w:rPr>
            </w:pPr>
          </w:p>
        </w:tc>
        <w:tc>
          <w:tcPr>
            <w:tcW w:w="0" w:type="auto"/>
          </w:tcPr>
          <w:p w14:paraId="06D432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993A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created with Pasifika input.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w:t>
            </w:r>
          </w:p>
          <w:p w14:paraId="325C0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during the audit. The service actively encourages and supports any prospective staff who identifies as Pasifika during the interview process. There were no staff who identified as Pasifika at the time of the audit. The facility manager outlined how they have developed and maintained links with the local Pasifika community. Individual cultural beliefs are documented in the resident’s care plan and activities plan. </w:t>
            </w:r>
          </w:p>
          <w:p w14:paraId="0E85DC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services manager described how family members of any Pasifika residents admitted to care would be encouraged to be present during the admission process, including completion of the initial care plan.</w:t>
            </w:r>
          </w:p>
          <w:p w14:paraId="4070A9BA" w14:textId="77777777" w:rsidR="00000000" w:rsidRPr="00BE00C7" w:rsidRDefault="00000000" w:rsidP="00BE00C7">
            <w:pPr>
              <w:pStyle w:val="OutcomeDescription"/>
              <w:spacing w:before="120" w:after="120"/>
              <w:rPr>
                <w:rFonts w:cs="Arial"/>
                <w:lang w:eastAsia="en-NZ"/>
              </w:rPr>
            </w:pPr>
          </w:p>
        </w:tc>
      </w:tr>
      <w:tr w:rsidR="007E37A0" w14:paraId="04245C2B" w14:textId="77777777">
        <w:tc>
          <w:tcPr>
            <w:tcW w:w="0" w:type="auto"/>
          </w:tcPr>
          <w:p w14:paraId="5E9D8A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CDA25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7DFB7F7" w14:textId="77777777" w:rsidR="00000000" w:rsidRPr="00BE00C7" w:rsidRDefault="00000000" w:rsidP="00BE00C7">
            <w:pPr>
              <w:pStyle w:val="OutcomeDescription"/>
              <w:spacing w:before="120" w:after="120"/>
              <w:rPr>
                <w:rFonts w:cs="Arial"/>
                <w:lang w:eastAsia="en-NZ"/>
              </w:rPr>
            </w:pPr>
          </w:p>
        </w:tc>
        <w:tc>
          <w:tcPr>
            <w:tcW w:w="0" w:type="auto"/>
          </w:tcPr>
          <w:p w14:paraId="1CA150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9938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policies and procedures are being implemented and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Information about the Nationwide Health and Disability Advocacy service is available to residents on the noticeboard and in the information pack. Other formats are available online. Resident meetings provide a forum for residents to discuss any concerns. </w:t>
            </w:r>
          </w:p>
          <w:p w14:paraId="582035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two managers (facility manager and clinical services manager) and staff interviewed (two registered nurses [RNs], one enrolled nurse [EN], four caregivers, one activities coordinator, one housekeeper, two kitchen assistants, maintenance officer and one acting kitchen </w:t>
            </w:r>
            <w:r w:rsidRPr="00BE00C7">
              <w:rPr>
                <w:rFonts w:cs="Arial"/>
                <w:lang w:eastAsia="en-NZ"/>
              </w:rPr>
              <w:lastRenderedPageBreak/>
              <w:t xml:space="preserve">manager) confirmed their understanding of the Code and its application to their specific job role and responsibilities. Staff have received education in relation to the Code at orientation and through the annual training programme, which includes understanding the role of advocacy services. Advocacy services are linked to the complaints process. Staff completed training on advocacy services in 2024. </w:t>
            </w:r>
          </w:p>
          <w:p w14:paraId="66AA30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(two hospital and two rest home) and relatives (three hospital and two rest home) interviewed stated they felt their rights were upheld and they were treated with dignity, respect, and kindness. Staff confirmed their awareness of how Māori mana motuhake is recognised as described in the Māori Health Plan. Interactions observed between staff and residents were respectful.</w:t>
            </w:r>
          </w:p>
          <w:p w14:paraId="2A185FEA" w14:textId="77777777" w:rsidR="00000000" w:rsidRPr="00BE00C7" w:rsidRDefault="00000000" w:rsidP="00BE00C7">
            <w:pPr>
              <w:pStyle w:val="OutcomeDescription"/>
              <w:spacing w:before="120" w:after="120"/>
              <w:rPr>
                <w:rFonts w:cs="Arial"/>
                <w:lang w:eastAsia="en-NZ"/>
              </w:rPr>
            </w:pPr>
          </w:p>
        </w:tc>
      </w:tr>
      <w:tr w:rsidR="007E37A0" w14:paraId="06FB88EB" w14:textId="77777777">
        <w:tc>
          <w:tcPr>
            <w:tcW w:w="0" w:type="auto"/>
          </w:tcPr>
          <w:p w14:paraId="01F08E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48563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C35F8FE" w14:textId="77777777" w:rsidR="00000000" w:rsidRPr="00BE00C7" w:rsidRDefault="00000000" w:rsidP="00BE00C7">
            <w:pPr>
              <w:pStyle w:val="OutcomeDescription"/>
              <w:spacing w:before="120" w:after="120"/>
              <w:rPr>
                <w:rFonts w:cs="Arial"/>
                <w:lang w:eastAsia="en-NZ"/>
              </w:rPr>
            </w:pPr>
          </w:p>
        </w:tc>
        <w:tc>
          <w:tcPr>
            <w:tcW w:w="0" w:type="auto"/>
          </w:tcPr>
          <w:p w14:paraId="0D9DD7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6B71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cultural safety policies in place and resources readily available on the electronic resident management system. Resources include policies on consumer rights, diversity and inclusiveness, intimacy and sexuality, and a non-harassment policy. Policies are being implemented that align with the requirements of the Health and Disability Commissioner. Caregivers and registered nurses interviewed described how they work well together and arrange their shift to ensure they are flexible to meet each person’s needs. Staff are trained around the Code of Health and Disability Services Consumers’ Rights at orientation and through regular in-services. </w:t>
            </w:r>
          </w:p>
          <w:p w14:paraId="63E61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as evidenced in the policy and Māori Health Plan. Alden Rose Court delivers training that is responsive to the diverse needs of people accessing services. Training provided in 2024-2025 included sexuality/intimacy; abuse and neglect; privacy/confidentiality; advocacy; tikanga Māori; cultural safety; and Te Tiriti o Waitangi. Staff interviewed stated they respect each resident’s right to have space for intimate relationships. The use of te reo Māori is encouraged throughout the service. </w:t>
            </w:r>
          </w:p>
          <w:p w14:paraId="0DFABD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relatives’ involvement and is integrated into the residents' care plans. Spiritual needs are identified, and church services are held. A spirituality policy </w:t>
            </w:r>
            <w:r w:rsidRPr="00BE00C7">
              <w:rPr>
                <w:rFonts w:cs="Arial"/>
                <w:lang w:eastAsia="en-NZ"/>
              </w:rPr>
              <w:lastRenderedPageBreak/>
              <w:t xml:space="preserve">is in place. There are a range of church services held on a rostered basis each week. The staff and management described responding to tāngata whaikaha needs and enabling participation in te ao Māori as documented in the Māori Health Plan. </w:t>
            </w:r>
          </w:p>
          <w:p w14:paraId="6749F21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described how they support residents to be as independent as they can be. Residents interviewed stated they are supported and encouraged to make a range of choices around their daily life. Residents can choose which activities they participate in, and it was observed that residents are treated with dignity and respect. Satisfaction surveys reviewed and interviews with family/whānau confirm that residents and families/whānau are treated with respect.</w:t>
            </w:r>
          </w:p>
          <w:p w14:paraId="1AD8B745" w14:textId="77777777" w:rsidR="00000000" w:rsidRPr="00BE00C7" w:rsidRDefault="00000000" w:rsidP="00BE00C7">
            <w:pPr>
              <w:pStyle w:val="OutcomeDescription"/>
              <w:spacing w:before="120" w:after="120"/>
              <w:rPr>
                <w:rFonts w:cs="Arial"/>
                <w:lang w:eastAsia="en-NZ"/>
              </w:rPr>
            </w:pPr>
          </w:p>
        </w:tc>
      </w:tr>
      <w:tr w:rsidR="007E37A0" w14:paraId="0A3E8341" w14:textId="77777777">
        <w:tc>
          <w:tcPr>
            <w:tcW w:w="0" w:type="auto"/>
          </w:tcPr>
          <w:p w14:paraId="7AC051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EFDA3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3668897" w14:textId="77777777" w:rsidR="00000000" w:rsidRPr="00BE00C7" w:rsidRDefault="00000000" w:rsidP="00BE00C7">
            <w:pPr>
              <w:pStyle w:val="OutcomeDescription"/>
              <w:spacing w:before="120" w:after="120"/>
              <w:rPr>
                <w:rFonts w:cs="Arial"/>
                <w:lang w:eastAsia="en-NZ"/>
              </w:rPr>
            </w:pPr>
          </w:p>
        </w:tc>
        <w:tc>
          <w:tcPr>
            <w:tcW w:w="0" w:type="auto"/>
          </w:tcPr>
          <w:p w14:paraId="2F92DD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4941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 is implemented. Alden Rose Court policies guide staff to prevent any form of discrimination, coercion, harassment, or any other exploitation. The service is inclusive of all ethnicities and cultural days are held to celebrate diversity. Staff have been provided with education on how to identify abuse and neglect in 2024. All residents and families/whānau interviewed confirmed that the staff are very careful in the way they handle their personal belongings.</w:t>
            </w:r>
          </w:p>
          <w:p w14:paraId="05596A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the protection of property and finances policy to manage residents’ comfort funds, such as sundry expenses. A staff code of conduct is discussed during the new employee’s induction to the service, with evidence of staff signing the code of conduct policy. Professional boundaries are defined in job descriptions and are also covered as part of staff orientation. Interviews with the management team and staff confirmed their understanding of professional boundaries, including the boundaries of their role and responsibilities. Staff interviews confirm that they would be comfortable addressing racism with management, if they felt that this was an issue. </w:t>
            </w:r>
          </w:p>
          <w:p w14:paraId="524B1B16"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Māori residents</w:t>
            </w:r>
          </w:p>
          <w:p w14:paraId="265AF38F" w14:textId="77777777" w:rsidR="00000000" w:rsidRPr="00BE00C7" w:rsidRDefault="00000000" w:rsidP="00BE00C7">
            <w:pPr>
              <w:pStyle w:val="OutcomeDescription"/>
              <w:spacing w:before="120" w:after="120"/>
              <w:rPr>
                <w:rFonts w:cs="Arial"/>
                <w:lang w:eastAsia="en-NZ"/>
              </w:rPr>
            </w:pPr>
          </w:p>
        </w:tc>
      </w:tr>
      <w:tr w:rsidR="007E37A0" w14:paraId="0AE20EBF" w14:textId="77777777">
        <w:tc>
          <w:tcPr>
            <w:tcW w:w="0" w:type="auto"/>
          </w:tcPr>
          <w:p w14:paraId="1B3E00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4B818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5899653" w14:textId="77777777" w:rsidR="00000000" w:rsidRPr="00BE00C7" w:rsidRDefault="00000000" w:rsidP="00BE00C7">
            <w:pPr>
              <w:pStyle w:val="OutcomeDescription"/>
              <w:spacing w:before="120" w:after="120"/>
              <w:rPr>
                <w:rFonts w:cs="Arial"/>
                <w:lang w:eastAsia="en-NZ"/>
              </w:rPr>
            </w:pPr>
          </w:p>
        </w:tc>
        <w:tc>
          <w:tcPr>
            <w:tcW w:w="0" w:type="auto"/>
          </w:tcPr>
          <w:p w14:paraId="5A5898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EA3E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information pack is provided to residents and family/whānau on admission which includes information on the Code, </w:t>
            </w:r>
            <w:r w:rsidRPr="00BE00C7">
              <w:rPr>
                <w:rFonts w:cs="Arial"/>
                <w:lang w:eastAsia="en-NZ"/>
              </w:rPr>
              <w:lastRenderedPageBreak/>
              <w:t xml:space="preserve">advocacy services, complaints and information around service provision. Residents interviewed stated they were comfortable discussing any issues with staff. Residents and family/whānau complete annual surveys, which evidenced overall satisfaction with communication. Family/whānau interviewed confirmed they are promptly informed of any changes and of general practitioner consultations. </w:t>
            </w:r>
          </w:p>
          <w:p w14:paraId="1C6982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documented relating to accident/incidents, complaints, and open disclosure that inform staff of their responsibility to notify family/next of kin of any accident/incident that occurs. Progress notes in the electronic resident files identified family/whānau are kept informed. An interpreter policy and contact details of interpreters is available. Interpreter services are used where indicated. At the time of the audit there were residents who did not speak English. Staff and family/whānau provide interpretation for the residents. Basic phrases in the resident’s primary language adorn the doors and walls of resident’s rooms to guide staff in commonly used phrases. </w:t>
            </w:r>
          </w:p>
          <w:p w14:paraId="16B433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w:t>
            </w:r>
          </w:p>
          <w:p w14:paraId="1A34C4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wound care specialist and Health New Zealand specialist services. The delivery of care includes a multidisciplinary team. The management team and registered nurses described an implemented process around providing residents with time for discussion around care, to consider decisions and opportunity for further discussion, if required.</w:t>
            </w:r>
          </w:p>
          <w:p w14:paraId="7566FC18" w14:textId="77777777" w:rsidR="00000000" w:rsidRPr="00BE00C7" w:rsidRDefault="00000000" w:rsidP="00BE00C7">
            <w:pPr>
              <w:pStyle w:val="OutcomeDescription"/>
              <w:spacing w:before="120" w:after="120"/>
              <w:rPr>
                <w:rFonts w:cs="Arial"/>
                <w:lang w:eastAsia="en-NZ"/>
              </w:rPr>
            </w:pPr>
          </w:p>
        </w:tc>
      </w:tr>
      <w:tr w:rsidR="007E37A0" w14:paraId="023937F9" w14:textId="77777777">
        <w:tc>
          <w:tcPr>
            <w:tcW w:w="0" w:type="auto"/>
          </w:tcPr>
          <w:p w14:paraId="1D5C69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D5236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5FE0215" w14:textId="77777777" w:rsidR="00000000" w:rsidRPr="00BE00C7" w:rsidRDefault="00000000" w:rsidP="00BE00C7">
            <w:pPr>
              <w:pStyle w:val="OutcomeDescription"/>
              <w:spacing w:before="120" w:after="120"/>
              <w:rPr>
                <w:rFonts w:cs="Arial"/>
                <w:lang w:eastAsia="en-NZ"/>
              </w:rPr>
            </w:pPr>
          </w:p>
        </w:tc>
        <w:tc>
          <w:tcPr>
            <w:tcW w:w="0" w:type="auto"/>
          </w:tcPr>
          <w:p w14:paraId="0CA2B2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A3CE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The resident files reviewed included informed consent forms signed by either the resident, the activated enduring power of attorney (EPOA) or appointed welfare guardian. Copies of enduring power of attorneys or welfare </w:t>
            </w:r>
            <w:r w:rsidRPr="00BE00C7">
              <w:rPr>
                <w:rFonts w:cs="Arial"/>
                <w:lang w:eastAsia="en-NZ"/>
              </w:rPr>
              <w:lastRenderedPageBreak/>
              <w:t>guardianship were in resident files where required. Certificates of mental incapacity and activation of the EPOA documents were on file for residents where required. Consent forms for Covid-19 and flu vaccinations were also on file and appropriately signed.</w:t>
            </w:r>
          </w:p>
          <w:p w14:paraId="1F32E2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could describe what informed consent was and their rights around choice. There is an advance directive policy. 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w:t>
            </w:r>
          </w:p>
          <w:p w14:paraId="7E2327E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that they are involved in the decision-making process and in the planning of care. Admission agreements had been signed for all the files sampled.</w:t>
            </w:r>
          </w:p>
          <w:p w14:paraId="25BDECFC" w14:textId="77777777" w:rsidR="00000000" w:rsidRPr="00BE00C7" w:rsidRDefault="00000000" w:rsidP="00BE00C7">
            <w:pPr>
              <w:pStyle w:val="OutcomeDescription"/>
              <w:spacing w:before="120" w:after="120"/>
              <w:rPr>
                <w:rFonts w:cs="Arial"/>
                <w:lang w:eastAsia="en-NZ"/>
              </w:rPr>
            </w:pPr>
          </w:p>
        </w:tc>
      </w:tr>
      <w:tr w:rsidR="007E37A0" w14:paraId="4138DC1F" w14:textId="77777777">
        <w:tc>
          <w:tcPr>
            <w:tcW w:w="0" w:type="auto"/>
          </w:tcPr>
          <w:p w14:paraId="6824F6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D0A57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C6AF1A" w14:textId="77777777" w:rsidR="00000000" w:rsidRPr="00BE00C7" w:rsidRDefault="00000000" w:rsidP="00BE00C7">
            <w:pPr>
              <w:pStyle w:val="OutcomeDescription"/>
              <w:spacing w:before="120" w:after="120"/>
              <w:rPr>
                <w:rFonts w:cs="Arial"/>
                <w:lang w:eastAsia="en-NZ"/>
              </w:rPr>
            </w:pPr>
          </w:p>
        </w:tc>
        <w:tc>
          <w:tcPr>
            <w:tcW w:w="0" w:type="auto"/>
          </w:tcPr>
          <w:p w14:paraId="21385F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ADB5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complaints process is equitable for Māori and complaints related documentation is available in te reo Māori. The facility manager maintains a complaint/compliment register and documents all verbal and written complaints. There were six complaints received since May 2024. The complaints reviewed included evidence of investigation, follow up and reply to the complainant within the timeframes set out by the HDC. All complaints were closed at time of audit. </w:t>
            </w:r>
          </w:p>
          <w:p w14:paraId="4520062A"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 lodged with the Health and Disability Commissioner in March 2025 was referred back to the provider and closed off in April 2025. The national quality assurance manager (interviewed) confirmed the actions taken.</w:t>
            </w:r>
          </w:p>
          <w:p w14:paraId="78996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advised that complaints are discussed at Board level. A review of staff meeting minutes and staff interviews confirmed complaints and learnings/ corrective actions are shared with staff. Discussions with residents and family/whānau confirmed they were provided with information on complaints and complaints forms are available at reception. Residents have a variety of avenues they can choose from to make a complaint or express a concern. Residents and </w:t>
            </w:r>
            <w:r w:rsidRPr="00BE00C7">
              <w:rPr>
                <w:rFonts w:cs="Arial"/>
                <w:lang w:eastAsia="en-NZ"/>
              </w:rPr>
              <w:lastRenderedPageBreak/>
              <w:t>family/whānau making a complaint can involve an independent support person in the process if they choose. This is documented as an option in the outcome letter that is sent to the complainant.</w:t>
            </w:r>
          </w:p>
          <w:p w14:paraId="2F5D3D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meeting minutes sighted evidenced residents are given the opportunity to provide feedback. The residents and family/whānau all reported any issues residents and family/whānau have are discussed with the facility manager directly and dealt with promptly. The facility manager and clinical manager implement an ‘open door’ policy which was confirmed during interviews with staff, residents and family/whānau and witnessed on days of audit. </w:t>
            </w:r>
          </w:p>
          <w:p w14:paraId="270D3862" w14:textId="77777777" w:rsidR="00000000" w:rsidRPr="00BE00C7" w:rsidRDefault="00000000" w:rsidP="00BE00C7">
            <w:pPr>
              <w:pStyle w:val="OutcomeDescription"/>
              <w:spacing w:before="120" w:after="120"/>
              <w:rPr>
                <w:rFonts w:cs="Arial"/>
                <w:lang w:eastAsia="en-NZ"/>
              </w:rPr>
            </w:pPr>
          </w:p>
        </w:tc>
      </w:tr>
      <w:tr w:rsidR="007E37A0" w14:paraId="17CE3D55" w14:textId="77777777">
        <w:tc>
          <w:tcPr>
            <w:tcW w:w="0" w:type="auto"/>
          </w:tcPr>
          <w:p w14:paraId="3D6166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CB59D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E62AC69" w14:textId="77777777" w:rsidR="00000000" w:rsidRPr="00BE00C7" w:rsidRDefault="00000000" w:rsidP="00BE00C7">
            <w:pPr>
              <w:pStyle w:val="OutcomeDescription"/>
              <w:spacing w:before="120" w:after="120"/>
              <w:rPr>
                <w:rFonts w:cs="Arial"/>
                <w:lang w:eastAsia="en-NZ"/>
              </w:rPr>
            </w:pPr>
          </w:p>
        </w:tc>
        <w:tc>
          <w:tcPr>
            <w:tcW w:w="0" w:type="auto"/>
          </w:tcPr>
          <w:p w14:paraId="6A7D17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051842"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Rose Court was formerly known as Ultimate Care Rose Court. The Ultimate Care Group completed a rebranding to ‘Alden’ in April 2025 to refresh their values and their "here for you" philosophy. The service provides care for up to 75 residents assessed as requiring hospital (geriatric and medical) and rest home level care. All rooms are single occupancy. There are 54 dual purpose beds and 21 serviced apartments certified as suitable to provide for rest home level of care. On the day of the audit, there were 53 residents: 27 rest home residents including two on respite care [one respite resident was funded by Accident Compensation Corporation (ACC)]; 23 on hospital level care. There were three rest home level residents in the serviced apartments. All rooms are single occupancy.</w:t>
            </w:r>
          </w:p>
          <w:p w14:paraId="4A809150"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is a New Zealand registered company with the executive team providing direction to the service. There is a governance structure in place that monitors compliance with legislative contractual and regulatory requirements. The regional manager and national quality and assurance manager (who provided support for this audit) was knowledgeable around contractual and legislative requirements. There is a three-year strategic plan which is split into yearly increments in the annual business plan. The strategic plan is reviewed annually and progress towards meeting annual goals are reviewed regularly and discussed at Board meetings.</w:t>
            </w:r>
          </w:p>
          <w:p w14:paraId="415395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is committed to supporting the strategies laid down by Ministry of Health’s ‘New Zealand Health Strategy.’ Objectives listed in </w:t>
            </w:r>
            <w:r w:rsidRPr="00BE00C7">
              <w:rPr>
                <w:rFonts w:cs="Arial"/>
                <w:lang w:eastAsia="en-NZ"/>
              </w:rPr>
              <w:lastRenderedPageBreak/>
              <w:t>the business plan includes a commitment to providing and assisting in the provision of good quality care to all people and to improving the health status of ethnic groups including Māori and Pacific people who do not currently enjoy the same outcomes as other New Zealanders, a belief in equity of access for all members of the community as a fundamental right in our society, and a belief in the benefits of early health interventions, proper integration of service, health education and the empowerment of people to achieve better health care. A long-term Board member ensures meaningful Māori representation regarding tāngata whaikaha, Māori, whanau, and Te Tiriti partnership matters. Confirmation was provided of the Board members completion of Te Tiriti o Waitangi and cultural safety training. The Māori representative within the Board provides ongoing advice and guidance.</w:t>
            </w:r>
          </w:p>
          <w:p w14:paraId="3E8D28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reports quarterly on the site-specific annual business plan. The annual business plan includes the vision, mission statement, philosophy, and measurable goals. Reporting includes occupancy, finances, health and safety; staffing; infection; complaints; quality trend and analysis; and restraint minimisation. There is collaboration with mana whenua in business planning and service development that support outcomes to achieve equity for Māori and tāngata whaikaha. There are staff employed who identify as Māori. Formal connections are in place with local Māori, supported and strengthened by Māori staff who offer expert support in te reo Māori and tikanga Māori. </w:t>
            </w:r>
          </w:p>
          <w:p w14:paraId="4864CB19"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committee meets monthly and is led by the head of clinical for the organisation and includes the national clinical educator and infection control specialist, national clinical quality improvement advisor, and regional quality improvement advisors. The Board meets monthly and receive comprehensive reports from the head of clinical that include reporting on quality and risk.</w:t>
            </w:r>
          </w:p>
          <w:p w14:paraId="5DD055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been working for Ultimate Care Limited- Alden Rose Court for the last 10 years in various roles and acted as the facility manager for four months. They have recently been appointed permanently to the role.</w:t>
            </w:r>
          </w:p>
          <w:p w14:paraId="1C766E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(CSM) has been in the role since May 2024 and has been with the service for four years. They are supported </w:t>
            </w:r>
            <w:r w:rsidRPr="00BE00C7">
              <w:rPr>
                <w:rFonts w:cs="Arial"/>
                <w:lang w:eastAsia="en-NZ"/>
              </w:rPr>
              <w:lastRenderedPageBreak/>
              <w:t xml:space="preserve">by an administrator, a team of clinical and non-clinical staff, a regional manager, an executive team and head office support staff. </w:t>
            </w:r>
          </w:p>
          <w:p w14:paraId="066CD258" w14:textId="77777777" w:rsidR="00000000" w:rsidRPr="00BE00C7" w:rsidRDefault="00000000" w:rsidP="00BE00C7">
            <w:pPr>
              <w:pStyle w:val="OutcomeDescription"/>
              <w:spacing w:before="120" w:after="120"/>
              <w:rPr>
                <w:rFonts w:cs="Arial"/>
                <w:lang w:eastAsia="en-NZ"/>
              </w:rPr>
            </w:pPr>
          </w:p>
        </w:tc>
      </w:tr>
      <w:tr w:rsidR="007E37A0" w14:paraId="7D12C568" w14:textId="77777777">
        <w:tc>
          <w:tcPr>
            <w:tcW w:w="0" w:type="auto"/>
          </w:tcPr>
          <w:p w14:paraId="5E13A4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2A116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DD99D0" w14:textId="77777777" w:rsidR="00000000" w:rsidRPr="00BE00C7" w:rsidRDefault="00000000" w:rsidP="00BE00C7">
            <w:pPr>
              <w:pStyle w:val="OutcomeDescription"/>
              <w:spacing w:before="120" w:after="120"/>
              <w:rPr>
                <w:rFonts w:cs="Arial"/>
                <w:lang w:eastAsia="en-NZ"/>
              </w:rPr>
            </w:pPr>
          </w:p>
        </w:tc>
        <w:tc>
          <w:tcPr>
            <w:tcW w:w="0" w:type="auto"/>
          </w:tcPr>
          <w:p w14:paraId="1862A0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C727B6"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Rose Court has an established quality and risk management system. The quality programme is designed to monitor contractual and standards compliance and the service delivery in the facility. Internal audits have been completed according to schedule and any corrective actions identified have been followed up and signed off as completed. The electronic quality management system benchmarks the quality data collated. Quality data is reported to the executive team and Board within the monthly ‘reflection report’ that includes reporting on occupancy, incidents, restraint, complaints medication errors, antipsychotic medication use, polypharmacy and weight loss. Staff meetings include discussions around quality data including graphs which are benchmarked with other Alden facilities. Meeting minutes are made available to other staff who were unable to attend the meetings.</w:t>
            </w:r>
          </w:p>
          <w:p w14:paraId="654B39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Facility meetings have been held according to schedule including residents and family/whānau meetings. Policies and procedures align with current good practice, and they are suitable to support rest home and hospital levels of care. Policies are reviewed a minimum of two yearly, modified (where appropriate) and implemented. New policies are discussed with staff. </w:t>
            </w:r>
          </w:p>
          <w:p w14:paraId="11DB497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quality register was reviewed, and evidence ongoing quality initiatives related to decrease in polypharmacy with current progress documented in the reduction of polypharmacy from 2024 to 2025 (30 percent in 2024 to 12 percent in 2025). National quality improvement initiatives include the decrease in pressure injuries at Alden Rose Court in 2025 following the implementation of three skin assessments per week for at risk residents. The facility is awarded a continuous improvement rating for the management and to decrease urinary tract infections from 2023 to 2025 (link 5.4.4).</w:t>
            </w:r>
          </w:p>
          <w:p w14:paraId="249DD6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cultural training including Te Tiriti o Waitangi to ensure all residents are cared for in a culturally sensitive way. It was confirmed that the executive team, and Board have completed cultural training. Annual resident and relative satisfaction surveys are </w:t>
            </w:r>
            <w:r w:rsidRPr="00BE00C7">
              <w:rPr>
                <w:rFonts w:cs="Arial"/>
                <w:lang w:eastAsia="en-NZ"/>
              </w:rPr>
              <w:lastRenderedPageBreak/>
              <w:t xml:space="preserve">conducted. The 2024 results have been analysed and results shared at meetings with residents, family/whānau and staff. A review of data evidenced positive results and comments relating to the care and services provided. The 2025 results were not yet published and made available for discussions at facility level; however, the support office confirmed at the audit that the overall satisfaction rate for care delivery at Alden Rose Court improved from 4.6/5.0 to 4.8/5.0. </w:t>
            </w:r>
          </w:p>
          <w:p w14:paraId="56318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three-monthly meetings. Risk management, hazard control and emergency policies and procedures are in place. The national quality and assurance manager (also the head of national health and safety) was interviewed about the health and safety programme. The service documents incidents/accidents, unplanned or untoward events and provides feedback to the service and staff so that improvements are made. Incidents and accidents forms are completed for all adverse events. Results are collated, analysed, and included in quality data and the reflection report. Incident data was evidenced as discussed at the appropriate facility meetings. </w:t>
            </w:r>
          </w:p>
          <w:p w14:paraId="458CD9E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clinical manager evidenced awareness of their requirement to notify relevant authorities in relation to essential notifications. There have been Section 31 notifications completed since the last audit. Health Quality and Safety Commission (HQSC) notification was completed for a pressure injury in August and September 2024. There has been an outbreak of Covid-19 and Norovirus outbreak since the last audit which was notified to Public Health in a timely manner.</w:t>
            </w:r>
          </w:p>
          <w:p w14:paraId="47901217" w14:textId="77777777" w:rsidR="00000000" w:rsidRPr="00BE00C7" w:rsidRDefault="00000000" w:rsidP="00BE00C7">
            <w:pPr>
              <w:pStyle w:val="OutcomeDescription"/>
              <w:spacing w:before="120" w:after="120"/>
              <w:rPr>
                <w:rFonts w:cs="Arial"/>
                <w:lang w:eastAsia="en-NZ"/>
              </w:rPr>
            </w:pPr>
          </w:p>
        </w:tc>
      </w:tr>
      <w:tr w:rsidR="007E37A0" w14:paraId="7B104D1C" w14:textId="77777777">
        <w:tc>
          <w:tcPr>
            <w:tcW w:w="0" w:type="auto"/>
          </w:tcPr>
          <w:p w14:paraId="542C2A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D72FC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F580CE5" w14:textId="77777777" w:rsidR="00000000" w:rsidRPr="00BE00C7" w:rsidRDefault="00000000" w:rsidP="00BE00C7">
            <w:pPr>
              <w:pStyle w:val="OutcomeDescription"/>
              <w:spacing w:before="120" w:after="120"/>
              <w:rPr>
                <w:rFonts w:cs="Arial"/>
                <w:lang w:eastAsia="en-NZ"/>
              </w:rPr>
            </w:pPr>
          </w:p>
        </w:tc>
        <w:tc>
          <w:tcPr>
            <w:tcW w:w="0" w:type="auto"/>
          </w:tcPr>
          <w:p w14:paraId="6FF3AC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330E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Acuity and clinical staffing ratios are described in the policy. The facility manager uses an acuity tool to establish safe staffing levels. Staffing is flexible to meet the changing needs of the residents. The roster reviewed provides sufficient coverage for the delivery of care. The facility manager and clinical services manager work full time from Monday to Friday. After hours support is provided for clinical and operational issues seven days per week. There is a registered nurse rostered on all three shifts. Vacant shifts are covered by part time staff </w:t>
            </w:r>
            <w:r w:rsidRPr="00BE00C7">
              <w:rPr>
                <w:rFonts w:cs="Arial"/>
                <w:lang w:eastAsia="en-NZ"/>
              </w:rPr>
              <w:lastRenderedPageBreak/>
              <w:t xml:space="preserve">picking up additional hours and the use of a small casual pool. There is a caregiver rostered to work in the serviced apartments till 9 pm and call bells are then responded to by the staff in Cedar (hospital wing). In the absence of the facility manager or clinical services manager, the regional manager and the head office team provide a plan for cover. </w:t>
            </w:r>
          </w:p>
          <w:p w14:paraId="2BC8FF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confirmed that staff turnover has been low. Interviews with staff, residents and family/whānau confirmed that overall staffing is adequate to meet the needs of the residents. Review of the current and previous rosters and discussion with staff confirmed that planned and unplanned absences are covered. Good teamwork amongst staff was highlighted during the caregiver interviews. Staff and residents are informed when there are changes to staffing levels.</w:t>
            </w:r>
          </w:p>
          <w:p w14:paraId="58F3AE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roster reviewed (non-clinical) evidenced separate staff are allocated to complete activities, laundry, cleaning, dining and maintenance tasks.</w:t>
            </w:r>
          </w:p>
          <w:p w14:paraId="1775B1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education programme was completed as per schedule in 2024/2025. The education plan is developed by the national clinical education and infection control lead. Education topics for 2024/ 2025 included manual handling; infection prevention; Covid-19 management; health and safety; hazards; restraint; abuse and neglect; pain management; and fire drills. Aspects of training are discussed at handovers when reminders or updates are shared when required. The education and training schedule lists all mandatory topics. Staff have been provided with cultural safety training, including Māori equity and Te Tiriti o Waitangi. Staff participate in learning opportunities that provide them with up-to-date information on Māori health outcomes and disparities and health equity. </w:t>
            </w:r>
          </w:p>
          <w:p w14:paraId="19249B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Twenty-four caregivers have completed NZQA level three and above qualifications. The staff are supported by the regional quality improvement advisor that implements the education for the region.</w:t>
            </w:r>
          </w:p>
          <w:p w14:paraId="2C7DF0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competent care provision policy is being implemented. Competencies are completed by staff, which are linked to the annual in-service schedule. Additional (annual) competencies completed include medication; restraint; hand hygiene; use of personal protective </w:t>
            </w:r>
            <w:r w:rsidRPr="00BE00C7">
              <w:rPr>
                <w:rFonts w:cs="Arial"/>
                <w:lang w:eastAsia="en-NZ"/>
              </w:rPr>
              <w:lastRenderedPageBreak/>
              <w:t xml:space="preserve">equipment (PPE); fire and emergency training; cultural safety and manual handling. Four registered nurses (including the clinical services manager) are interRAI trained, and a further three are enrolled. Registered nurses are supported with professional development, have completed training related to syringe driver use, palliative care management, early warning signs of sepsis and the deteriorating adult, critical thinking and reflective practice. </w:t>
            </w:r>
          </w:p>
          <w:p w14:paraId="766EAAE3" w14:textId="77777777" w:rsidR="00000000" w:rsidRPr="00BE00C7" w:rsidRDefault="00000000" w:rsidP="00BE00C7">
            <w:pPr>
              <w:pStyle w:val="OutcomeDescription"/>
              <w:spacing w:before="120" w:after="120"/>
              <w:rPr>
                <w:rFonts w:cs="Arial"/>
                <w:lang w:eastAsia="en-NZ"/>
              </w:rPr>
            </w:pPr>
            <w:r w:rsidRPr="00BE00C7">
              <w:rPr>
                <w:rFonts w:cs="Arial"/>
                <w:lang w:eastAsia="en-NZ"/>
              </w:rPr>
              <w:t>Support systems promote health wellbeing with staff interviewed advising the work environment was positive.</w:t>
            </w:r>
          </w:p>
          <w:p w14:paraId="0E9EBEF4" w14:textId="77777777" w:rsidR="00000000" w:rsidRPr="00BE00C7" w:rsidRDefault="00000000" w:rsidP="00BE00C7">
            <w:pPr>
              <w:pStyle w:val="OutcomeDescription"/>
              <w:spacing w:before="120" w:after="120"/>
              <w:rPr>
                <w:rFonts w:cs="Arial"/>
                <w:lang w:eastAsia="en-NZ"/>
              </w:rPr>
            </w:pPr>
          </w:p>
        </w:tc>
      </w:tr>
      <w:tr w:rsidR="007E37A0" w14:paraId="403A69B7" w14:textId="77777777">
        <w:tc>
          <w:tcPr>
            <w:tcW w:w="0" w:type="auto"/>
          </w:tcPr>
          <w:p w14:paraId="3B6B2D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B970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A126609" w14:textId="77777777" w:rsidR="00000000" w:rsidRPr="00BE00C7" w:rsidRDefault="00000000" w:rsidP="00BE00C7">
            <w:pPr>
              <w:pStyle w:val="OutcomeDescription"/>
              <w:spacing w:before="120" w:after="120"/>
              <w:rPr>
                <w:rFonts w:cs="Arial"/>
                <w:lang w:eastAsia="en-NZ"/>
              </w:rPr>
            </w:pPr>
          </w:p>
        </w:tc>
        <w:tc>
          <w:tcPr>
            <w:tcW w:w="0" w:type="auto"/>
          </w:tcPr>
          <w:p w14:paraId="2EE15D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D5AF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are in place and include recruitment, selection, orientation, and staff training and development. Staff files are held securely in the facility manager’s office. Eight staff files (one activities coordinator, one cook, one kitchen hand, three caregivers and two registered nurse) reviewed evidenced implementation of the recruitment process, employment contracts, and police checking. There are job descriptions in place for all positions that includes personal specifications, duties and responsibilities, area of work and expected outcomes to be achieved in each position. All files evidenced completed orientation documentation and annual appraisals for staff that required them. A copy of practising certificates is maintained for all health professionals. The service has a role-specific orientation programme in place that provides new staff with relevant information for safe work practice and includes buddying when first employed. Staff interviewed stated they felt their orientation was adequate. The service demonstrates that the orientation programme supports all staff to provide a culturally safe environment for Māori. Competencies are completed at orientation. </w:t>
            </w:r>
          </w:p>
          <w:p w14:paraId="1EBB3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employee ethnicity database is maintained. Management and staff reported they can be involved in a debrief discussion to receive support following incidents to ensure wellbeing support is provided. Staff wellbeing is recognised through acknowledging individual staff contributions and participation in health and wellbeing activities. The Employee Assistance Programme is available to staff. An external </w:t>
            </w:r>
            <w:r w:rsidRPr="00BE00C7">
              <w:rPr>
                <w:rFonts w:cs="Arial"/>
                <w:lang w:eastAsia="en-NZ"/>
              </w:rPr>
              <w:lastRenderedPageBreak/>
              <w:t>organisation ensures staff receive support following incidents to ensure wellbeing and to safely return to work.</w:t>
            </w:r>
          </w:p>
          <w:p w14:paraId="0FAB787F" w14:textId="77777777" w:rsidR="00000000" w:rsidRPr="00BE00C7" w:rsidRDefault="00000000" w:rsidP="00BE00C7">
            <w:pPr>
              <w:pStyle w:val="OutcomeDescription"/>
              <w:spacing w:before="120" w:after="120"/>
              <w:rPr>
                <w:rFonts w:cs="Arial"/>
                <w:lang w:eastAsia="en-NZ"/>
              </w:rPr>
            </w:pPr>
          </w:p>
        </w:tc>
      </w:tr>
      <w:tr w:rsidR="007E37A0" w14:paraId="30E7A086" w14:textId="77777777">
        <w:tc>
          <w:tcPr>
            <w:tcW w:w="0" w:type="auto"/>
          </w:tcPr>
          <w:p w14:paraId="1BF679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9A221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BFAF17C" w14:textId="77777777" w:rsidR="00000000" w:rsidRPr="00BE00C7" w:rsidRDefault="00000000" w:rsidP="00BE00C7">
            <w:pPr>
              <w:pStyle w:val="OutcomeDescription"/>
              <w:spacing w:before="120" w:after="120"/>
              <w:rPr>
                <w:rFonts w:cs="Arial"/>
                <w:lang w:eastAsia="en-NZ"/>
              </w:rPr>
            </w:pPr>
          </w:p>
        </w:tc>
        <w:tc>
          <w:tcPr>
            <w:tcW w:w="0" w:type="auto"/>
          </w:tcPr>
          <w:p w14:paraId="250EEA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4FC2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an electronic format for resident information, documentation and data. Electronic information including policies and procedures, incident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facility manager is the privacy officer.</w:t>
            </w:r>
          </w:p>
          <w:p w14:paraId="36EF30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116C09A" w14:textId="77777777" w:rsidR="00000000" w:rsidRPr="00BE00C7" w:rsidRDefault="00000000" w:rsidP="00BE00C7">
            <w:pPr>
              <w:pStyle w:val="OutcomeDescription"/>
              <w:spacing w:before="120" w:after="120"/>
              <w:rPr>
                <w:rFonts w:cs="Arial"/>
                <w:lang w:eastAsia="en-NZ"/>
              </w:rPr>
            </w:pPr>
          </w:p>
        </w:tc>
      </w:tr>
      <w:tr w:rsidR="007E37A0" w14:paraId="62D827AC" w14:textId="77777777">
        <w:tc>
          <w:tcPr>
            <w:tcW w:w="0" w:type="auto"/>
          </w:tcPr>
          <w:p w14:paraId="410600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E512E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B6034A3" w14:textId="77777777" w:rsidR="00000000" w:rsidRPr="00BE00C7" w:rsidRDefault="00000000" w:rsidP="00BE00C7">
            <w:pPr>
              <w:pStyle w:val="OutcomeDescription"/>
              <w:spacing w:before="120" w:after="120"/>
              <w:rPr>
                <w:rFonts w:cs="Arial"/>
                <w:lang w:eastAsia="en-NZ"/>
              </w:rPr>
            </w:pPr>
          </w:p>
        </w:tc>
        <w:tc>
          <w:tcPr>
            <w:tcW w:w="0" w:type="auto"/>
          </w:tcPr>
          <w:p w14:paraId="24D026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6131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services and entry criteria are outlined in an information pack.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 Prospective residents are required to be assessed by the needs assessment service coordination (NASC) team as needing rest home or hospital level care. Residents and family/whānau confirmed staff are respectful and communicate well with them. </w:t>
            </w:r>
          </w:p>
          <w:p w14:paraId="0BBA75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process in place if access is declined. It requires that when residents are declined access to the service, residents and their family/whānau, the referring agency, general practitioner and/or nurse practitioner are informed of the decline to entry. Alternative services when possible are to be offered and documentation of reason in internal files. The facility manager maintains a current enquiry/ decline register and confirmed a prospective resident would be declined entry if not within the scope of the service or if a bed was not available. The </w:t>
            </w:r>
            <w:r w:rsidRPr="00BE00C7">
              <w:rPr>
                <w:rFonts w:cs="Arial"/>
                <w:lang w:eastAsia="en-NZ"/>
              </w:rPr>
              <w:lastRenderedPageBreak/>
              <w:t>service completes routine analysis to show entry and decline rates, including for Māori.</w:t>
            </w:r>
          </w:p>
          <w:p w14:paraId="0B3BE6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staff are trained in cultural safety, tikanga and consult with whānau in any decision making. Strategies to reduce barriers for Māori entering the service include promotion of the use of te reo  Māori in activities and signage. Discussions with family supported culturally appropriate care. Staff confirm there are relationships with Māori community groups.</w:t>
            </w:r>
          </w:p>
          <w:p w14:paraId="1406C59F" w14:textId="77777777" w:rsidR="00000000" w:rsidRPr="00BE00C7" w:rsidRDefault="00000000" w:rsidP="00BE00C7">
            <w:pPr>
              <w:pStyle w:val="OutcomeDescription"/>
              <w:spacing w:before="120" w:after="120"/>
              <w:rPr>
                <w:rFonts w:cs="Arial"/>
                <w:lang w:eastAsia="en-NZ"/>
              </w:rPr>
            </w:pPr>
          </w:p>
        </w:tc>
      </w:tr>
      <w:tr w:rsidR="007E37A0" w14:paraId="53CEC99F" w14:textId="77777777">
        <w:tc>
          <w:tcPr>
            <w:tcW w:w="0" w:type="auto"/>
          </w:tcPr>
          <w:p w14:paraId="1976D3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E90D3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504E690" w14:textId="77777777" w:rsidR="00000000" w:rsidRPr="00BE00C7" w:rsidRDefault="00000000" w:rsidP="00BE00C7">
            <w:pPr>
              <w:pStyle w:val="OutcomeDescription"/>
              <w:spacing w:before="120" w:after="120"/>
              <w:rPr>
                <w:rFonts w:cs="Arial"/>
                <w:lang w:eastAsia="en-NZ"/>
              </w:rPr>
            </w:pPr>
          </w:p>
        </w:tc>
        <w:tc>
          <w:tcPr>
            <w:tcW w:w="0" w:type="auto"/>
          </w:tcPr>
          <w:p w14:paraId="780DF1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FCC7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reviewed: four hospital and four rest home (including one on ACC - respite contract) levels of care. The registered nurses (RN) are responsible for all residents’ assessments, care planning and evaluation of care. Care plans are based on data collected during the initial nursing assessments, which include dietary needs, pressure injury, falls risk, social history, and information from pre-entry assessments. All permanent residents had an interRAI assessment completed, in addition to a full suite of assessments contained in the electronic resident management system, which incorporate skin integrity, pressure injury risk, dietary requirements, communication needs, emotional, psychological, and behavioural support needs. The respite resident had the same suite of assessments completed. </w:t>
            </w:r>
          </w:p>
          <w:p w14:paraId="018F69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sufficiently detailed to provide guidance to care staff in the delivery of care. </w:t>
            </w:r>
          </w:p>
          <w:p w14:paraId="75E083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assessments and care plans to support Māori and Pasifika. Care plans reviewed showed cultural needs were identified and addressed. There is evidence of residents and family/whānau </w:t>
            </w:r>
            <w:r w:rsidRPr="00BE00C7">
              <w:rPr>
                <w:rFonts w:cs="Arial"/>
                <w:lang w:eastAsia="en-NZ"/>
              </w:rPr>
              <w:lastRenderedPageBreak/>
              <w:t xml:space="preserve">involvement in care planning and pae ora outcomes were identified. There were no barriers to care identified. </w:t>
            </w:r>
          </w:p>
          <w:p w14:paraId="4129E7A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general practitioner (GP) within five working days of admission, who then reviews the residents at least three-monthly or earlier if required. The GP visits once a week and services outside business hours are provided by the GP practice. The GP interviewed commented that consultations requested were appropriate and were scheduled according to priority appropriately. Specialist referrals are initiated as needed. Allied health interventions were documented and integrated into care plans. A podiatrist and physiotherapist visit regularly, and a wound care specialist nurse and continence nurse are available as required through Health New Zealand. Palliative aged residential care service from Nurse Maude is available to support any palliative residents if needed.</w:t>
            </w:r>
          </w:p>
          <w:p w14:paraId="7FA91E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achievement towards meeting desired goals and outcomes. Residents interviewed confirmed assessments are completed according to their needs. </w:t>
            </w:r>
          </w:p>
          <w:p w14:paraId="15F97D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nine residents with active wounds. The active wounds are lesions, skin tears, abrasions and pressure injuries (stage two, deep tissue and unstageable). </w:t>
            </w:r>
          </w:p>
          <w:p w14:paraId="1F41F7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clinical records. The progress notes reviewed provided evidence that family/whānau have been notified of changes to health, including infections, accident/incidents, general practitioner visits, medication </w:t>
            </w:r>
            <w:r w:rsidRPr="00BE00C7">
              <w:rPr>
                <w:rFonts w:cs="Arial"/>
                <w:lang w:eastAsia="en-NZ"/>
              </w:rPr>
              <w:lastRenderedPageBreak/>
              <w:t>changes and any changes to health status. This was confirmed through the interviews with family/whānau. Monthly observations such as weight and blood pressure were completed and are up to date. Neurological observations are recorded following un-witnessed falls as per policy. Staff interviews confirmed they are familiar with the needs of all residents in the facility and that they have access to the supplies and products they require to meet those needs. Staff receive handover at the beginning of their shift.</w:t>
            </w:r>
          </w:p>
          <w:p w14:paraId="14A6887C" w14:textId="77777777" w:rsidR="00000000" w:rsidRPr="00BE00C7" w:rsidRDefault="00000000" w:rsidP="00186512">
            <w:pPr>
              <w:pStyle w:val="OutcomeDescription"/>
              <w:spacing w:before="120" w:after="120"/>
              <w:rPr>
                <w:rFonts w:cs="Arial"/>
                <w:lang w:eastAsia="en-NZ"/>
              </w:rPr>
            </w:pPr>
          </w:p>
        </w:tc>
      </w:tr>
      <w:tr w:rsidR="007E37A0" w14:paraId="0C15FCCA" w14:textId="77777777">
        <w:tc>
          <w:tcPr>
            <w:tcW w:w="0" w:type="auto"/>
          </w:tcPr>
          <w:p w14:paraId="3F19CB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B8EA5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A6E5226" w14:textId="77777777" w:rsidR="00000000" w:rsidRPr="00BE00C7" w:rsidRDefault="00000000" w:rsidP="00BE00C7">
            <w:pPr>
              <w:pStyle w:val="OutcomeDescription"/>
              <w:spacing w:before="120" w:after="120"/>
              <w:rPr>
                <w:rFonts w:cs="Arial"/>
                <w:lang w:eastAsia="en-NZ"/>
              </w:rPr>
            </w:pPr>
          </w:p>
        </w:tc>
        <w:tc>
          <w:tcPr>
            <w:tcW w:w="0" w:type="auto"/>
          </w:tcPr>
          <w:p w14:paraId="45522A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3D56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team consists of two activities coordinators, working Monday to Friday. One coordinator holds a current first aid training and will commence the diversional therapy training. </w:t>
            </w:r>
          </w:p>
          <w:p w14:paraId="583499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assessments and care plans are completed within 21 days of admission and are part of the long-term care plan. This is reviewed at least six-monthly at the same time when long-term care plan is evaluated. Current assessments have been completed by the registered nurses. Monthly progress notes and activity attendance records are maintained. The resident’s social and cultural profile includes the resident’s past hobbies and present interests, likes and dislikes, and family/whānau connections. Staff have access to Māori and Pasifika advisors if a cultural support is needed. </w:t>
            </w:r>
          </w:p>
          <w:p w14:paraId="74E14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developed by the coordinators with the assistance of the facility manager (previously in the diversional therapist role). Additional support and resources are available from the activities team of sister facilities within the Christchurch area. The coordinators do not have a set roster for covering activities in the different areas and this is decided on an ad hoc basis to allow flexibility and inclusion of spontaneous events and one on one with residents as needed. Activities include physical, cognitive, intellectual, creative, and social activities. The monthly activities calendar includes celebratory themes, events and a wide range of activities that includes (but not limited to): art and craft, exercises, bingo, church services, walks, happy hour, newspaper reading, baking, musical activities, shopping and outings. </w:t>
            </w:r>
          </w:p>
          <w:p w14:paraId="021F8E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facilitates opportunities for Māori to participate in te reo Māori through the use of te reo Māori in dual language signage, participation in Māori language week and Matariki, and Māori celebratory events. The service encourages staff to support community initiatives, including those that meet the health needs and aspirations of Māori and whānau. This was evident in connections with local churches. </w:t>
            </w:r>
          </w:p>
          <w:p w14:paraId="0FBCA98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and church services. The service has a van available for weekly (or more often) outings, and these are provided on a rotating basis. Themed days such as Valentines Day, St Patricks day, Waitangi, and ANZAC Day are on the programme and celebrated with appropriate resources available. There are regular resident meetings.</w:t>
            </w:r>
          </w:p>
          <w:p w14:paraId="53C01C99" w14:textId="77777777" w:rsidR="00000000" w:rsidRPr="00BE00C7" w:rsidRDefault="00000000" w:rsidP="00BE00C7">
            <w:pPr>
              <w:pStyle w:val="OutcomeDescription"/>
              <w:spacing w:before="120" w:after="120"/>
              <w:rPr>
                <w:rFonts w:cs="Arial"/>
                <w:lang w:eastAsia="en-NZ"/>
              </w:rPr>
            </w:pPr>
          </w:p>
        </w:tc>
      </w:tr>
      <w:tr w:rsidR="007E37A0" w14:paraId="21C93A9F" w14:textId="77777777">
        <w:tc>
          <w:tcPr>
            <w:tcW w:w="0" w:type="auto"/>
          </w:tcPr>
          <w:p w14:paraId="428F97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9BD1D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70E860F" w14:textId="77777777" w:rsidR="00000000" w:rsidRPr="00BE00C7" w:rsidRDefault="00000000" w:rsidP="00BE00C7">
            <w:pPr>
              <w:pStyle w:val="OutcomeDescription"/>
              <w:spacing w:before="120" w:after="120"/>
              <w:rPr>
                <w:rFonts w:cs="Arial"/>
                <w:lang w:eastAsia="en-NZ"/>
              </w:rPr>
            </w:pPr>
          </w:p>
        </w:tc>
        <w:tc>
          <w:tcPr>
            <w:tcW w:w="0" w:type="auto"/>
          </w:tcPr>
          <w:p w14:paraId="5339A6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C84B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in each unit are stored safely in a locked treatment room. Caregivers and registered nurses’ complete medication competencies. Regular medications and pro re nata (PRN) medications are delivered in prepackaged packs. The registered nurses and caregivers check the packs against the electronic medication charts, and a record of medication reconciliation is maintained. Any discrepancies are fed back to the supplying pharmacy. Expired medications are returned to the pharmacy in a safe and timely manner. There are two medication rooms for which medication fridge and room air temperatures are checked daily, recorded, and all were within the acceptable temperature range. Eye drops were dated on opening and were within the expiry date. </w:t>
            </w:r>
          </w:p>
          <w:p w14:paraId="4FFD61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and met prescribing requirements. All medications are charted either regular doses or PRN. Medication charts had photographic identification and allergy status noted. The general practitioner had reviewed the medication charts three-monthly and discussion and consultation with residents takes place during these reviews and if additions or changes are made. All PRN medications had prescribed indications for use, and </w:t>
            </w:r>
            <w:r w:rsidRPr="00BE00C7">
              <w:rPr>
                <w:rFonts w:cs="Arial"/>
                <w:lang w:eastAsia="en-NZ"/>
              </w:rPr>
              <w:lastRenderedPageBreak/>
              <w:t xml:space="preserve">the effectiveness or outcome had been documented in the medication system if administered. </w:t>
            </w:r>
          </w:p>
          <w:p w14:paraId="4682E8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in use. All over the counter medications are reviewed by the GP and prescribed. There are three rest home level care residents who are self-administering medications at the time of the audit. All residents are assessed as competent and are reviewed by the GP three monthly. Assessment forms include the medication they self-administer. The medication competent staff confirm with the residents signed off to self-administer their own medication, and record the medication was administered on the electronic system.  </w:t>
            </w:r>
          </w:p>
          <w:p w14:paraId="272430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nurses (registered and enrolled) interviewed have processes in place for working in partnership with all residents and family/whānau to ensure the appropriate support is in place, advice is timely, easily accessed, and treatment is prioritised to achieve better health outcomes. The nurses described discussing residents’ medications with the resident and family/whanau to include any side effects and changes to medications. </w:t>
            </w:r>
          </w:p>
          <w:p w14:paraId="325527D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received medication training in medication management as part of their annual training programme.</w:t>
            </w:r>
          </w:p>
          <w:p w14:paraId="07E61BE8" w14:textId="77777777" w:rsidR="00000000" w:rsidRPr="00BE00C7" w:rsidRDefault="00000000" w:rsidP="00BE00C7">
            <w:pPr>
              <w:pStyle w:val="OutcomeDescription"/>
              <w:spacing w:before="120" w:after="120"/>
              <w:rPr>
                <w:rFonts w:cs="Arial"/>
                <w:lang w:eastAsia="en-NZ"/>
              </w:rPr>
            </w:pPr>
          </w:p>
        </w:tc>
      </w:tr>
      <w:tr w:rsidR="007E37A0" w14:paraId="0F6DCE24" w14:textId="77777777">
        <w:tc>
          <w:tcPr>
            <w:tcW w:w="0" w:type="auto"/>
          </w:tcPr>
          <w:p w14:paraId="3FDAA7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24952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1FE6C8B" w14:textId="77777777" w:rsidR="00000000" w:rsidRPr="00BE00C7" w:rsidRDefault="00000000" w:rsidP="00BE00C7">
            <w:pPr>
              <w:pStyle w:val="OutcomeDescription"/>
              <w:spacing w:before="120" w:after="120"/>
              <w:rPr>
                <w:rFonts w:cs="Arial"/>
                <w:lang w:eastAsia="en-NZ"/>
              </w:rPr>
            </w:pPr>
          </w:p>
        </w:tc>
        <w:tc>
          <w:tcPr>
            <w:tcW w:w="0" w:type="auto"/>
          </w:tcPr>
          <w:p w14:paraId="6896D7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CE97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is managed by an acting kitchen manager (works 32 hours per week) and is supported by cook (24 hours per week). All have food safety qualifications.</w:t>
            </w:r>
          </w:p>
          <w:p w14:paraId="79A0F82A"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included in the menu. The kitchen receives resident dietary forms and is notified of any dietary changes for residents. Dislikes and special dietary requirements are accommodated, including food allergies. The acting kitchen manager interviewed reported they accommodate residents’ requests, and that the service prepares food that is culturally specific to different cultures. Special occasions are catered for. On the days of the audit, the kitchen was clean and well equipped. Kitchen staff were observed following appropriate infection prevention measures during food preparation and serving.</w:t>
            </w:r>
          </w:p>
          <w:p w14:paraId="2F5D6B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nutritional requirements are assessed on admission to the service in consultation with the residents and family/whānau and enduring power of attorneys. The nutritional assessments identify residents’ personal food preferences, allergies, intolerances, any special diets, cultural preferences, and modified texture requirements. Residents’ dietary preferences were available in the kitchen folder. The menu in use was reviewed by a registered dietitian in May 2025. </w:t>
            </w:r>
          </w:p>
          <w:p w14:paraId="2DFF6922"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3A70F6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cooked meals are served to the respective areas in a bain-marie. All decanted food had records of use by dates recorded on the containers and no expired items were sighted. Family/whānau and residents interviewed indicated satisfaction with the food service. The dining areas are well set up, and noise levels were kept to a minimum to ensure the dining experience was pleasurable for residents. Residents’ needs and cultural preferences were addressed. </w:t>
            </w:r>
          </w:p>
          <w:p w14:paraId="1A9FDD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expires on 27 June 2026. </w:t>
            </w:r>
          </w:p>
          <w:p w14:paraId="02018591" w14:textId="77777777" w:rsidR="00000000" w:rsidRPr="00BE00C7" w:rsidRDefault="00000000" w:rsidP="00BE00C7">
            <w:pPr>
              <w:pStyle w:val="OutcomeDescription"/>
              <w:spacing w:before="120" w:after="120"/>
              <w:rPr>
                <w:rFonts w:cs="Arial"/>
                <w:lang w:eastAsia="en-NZ"/>
              </w:rPr>
            </w:pPr>
          </w:p>
        </w:tc>
      </w:tr>
      <w:tr w:rsidR="007E37A0" w14:paraId="0AE23F97" w14:textId="77777777">
        <w:tc>
          <w:tcPr>
            <w:tcW w:w="0" w:type="auto"/>
          </w:tcPr>
          <w:p w14:paraId="0289F2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13B3E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DE9037" w14:textId="77777777" w:rsidR="00000000" w:rsidRPr="00BE00C7" w:rsidRDefault="00000000" w:rsidP="00BE00C7">
            <w:pPr>
              <w:pStyle w:val="OutcomeDescription"/>
              <w:spacing w:before="120" w:after="120"/>
              <w:rPr>
                <w:rFonts w:cs="Arial"/>
                <w:lang w:eastAsia="en-NZ"/>
              </w:rPr>
            </w:pPr>
          </w:p>
        </w:tc>
        <w:tc>
          <w:tcPr>
            <w:tcW w:w="0" w:type="auto"/>
          </w:tcPr>
          <w:p w14:paraId="6D4F63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B342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Where transfer to a different level of care is needed this is discussed with the GP and family/whānau before a referral is made to the needs assessment service for reassessment. Discharge and transfer are planned processes that are communicated with residents and their family/whānau. </w:t>
            </w:r>
          </w:p>
          <w:p w14:paraId="0D0A07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advised of options to access other health and disability services, including social support or Kaupapa Māori agencies, if indicated or requested. Where residents are transferred to the public hospital, their family/whānau is informed. Relevant documentation is sent with the resident including a printout of </w:t>
            </w:r>
            <w:r w:rsidRPr="00BE00C7">
              <w:rPr>
                <w:rFonts w:cs="Arial"/>
                <w:lang w:eastAsia="en-NZ"/>
              </w:rPr>
              <w:lastRenderedPageBreak/>
              <w:t>their current medications, care needs, resuscitation status and a copy of enduring power of attorney documents for transfers to the public hospital. The facility uses the ‘yellow envelope’ transfer documentation system for transfers to another service or facility.</w:t>
            </w:r>
          </w:p>
          <w:p w14:paraId="54DF057C" w14:textId="77777777" w:rsidR="00000000" w:rsidRPr="00BE00C7" w:rsidRDefault="00000000" w:rsidP="00BE00C7">
            <w:pPr>
              <w:pStyle w:val="OutcomeDescription"/>
              <w:spacing w:before="120" w:after="120"/>
              <w:rPr>
                <w:rFonts w:cs="Arial"/>
                <w:lang w:eastAsia="en-NZ"/>
              </w:rPr>
            </w:pPr>
          </w:p>
        </w:tc>
      </w:tr>
      <w:tr w:rsidR="007E37A0" w14:paraId="2D0E9412" w14:textId="77777777">
        <w:tc>
          <w:tcPr>
            <w:tcW w:w="0" w:type="auto"/>
          </w:tcPr>
          <w:p w14:paraId="24AE39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AE6A5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69923A" w14:textId="77777777" w:rsidR="00000000" w:rsidRPr="00BE00C7" w:rsidRDefault="00000000" w:rsidP="00BE00C7">
            <w:pPr>
              <w:pStyle w:val="OutcomeDescription"/>
              <w:spacing w:before="120" w:after="120"/>
              <w:rPr>
                <w:rFonts w:cs="Arial"/>
                <w:lang w:eastAsia="en-NZ"/>
              </w:rPr>
            </w:pPr>
          </w:p>
        </w:tc>
        <w:tc>
          <w:tcPr>
            <w:tcW w:w="0" w:type="auto"/>
          </w:tcPr>
          <w:p w14:paraId="261B6E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6CC2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maintenance plan in place. The maintenance officer works five days a week and the maintenance team from sister facilities are available for back up and support if needed. The maintenance plan includes electrical testing and tagging equipment checks (completed May 2025), calibrations of weigh scales and clinical equipment performance monitoring and testing (completed January 2025). There is a maintenance request logbook located by the reception area, checked by the maintenance officer and signed off when repairs have been completed. Monthly hot water temperature tests are completed for resident areas and are below 45 degrees Celsius. Corrective actions are completed for any temperatures above the required threshold. The building has a current warrant of fitness which expires on 1 April 2026. There are essential contractors who can be contacted if needed.</w:t>
            </w:r>
          </w:p>
          <w:p w14:paraId="386FB4CC" w14:textId="77777777" w:rsidR="00000000" w:rsidRPr="00BE00C7" w:rsidRDefault="00000000" w:rsidP="00BE00C7">
            <w:pPr>
              <w:pStyle w:val="OutcomeDescription"/>
              <w:spacing w:before="120" w:after="120"/>
              <w:rPr>
                <w:rFonts w:cs="Arial"/>
                <w:lang w:eastAsia="en-NZ"/>
              </w:rPr>
            </w:pPr>
            <w:r w:rsidRPr="00BE00C7">
              <w:rPr>
                <w:rFonts w:cs="Arial"/>
                <w:lang w:eastAsia="en-NZ"/>
              </w:rPr>
              <w:t>A tour of the facility was conducted. The care centre is a on single level which branches out to three wings. Each wing has a communal area (one main dining, one main lounge for activities, one open plan lounge, dining room with kitchenette). The communal areas are spacious and allow for groups or individual activities. Access to the facility is via the main entrance and all visitors and contractors are required to sign in. The facility has under floor heating. Resident rooms throughout the facility are spacious and have windows that allow for ample light and ventilation. Residents can personalise their rooms which are large enough for family/whānau to socialise with the resident. Resident’s rooms allow for the safe use and manoeuvring of mobility aids. The corridors are wide and promote safe mobility with the use of mobility aids. Residents were seen freely mobilising within the communal areas. There is access to the outdoor areas, seating and shade.</w:t>
            </w:r>
          </w:p>
          <w:p w14:paraId="3077C4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visitor and staff toilets as well as communal toilets close to resident communal areas such as the dining room and lounge areas. Privacy locks are on the communal and visitor toilets. All ensuite </w:t>
            </w:r>
            <w:r w:rsidRPr="00BE00C7">
              <w:rPr>
                <w:rFonts w:cs="Arial"/>
                <w:lang w:eastAsia="en-NZ"/>
              </w:rPr>
              <w:lastRenderedPageBreak/>
              <w:t>and communal toilets have paper towels and flowing soap available. Fixtures, fittings, and flooring are appropriate. Toilet/shower facilities are easy to clean. There is sufficient space in toilet and shower areas to accommodate shower chairs.</w:t>
            </w:r>
          </w:p>
          <w:p w14:paraId="7DB3E2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Any major refurbishments or building projects are managed through the Head office who are aware of the requirement to have Māori input to the design. </w:t>
            </w:r>
          </w:p>
          <w:p w14:paraId="79181C9C" w14:textId="77777777" w:rsidR="00000000" w:rsidRPr="00BE00C7" w:rsidRDefault="00000000" w:rsidP="00BE00C7">
            <w:pPr>
              <w:pStyle w:val="OutcomeDescription"/>
              <w:spacing w:before="120" w:after="120"/>
              <w:rPr>
                <w:rFonts w:cs="Arial"/>
                <w:lang w:eastAsia="en-NZ"/>
              </w:rPr>
            </w:pPr>
          </w:p>
        </w:tc>
      </w:tr>
      <w:tr w:rsidR="007E37A0" w14:paraId="4370DFC7" w14:textId="77777777">
        <w:tc>
          <w:tcPr>
            <w:tcW w:w="0" w:type="auto"/>
          </w:tcPr>
          <w:p w14:paraId="235332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9CD1E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D097954" w14:textId="77777777" w:rsidR="00000000" w:rsidRPr="00BE00C7" w:rsidRDefault="00000000" w:rsidP="00BE00C7">
            <w:pPr>
              <w:pStyle w:val="OutcomeDescription"/>
              <w:spacing w:before="120" w:after="120"/>
              <w:rPr>
                <w:rFonts w:cs="Arial"/>
                <w:lang w:eastAsia="en-NZ"/>
              </w:rPr>
            </w:pPr>
          </w:p>
        </w:tc>
        <w:tc>
          <w:tcPr>
            <w:tcW w:w="0" w:type="auto"/>
          </w:tcPr>
          <w:p w14:paraId="4F8085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2CEC5"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The emergency evacuation procedure guides staff to complete a safe and timely evacuation of the facility in case of an emergency. Laminated copies of emergency response information are readily available in multiple areas around the facility (reception, nurse station, common areas of each wing). The facility has a staged evacuation scheme. The fire evacuation plan has been approved by Fire and Emergency New Zealand (dated 26 April 2007). Fire evacuation drills are carried out six monthly, last completed 4 March 2025.</w:t>
            </w:r>
          </w:p>
          <w:p w14:paraId="05431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sealed and stored in the nurse station and cupboards in each wing. The kitchen stores the emergency food supplies. These are checked six monthly and were sighted to be current. In the event of a power outage, there is medical equipment, a gas barbeque and emergency lighting and a generator onsite There is adequate food supply available for each resident for a minimum of seven days. There are adequate supplies in the event of a civil defence emergency. The provider has a 10,000-litre tank available (reticulated water), as well as bottled water in the cupboards. A minimum of one person trained in first aid is always on duty. </w:t>
            </w:r>
          </w:p>
          <w:p w14:paraId="7A9074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by the maintenance officer. Residents and family/whānau interviewed confirmed that call bells are answered in a timely manner.</w:t>
            </w:r>
          </w:p>
          <w:p w14:paraId="12D43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secured at night. The main entrance locks automatically at a predetermined time. The evening staff lock the exit doors at each wing and conduct routine security checks. Family/whānau are informed </w:t>
            </w:r>
            <w:r w:rsidRPr="00BE00C7">
              <w:rPr>
                <w:rFonts w:cs="Arial"/>
                <w:lang w:eastAsia="en-NZ"/>
              </w:rPr>
              <w:lastRenderedPageBreak/>
              <w:t>of emergency procedures. On interview, staff confirmed an awareness of the process to follow should an emergency event occur.</w:t>
            </w:r>
          </w:p>
          <w:p w14:paraId="7247B17C" w14:textId="77777777" w:rsidR="00000000" w:rsidRPr="00BE00C7" w:rsidRDefault="00000000" w:rsidP="00BE00C7">
            <w:pPr>
              <w:pStyle w:val="OutcomeDescription"/>
              <w:spacing w:before="120" w:after="120"/>
              <w:rPr>
                <w:rFonts w:cs="Arial"/>
                <w:lang w:eastAsia="en-NZ"/>
              </w:rPr>
            </w:pPr>
          </w:p>
        </w:tc>
      </w:tr>
      <w:tr w:rsidR="007E37A0" w14:paraId="647502C7" w14:textId="77777777">
        <w:tc>
          <w:tcPr>
            <w:tcW w:w="0" w:type="auto"/>
          </w:tcPr>
          <w:p w14:paraId="5C45A7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7318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9A23F1" w14:textId="77777777" w:rsidR="00000000" w:rsidRPr="00BE00C7" w:rsidRDefault="00000000" w:rsidP="00BE00C7">
            <w:pPr>
              <w:pStyle w:val="OutcomeDescription"/>
              <w:spacing w:before="120" w:after="120"/>
              <w:rPr>
                <w:rFonts w:cs="Arial"/>
                <w:lang w:eastAsia="en-NZ"/>
              </w:rPr>
            </w:pPr>
          </w:p>
        </w:tc>
        <w:tc>
          <w:tcPr>
            <w:tcW w:w="0" w:type="auto"/>
          </w:tcPr>
          <w:p w14:paraId="2E61A2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9A58F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antimicrobial stewardship (AMS) is an integral part of the Alden Rose Court quality programme which is linked to the strategic plan to ensure the environment minimises the risk of infection to residents, staff and visitors. Expertise in infection prevention and control and antimicrobial stewardship can be accessed through the National clinical education and infection lead, Public Health and Health New Zealand. Infection prevention and antimicrobial stewardship resources are accessible. Any significant events are managed using a collaborative approach involving the infection control team, clinical governance committee, the general practitioner and the Public Health team. There is a communication pathway for reporting infection prevention and antimicrobial stewardship issues to the Board. The clinical services manager confirmed any outbreaks are reported immediately. The infection prevention programme, its content and detail, is appropriate for the size, complexity and degree of risk associated with the service.</w:t>
            </w:r>
          </w:p>
          <w:p w14:paraId="26534B1B" w14:textId="77777777" w:rsidR="00000000" w:rsidRPr="00BE00C7" w:rsidRDefault="00000000" w:rsidP="00BE00C7">
            <w:pPr>
              <w:pStyle w:val="OutcomeDescription"/>
              <w:spacing w:before="120" w:after="120"/>
              <w:rPr>
                <w:rFonts w:cs="Arial"/>
                <w:lang w:eastAsia="en-NZ"/>
              </w:rPr>
            </w:pPr>
          </w:p>
        </w:tc>
      </w:tr>
      <w:tr w:rsidR="007E37A0" w14:paraId="2B501BF8" w14:textId="77777777">
        <w:tc>
          <w:tcPr>
            <w:tcW w:w="0" w:type="auto"/>
          </w:tcPr>
          <w:p w14:paraId="77F880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363EA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2D0743" w14:textId="77777777" w:rsidR="00000000" w:rsidRPr="00BE00C7" w:rsidRDefault="00000000" w:rsidP="00BE00C7">
            <w:pPr>
              <w:pStyle w:val="OutcomeDescription"/>
              <w:spacing w:before="120" w:after="120"/>
              <w:rPr>
                <w:rFonts w:cs="Arial"/>
                <w:lang w:eastAsia="en-NZ"/>
              </w:rPr>
            </w:pPr>
          </w:p>
        </w:tc>
        <w:tc>
          <w:tcPr>
            <w:tcW w:w="0" w:type="auto"/>
          </w:tcPr>
          <w:p w14:paraId="097CA1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4512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programme has been developed by an external consultant and has been approved by the clinical governance team. The infection prevention programme is reviewed yearly and discussed at three monthly infection prevention meetings and monthly quality and staff meetings. Infection prevention data is included in the monthly reflection reports which are reviewed by the infection control coordinator (Infection Prevention and AMS lead) and clinical governance committee. The infection prevention manual includes a comprehensive range of policies, standards and guidelines. This includes defining roles, responsibilities and oversight, pandemic and outbreak management plan, responsibilities during construction/refurbishment, training, and education of staff. </w:t>
            </w:r>
          </w:p>
          <w:p w14:paraId="2DF186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reviewed three monthly by the clinical governance committee with contributions by the infection prevention coordinators across all Alden sites who meet monthly by video link. </w:t>
            </w:r>
            <w:r w:rsidRPr="00BE00C7">
              <w:rPr>
                <w:rFonts w:cs="Arial"/>
                <w:lang w:eastAsia="en-NZ"/>
              </w:rPr>
              <w:lastRenderedPageBreak/>
              <w:t xml:space="preserve">The regular reviews ensure compliance with standards and regulations. Policies are available to staff. The pandemic response plan is clearly documented to reflect the current expected guidance from Health New Zealand. The infection prevention coordinator (clinical manager) job description outlines the responsibility of the role relating to infection prevention matters and antimicrobial stewardship (AMS). </w:t>
            </w:r>
          </w:p>
          <w:p w14:paraId="25CEEF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has completed external and internal infection control training including training provided through online sources. The infection prevention coordinator has access to support from Infection Prevention Services (formally Bug Control), the clinical educator, general practitioner and public health team. The infection prevention coordinator described the pandemic plan (sighted) and confirmed the implementation of the plan proved to be successful at the times of outbreaks. During the visual inspection of the facility and facility tour, staff were observed to adhere to infection prevention policies and practices. The infection prevention audits monitor the effectiveness of education and infection control practices. The infection prevention coordinator has input in the procurement of good quality consumables and personal protective equipment (PPE). Sufficient infection control resources, including personal protective equipment (PPE), were sighted and these are regularly checked against expiry dates. The infection prevention resources were readily accessible to support the pandemic plan if required. </w:t>
            </w:r>
          </w:p>
          <w:p w14:paraId="0EB967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information available in te reo Māori. The infection prevention coordinator and caregivers work in partnership with Māori residents and family/whānau for the implementation of culturally safe practices in infection prevention and acknowledging the spirit of Te Tiriti o Waitangi. Staff interviewed understood cultural considerations related to infection prevention practices. </w:t>
            </w:r>
          </w:p>
          <w:p w14:paraId="79B582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Single-use medical devices are not reused. All shared and reusable equipment is appropriately disinfected between use. The procedures to check these are monitored through the internal audit system. Infection prevention is part of facility meetings. The </w:t>
            </w:r>
            <w:r w:rsidRPr="00BE00C7">
              <w:rPr>
                <w:rFonts w:cs="Arial"/>
                <w:lang w:eastAsia="en-NZ"/>
              </w:rPr>
              <w:lastRenderedPageBreak/>
              <w:t>management team described a clear process of involvement from the infection control coordinator should there be plans for development and ongoing refurbishments of the building. Infection prevention is part of facility meetings.</w:t>
            </w:r>
          </w:p>
          <w:p w14:paraId="436F6B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prevention policies. Infection prevention is part of staff orientation and forms part of the annual staff education schedule. Staff have completed hand hygiene skin infections, standard precautions, and personal protective equipment training. Resident education occurs as part of the daily cares. Family/whānau are kept informed of extra precautions required or outbreaks and updated through emails and phone calls. Visitors are asked not to visit if unwell. </w:t>
            </w:r>
          </w:p>
          <w:p w14:paraId="246B6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plastic aprons and gloves strategically placed around the facility near point of care. Handbasins all have flowing soap and paper towels.</w:t>
            </w:r>
          </w:p>
          <w:p w14:paraId="46E3C6D8" w14:textId="77777777" w:rsidR="00000000" w:rsidRPr="00BE00C7" w:rsidRDefault="00000000" w:rsidP="00BE00C7">
            <w:pPr>
              <w:pStyle w:val="OutcomeDescription"/>
              <w:spacing w:before="120" w:after="120"/>
              <w:rPr>
                <w:rFonts w:cs="Arial"/>
                <w:lang w:eastAsia="en-NZ"/>
              </w:rPr>
            </w:pPr>
          </w:p>
        </w:tc>
      </w:tr>
      <w:tr w:rsidR="007E37A0" w14:paraId="7B62927F" w14:textId="77777777">
        <w:tc>
          <w:tcPr>
            <w:tcW w:w="0" w:type="auto"/>
          </w:tcPr>
          <w:p w14:paraId="3B4DC8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206DE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CA57729" w14:textId="77777777" w:rsidR="00000000" w:rsidRPr="00BE00C7" w:rsidRDefault="00000000" w:rsidP="00BE00C7">
            <w:pPr>
              <w:pStyle w:val="OutcomeDescription"/>
              <w:spacing w:before="120" w:after="120"/>
              <w:rPr>
                <w:rFonts w:cs="Arial"/>
                <w:lang w:eastAsia="en-NZ"/>
              </w:rPr>
            </w:pPr>
          </w:p>
        </w:tc>
        <w:tc>
          <w:tcPr>
            <w:tcW w:w="0" w:type="auto"/>
          </w:tcPr>
          <w:p w14:paraId="02D945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435F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There is a documented AMS programme and is approved by the clinical governance committee. The service has antimicrobial stewardship policy and monitors compliance of antibiotic and antimicrobial use through evaluation and monitoring of medication prescribing charts and medical notes. Compliance and the effectiveness of their AMS programme is scrutinised nationally by the clinical governance committee. The policy is appropriate for the size, scope, and complexity of the reside. cohort. Infection rates are monitored monthly and reported to the three-monthly IPC meetings, quality and staff meetings. Significant events are reported via the head of clinical to the Board immediately. Prophylactic use of antibiotics is not considered to be appropriate and is discouraged. The general practitioner and clinical manager provide oversight on antimicrobial use within the facility. Any areas of improvement are identified and acted upon.</w:t>
            </w:r>
          </w:p>
          <w:p w14:paraId="07A260A7" w14:textId="77777777" w:rsidR="00000000" w:rsidRPr="00BE00C7" w:rsidRDefault="00000000" w:rsidP="00BE00C7">
            <w:pPr>
              <w:pStyle w:val="OutcomeDescription"/>
              <w:spacing w:before="120" w:after="120"/>
              <w:rPr>
                <w:rFonts w:cs="Arial"/>
                <w:lang w:eastAsia="en-NZ"/>
              </w:rPr>
            </w:pPr>
          </w:p>
        </w:tc>
      </w:tr>
      <w:tr w:rsidR="007E37A0" w14:paraId="6AEB0C41" w14:textId="77777777">
        <w:tc>
          <w:tcPr>
            <w:tcW w:w="0" w:type="auto"/>
          </w:tcPr>
          <w:p w14:paraId="0F9B1C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C99B4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F9E31A4" w14:textId="77777777" w:rsidR="00000000" w:rsidRPr="00BE00C7" w:rsidRDefault="00000000" w:rsidP="00BE00C7">
            <w:pPr>
              <w:pStyle w:val="OutcomeDescription"/>
              <w:spacing w:before="120" w:after="120"/>
              <w:rPr>
                <w:rFonts w:cs="Arial"/>
                <w:lang w:eastAsia="en-NZ"/>
              </w:rPr>
            </w:pPr>
          </w:p>
        </w:tc>
        <w:tc>
          <w:tcPr>
            <w:tcW w:w="0" w:type="auto"/>
          </w:tcPr>
          <w:p w14:paraId="32E33A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3F2C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programme and is described in the Alden Rose Court infection prevention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residents’ ethnicity. This data is monitored and analysed for trends and patterns by the clinical manager and is included in the monthly ‘reflection report’ to the Board. Infection prevention surveillance is discussed at facility meetings as confirmed by staff interviewed and review of staff meeting minutes. The infection control coordinator described developing action plans where required for any infection rates of concern. </w:t>
            </w:r>
          </w:p>
          <w:p w14:paraId="5CA696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were confirmed as being utilised for residents with infections. Internal infection prevention audits are completed with corrective actions for areas of improvement. Clear culturally safe communication pathways are documented to ensure communication to staff and family/whānau for any staff or residents who develop or experience a healthcare acquired infection (HAI). The service receives information from Health New Zealand services for any community concerns. The infection prevention coordinator described developing action plans where required for any infection rates of concern. </w:t>
            </w:r>
          </w:p>
          <w:p w14:paraId="7DD957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Covid-19 and one Norovirus outbreak since the last audit. These outbreaks were appropriately reported. Infection outbreak logs, and documentation were maintained throughout the outbreaks. The clinical services manager discussed the reviews they completed post these events to ensure improvements were made for any future outbreak management. The infection prevention coordinator reported the individual infections were recorded on the infection logs (sighted). This included monitoring the length of the outbreak and residents and staff affected.</w:t>
            </w:r>
          </w:p>
          <w:p w14:paraId="15F65E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awarded a continuous improvement rating for the management of urinary tract infections. </w:t>
            </w:r>
          </w:p>
          <w:p w14:paraId="278D1854" w14:textId="77777777" w:rsidR="00000000" w:rsidRPr="00BE00C7" w:rsidRDefault="00000000" w:rsidP="00BE00C7">
            <w:pPr>
              <w:pStyle w:val="OutcomeDescription"/>
              <w:spacing w:before="120" w:after="120"/>
              <w:rPr>
                <w:rFonts w:cs="Arial"/>
                <w:lang w:eastAsia="en-NZ"/>
              </w:rPr>
            </w:pPr>
          </w:p>
        </w:tc>
      </w:tr>
      <w:tr w:rsidR="007E37A0" w14:paraId="20B19FE9" w14:textId="77777777">
        <w:tc>
          <w:tcPr>
            <w:tcW w:w="0" w:type="auto"/>
          </w:tcPr>
          <w:p w14:paraId="56420D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F024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6868136" w14:textId="77777777" w:rsidR="00000000" w:rsidRPr="00BE00C7" w:rsidRDefault="00000000" w:rsidP="00BE00C7">
            <w:pPr>
              <w:pStyle w:val="OutcomeDescription"/>
              <w:spacing w:before="120" w:after="120"/>
              <w:rPr>
                <w:rFonts w:cs="Arial"/>
                <w:lang w:eastAsia="en-NZ"/>
              </w:rPr>
            </w:pPr>
          </w:p>
        </w:tc>
        <w:tc>
          <w:tcPr>
            <w:tcW w:w="0" w:type="auto"/>
          </w:tcPr>
          <w:p w14:paraId="0117CC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0D73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and hazardous waste and other waste disposal. Chemicals were clearly labelled with manufacturer’s product labels and stored in locked areas. Cleaning chemicals are stored in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 and disposable visors are available for staff, and they were observed to be wearing these as they carried out their duties on the days of audit. </w:t>
            </w:r>
          </w:p>
          <w:p w14:paraId="641646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sluice rooms with sanitisers, a stainless-steel bench and separate handwashing facilities with flowing soap and hand towels. Staff have completed chemical safety training. A chemical provider monitors the effectiveness of chemicals. The laundry assistant (interviewed) was knowledgeable around chemicals, infection control practices and cleaning practices during outbreaks. </w:t>
            </w:r>
          </w:p>
          <w:p w14:paraId="459E9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laundry on site with personal laundry and towels laundered by dedicated housekeepers. There are defined dirty and clean areas. Personal laundry is delivered back to residents’ rooms. Household linen (bedding) is collected and delivered three times a week. Staff reported there are plenty of linen available.</w:t>
            </w:r>
          </w:p>
          <w:p w14:paraId="6F584B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enough space for linen storage. The linen cupboards were well stocked, and linen sighted to be in a good condition. The washing machines and dryers are checked and serviced regularly. The infection prevention coordinator is overseeing the implementation of the cleaning and laundry audits and is involved in overseeing infection control practices in relation to the building.</w:t>
            </w:r>
          </w:p>
          <w:p w14:paraId="295E4609" w14:textId="77777777" w:rsidR="00000000" w:rsidRPr="00BE00C7" w:rsidRDefault="00000000" w:rsidP="00BE00C7">
            <w:pPr>
              <w:pStyle w:val="OutcomeDescription"/>
              <w:spacing w:before="120" w:after="120"/>
              <w:rPr>
                <w:rFonts w:cs="Arial"/>
                <w:lang w:eastAsia="en-NZ"/>
              </w:rPr>
            </w:pPr>
          </w:p>
        </w:tc>
      </w:tr>
      <w:tr w:rsidR="007E37A0" w14:paraId="5177B826" w14:textId="77777777">
        <w:tc>
          <w:tcPr>
            <w:tcW w:w="0" w:type="auto"/>
          </w:tcPr>
          <w:p w14:paraId="595082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0BB19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24D23DE8" w14:textId="77777777" w:rsidR="00000000" w:rsidRPr="00BE00C7" w:rsidRDefault="00000000" w:rsidP="00BE00C7">
            <w:pPr>
              <w:pStyle w:val="OutcomeDescription"/>
              <w:spacing w:before="120" w:after="120"/>
              <w:rPr>
                <w:rFonts w:cs="Arial"/>
                <w:lang w:eastAsia="en-NZ"/>
              </w:rPr>
            </w:pPr>
          </w:p>
        </w:tc>
        <w:tc>
          <w:tcPr>
            <w:tcW w:w="0" w:type="auto"/>
          </w:tcPr>
          <w:p w14:paraId="309DA4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C288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is the restraint coordinator and on interview outlined the services ongoing commitment to remain restraint free. This approach is supported by regional quality advisor. The restraint minimisation and safe practice policy is in accordance with this standard and supports the organisation’s commitment to a restraint-free environment. Review of documentation shows at the time of the audit no restraints were in place. The restraint coordinator has </w:t>
            </w:r>
            <w:r w:rsidRPr="00BE00C7">
              <w:rPr>
                <w:rFonts w:cs="Arial"/>
                <w:lang w:eastAsia="en-NZ"/>
              </w:rPr>
              <w:lastRenderedPageBreak/>
              <w:t xml:space="preserve">documented roles and responsibilities that relates to the role. 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Before any approval is given the restraint coordinator must discuss this with the head of quality and clinical governance. At all times when restraint is considered, the facility will work in partnership with Māori, to promote and ensure services are mana enhancing. A six-monthly restraint meeting is held to review all restraints. Staff have ongoing training relating to maintaining a restraint-free environment and safe practice. </w:t>
            </w:r>
          </w:p>
          <w:p w14:paraId="040BBDA9" w14:textId="77777777" w:rsidR="00000000" w:rsidRPr="00BE00C7" w:rsidRDefault="00000000" w:rsidP="00BE00C7">
            <w:pPr>
              <w:pStyle w:val="OutcomeDescription"/>
              <w:spacing w:before="120" w:after="120"/>
              <w:rPr>
                <w:rFonts w:cs="Arial"/>
                <w:lang w:eastAsia="en-NZ"/>
              </w:rPr>
            </w:pPr>
          </w:p>
        </w:tc>
      </w:tr>
    </w:tbl>
    <w:p w14:paraId="78E0716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56AFAEB" w14:textId="77777777" w:rsidR="00000000" w:rsidRDefault="00000000">
      <w:pPr>
        <w:pStyle w:val="Heading1"/>
        <w:rPr>
          <w:rFonts w:cs="Arial"/>
        </w:rPr>
      </w:pPr>
      <w:r>
        <w:rPr>
          <w:rFonts w:cs="Arial"/>
        </w:rPr>
        <w:lastRenderedPageBreak/>
        <w:t>Specific results for criterion where corrective actions are required</w:t>
      </w:r>
    </w:p>
    <w:p w14:paraId="0428F14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1BDC7F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8AD93B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E37A0" w14:paraId="68FEB127" w14:textId="77777777">
        <w:tc>
          <w:tcPr>
            <w:tcW w:w="0" w:type="auto"/>
          </w:tcPr>
          <w:p w14:paraId="1608C1C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DDF186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2B8358F" w14:textId="77777777" w:rsidR="00000000" w:rsidRDefault="00000000">
      <w:pPr>
        <w:pStyle w:val="Heading1"/>
        <w:rPr>
          <w:rFonts w:cs="Arial"/>
        </w:rPr>
      </w:pPr>
      <w:r>
        <w:rPr>
          <w:rFonts w:cs="Arial"/>
        </w:rPr>
        <w:lastRenderedPageBreak/>
        <w:t>Specific results for criterion where a continuous improvement has been recorded</w:t>
      </w:r>
    </w:p>
    <w:p w14:paraId="2FEB786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775FB6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397F6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334"/>
        <w:gridCol w:w="4030"/>
        <w:gridCol w:w="4883"/>
      </w:tblGrid>
      <w:tr w:rsidR="007E37A0" w14:paraId="0D517C8F" w14:textId="77777777">
        <w:tc>
          <w:tcPr>
            <w:tcW w:w="0" w:type="auto"/>
          </w:tcPr>
          <w:p w14:paraId="2CDA1B4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655C3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3B87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DC1C2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7E37A0" w14:paraId="0971957C" w14:textId="77777777">
        <w:tc>
          <w:tcPr>
            <w:tcW w:w="0" w:type="auto"/>
          </w:tcPr>
          <w:p w14:paraId="0A242BA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28AA83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307EC315"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A0EC1DE"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Rose Court provides an environment that encourages quality initiatives.  In 2023, high rates of UTIs were noted (total of 23). Alden Rose Court used those findings to implement a quality initiative that resulted in improved service provision, and positive changes made to residents` wellbeing.</w:t>
            </w:r>
          </w:p>
          <w:p w14:paraId="73300ED4" w14:textId="77777777" w:rsidR="00000000" w:rsidRPr="00BE00C7" w:rsidRDefault="00000000" w:rsidP="00BE00C7">
            <w:pPr>
              <w:pStyle w:val="OutcomeDescription"/>
              <w:spacing w:before="120" w:after="120"/>
              <w:rPr>
                <w:rFonts w:cs="Arial"/>
                <w:lang w:eastAsia="en-NZ"/>
              </w:rPr>
            </w:pPr>
          </w:p>
        </w:tc>
        <w:tc>
          <w:tcPr>
            <w:tcW w:w="0" w:type="auto"/>
          </w:tcPr>
          <w:p w14:paraId="15B5C92A"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improved AMS programme enabled and supported facilities with additional knowledge to ensure antimicrobial usage within the Alden facilities met the required guidelines. Urinary tract prevention and accurate identification was a focus due to the increasing number of inappropriate antimicrobial charting.</w:t>
            </w:r>
          </w:p>
          <w:p w14:paraId="79F304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used the clinical decision tool of the Health Quality and Safety Commission, which is also a part of frailty care guidelines to ensure standardising an approach to UTI diagnosis and treatment, providing a balance between potential benefits and harm. There was also a focus around the RNs responsibility with antimicrobial stewardship in 2024 for early identification and appropriate management of UTIs. All RNs and caregivers completed training in recognising symptoms of a UTI and related risks. The continence product provider </w:t>
            </w:r>
            <w:r w:rsidRPr="00BE00C7">
              <w:rPr>
                <w:rFonts w:cs="Arial"/>
                <w:lang w:eastAsia="en-NZ"/>
              </w:rPr>
              <w:lastRenderedPageBreak/>
              <w:t>commenced delivery of monthly training for clinical staff in addition to the annual training on management of continence and associated risks.</w:t>
            </w:r>
          </w:p>
          <w:p w14:paraId="7AFA13EE" w14:textId="77777777" w:rsidR="00000000" w:rsidRPr="00BE00C7" w:rsidRDefault="00000000" w:rsidP="00BE00C7">
            <w:pPr>
              <w:pStyle w:val="OutcomeDescription"/>
              <w:spacing w:before="120" w:after="120"/>
              <w:rPr>
                <w:rFonts w:cs="Arial"/>
                <w:lang w:eastAsia="en-NZ"/>
              </w:rPr>
            </w:pPr>
            <w:r w:rsidRPr="00BE00C7">
              <w:rPr>
                <w:rFonts w:cs="Arial"/>
                <w:lang w:eastAsia="en-NZ"/>
              </w:rPr>
              <w:t>Twenty-four staff completed an in-service education session and post-questionnaires related to antimicrobial stewardship (AMS) which covered in depth the knowledge of best practice guidelines for UTIs, importance of pathology and prevention strategies. This in-service education continues on an annual basis to all clinical staff members.</w:t>
            </w:r>
          </w:p>
          <w:p w14:paraId="66DB96C2"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(one rest home and four hospital) residents were identified in late 2023 with recurrent UTIs (more than three over a 12-month period) that impacted on their health that include sleep disturbances, fatigue, malaise, and cognitive and mobility changes, despite improving hydration by pushing of fluids. The residents group identified, have comorbidities that hinder self-hygiene or contribute to voiding abnormalities.</w:t>
            </w:r>
          </w:p>
          <w:p w14:paraId="11336FB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increased focus on RN led interventions saw the effective management of continence, oral hydration and personal hygiene related management for those residents identified as at risk. A refined toileting schedule to improve continence and perineal hygiene was implemented, the use of appropriate cleansing products to avoid contamination as well as focus on correct practice, hand hygiene and appropriate use of continence products (as appropriate for the individual).</w:t>
            </w:r>
          </w:p>
          <w:p w14:paraId="7D516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also improved reporting on antimicrobial usage within the monthly analysis for infections, which was fed through to relevant facility meetings including the three-monthly IPC meetings. Not only did the overall UTIs decrease in 2024 to 14; but none of the five in the identified residents’ group whose journey were followed had a UTI in 2024 or </w:t>
            </w:r>
            <w:r w:rsidRPr="00BE00C7">
              <w:rPr>
                <w:rFonts w:cs="Arial"/>
                <w:lang w:eastAsia="en-NZ"/>
              </w:rPr>
              <w:lastRenderedPageBreak/>
              <w:t>2025. Only two UTIs have been identified since January 2025.</w:t>
            </w:r>
          </w:p>
          <w:p w14:paraId="37ED9B9A"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the duration of 2024, the UTI rate for Alden Rose Court (0.25-0.75) was below the national benchmarking rate (2.98). The national governance and reporting have also continued to identify trends which is then regularly fed back at a facility level through the national clinical newsletter, received by all facilities.</w:t>
            </w:r>
          </w:p>
          <w:p w14:paraId="317725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confirmed the decision has changed their clinical practice that resulted in early detection of UTIs, accurate clinical decision making on UTI identification, appropriate early interventions and judicial prescribing of antimicrobials by GPs. This is evidenced in the electronic management system, infection end of month analysis and medication management system. The caregivers confirmed they are equipped to identify suspected UTI and implement approved strategies. </w:t>
            </w:r>
          </w:p>
          <w:p w14:paraId="42F424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feedback from the residents (where able) and family/whanau collected from the six multidisciplinary meetings, identified satisfaction with the care and improvements in symptom management. The satisfaction related to the quality of care for the facility was documented in 2024 at 4.6/5.0 there was an increase identified in the 2025 survey with a total of 4.8/5.0 which indicates an increase in resident satisfaction relating to the care provided.</w:t>
            </w:r>
          </w:p>
          <w:p w14:paraId="2B201926" w14:textId="77777777" w:rsidR="00000000" w:rsidRPr="00BE00C7" w:rsidRDefault="00000000" w:rsidP="00BE00C7">
            <w:pPr>
              <w:pStyle w:val="OutcomeDescription"/>
              <w:spacing w:before="120" w:after="120"/>
              <w:rPr>
                <w:rFonts w:cs="Arial"/>
                <w:lang w:eastAsia="en-NZ"/>
              </w:rPr>
            </w:pPr>
          </w:p>
        </w:tc>
      </w:tr>
    </w:tbl>
    <w:p w14:paraId="65805EE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8C4DDB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8E3F" w14:textId="77777777" w:rsidR="00370F59" w:rsidRDefault="00370F59">
      <w:r>
        <w:separator/>
      </w:r>
    </w:p>
  </w:endnote>
  <w:endnote w:type="continuationSeparator" w:id="0">
    <w:p w14:paraId="2FEF9E1F" w14:textId="77777777" w:rsidR="00370F59" w:rsidRDefault="0037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F815" w14:textId="77777777" w:rsidR="00000000" w:rsidRDefault="00000000">
    <w:pPr>
      <w:pStyle w:val="Footer"/>
    </w:pPr>
  </w:p>
  <w:p w14:paraId="35F0F647" w14:textId="77777777" w:rsidR="00000000" w:rsidRDefault="00000000"/>
  <w:p w14:paraId="7824CD0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956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Rose Court</w:t>
    </w:r>
    <w:bookmarkEnd w:id="59"/>
    <w:r>
      <w:rPr>
        <w:rFonts w:cs="Arial"/>
        <w:sz w:val="16"/>
        <w:szCs w:val="20"/>
      </w:rPr>
      <w:tab/>
      <w:t xml:space="preserve">Date of Audit: </w:t>
    </w:r>
    <w:bookmarkStart w:id="60" w:name="AuditStartDate1"/>
    <w:r>
      <w:rPr>
        <w:rFonts w:cs="Arial"/>
        <w:sz w:val="16"/>
        <w:szCs w:val="20"/>
      </w:rPr>
      <w:t>9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EB01B0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340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691C" w14:textId="77777777" w:rsidR="00370F59" w:rsidRDefault="00370F59">
      <w:r>
        <w:separator/>
      </w:r>
    </w:p>
  </w:footnote>
  <w:footnote w:type="continuationSeparator" w:id="0">
    <w:p w14:paraId="1ABE213A" w14:textId="77777777" w:rsidR="00370F59" w:rsidRDefault="0037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21AB" w14:textId="77777777" w:rsidR="00000000" w:rsidRDefault="00000000">
    <w:pPr>
      <w:pStyle w:val="Header"/>
    </w:pPr>
  </w:p>
  <w:p w14:paraId="56F47E8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58FB" w14:textId="77777777" w:rsidR="00000000" w:rsidRDefault="00000000">
    <w:pPr>
      <w:pStyle w:val="Header"/>
    </w:pPr>
  </w:p>
  <w:p w14:paraId="67C1630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78C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352D2E2">
      <w:start w:val="1"/>
      <w:numFmt w:val="decimal"/>
      <w:lvlText w:val="%1."/>
      <w:lvlJc w:val="left"/>
      <w:pPr>
        <w:ind w:left="360" w:hanging="360"/>
      </w:pPr>
    </w:lvl>
    <w:lvl w:ilvl="1" w:tplc="ABC65520" w:tentative="1">
      <w:start w:val="1"/>
      <w:numFmt w:val="lowerLetter"/>
      <w:lvlText w:val="%2."/>
      <w:lvlJc w:val="left"/>
      <w:pPr>
        <w:ind w:left="1080" w:hanging="360"/>
      </w:pPr>
    </w:lvl>
    <w:lvl w:ilvl="2" w:tplc="046032BE" w:tentative="1">
      <w:start w:val="1"/>
      <w:numFmt w:val="lowerRoman"/>
      <w:lvlText w:val="%3."/>
      <w:lvlJc w:val="right"/>
      <w:pPr>
        <w:ind w:left="1800" w:hanging="180"/>
      </w:pPr>
    </w:lvl>
    <w:lvl w:ilvl="3" w:tplc="14B0184C" w:tentative="1">
      <w:start w:val="1"/>
      <w:numFmt w:val="decimal"/>
      <w:lvlText w:val="%4."/>
      <w:lvlJc w:val="left"/>
      <w:pPr>
        <w:ind w:left="2520" w:hanging="360"/>
      </w:pPr>
    </w:lvl>
    <w:lvl w:ilvl="4" w:tplc="99BC3D48" w:tentative="1">
      <w:start w:val="1"/>
      <w:numFmt w:val="lowerLetter"/>
      <w:lvlText w:val="%5."/>
      <w:lvlJc w:val="left"/>
      <w:pPr>
        <w:ind w:left="3240" w:hanging="360"/>
      </w:pPr>
    </w:lvl>
    <w:lvl w:ilvl="5" w:tplc="5684711C" w:tentative="1">
      <w:start w:val="1"/>
      <w:numFmt w:val="lowerRoman"/>
      <w:lvlText w:val="%6."/>
      <w:lvlJc w:val="right"/>
      <w:pPr>
        <w:ind w:left="3960" w:hanging="180"/>
      </w:pPr>
    </w:lvl>
    <w:lvl w:ilvl="6" w:tplc="C05404B2" w:tentative="1">
      <w:start w:val="1"/>
      <w:numFmt w:val="decimal"/>
      <w:lvlText w:val="%7."/>
      <w:lvlJc w:val="left"/>
      <w:pPr>
        <w:ind w:left="4680" w:hanging="360"/>
      </w:pPr>
    </w:lvl>
    <w:lvl w:ilvl="7" w:tplc="6BD43766" w:tentative="1">
      <w:start w:val="1"/>
      <w:numFmt w:val="lowerLetter"/>
      <w:lvlText w:val="%8."/>
      <w:lvlJc w:val="left"/>
      <w:pPr>
        <w:ind w:left="5400" w:hanging="360"/>
      </w:pPr>
    </w:lvl>
    <w:lvl w:ilvl="8" w:tplc="C56AF6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C92953A">
      <w:start w:val="1"/>
      <w:numFmt w:val="bullet"/>
      <w:lvlText w:val=""/>
      <w:lvlJc w:val="left"/>
      <w:pPr>
        <w:ind w:left="720" w:hanging="360"/>
      </w:pPr>
      <w:rPr>
        <w:rFonts w:ascii="Symbol" w:hAnsi="Symbol" w:hint="default"/>
      </w:rPr>
    </w:lvl>
    <w:lvl w:ilvl="1" w:tplc="5F2EF3F0" w:tentative="1">
      <w:start w:val="1"/>
      <w:numFmt w:val="bullet"/>
      <w:lvlText w:val="o"/>
      <w:lvlJc w:val="left"/>
      <w:pPr>
        <w:ind w:left="1440" w:hanging="360"/>
      </w:pPr>
      <w:rPr>
        <w:rFonts w:ascii="Courier New" w:hAnsi="Courier New" w:cs="Courier New" w:hint="default"/>
      </w:rPr>
    </w:lvl>
    <w:lvl w:ilvl="2" w:tplc="DEF60D26" w:tentative="1">
      <w:start w:val="1"/>
      <w:numFmt w:val="bullet"/>
      <w:lvlText w:val=""/>
      <w:lvlJc w:val="left"/>
      <w:pPr>
        <w:ind w:left="2160" w:hanging="360"/>
      </w:pPr>
      <w:rPr>
        <w:rFonts w:ascii="Wingdings" w:hAnsi="Wingdings" w:hint="default"/>
      </w:rPr>
    </w:lvl>
    <w:lvl w:ilvl="3" w:tplc="E34A0F78" w:tentative="1">
      <w:start w:val="1"/>
      <w:numFmt w:val="bullet"/>
      <w:lvlText w:val=""/>
      <w:lvlJc w:val="left"/>
      <w:pPr>
        <w:ind w:left="2880" w:hanging="360"/>
      </w:pPr>
      <w:rPr>
        <w:rFonts w:ascii="Symbol" w:hAnsi="Symbol" w:hint="default"/>
      </w:rPr>
    </w:lvl>
    <w:lvl w:ilvl="4" w:tplc="D5384E4E" w:tentative="1">
      <w:start w:val="1"/>
      <w:numFmt w:val="bullet"/>
      <w:lvlText w:val="o"/>
      <w:lvlJc w:val="left"/>
      <w:pPr>
        <w:ind w:left="3600" w:hanging="360"/>
      </w:pPr>
      <w:rPr>
        <w:rFonts w:ascii="Courier New" w:hAnsi="Courier New" w:cs="Courier New" w:hint="default"/>
      </w:rPr>
    </w:lvl>
    <w:lvl w:ilvl="5" w:tplc="69D81E12" w:tentative="1">
      <w:start w:val="1"/>
      <w:numFmt w:val="bullet"/>
      <w:lvlText w:val=""/>
      <w:lvlJc w:val="left"/>
      <w:pPr>
        <w:ind w:left="4320" w:hanging="360"/>
      </w:pPr>
      <w:rPr>
        <w:rFonts w:ascii="Wingdings" w:hAnsi="Wingdings" w:hint="default"/>
      </w:rPr>
    </w:lvl>
    <w:lvl w:ilvl="6" w:tplc="FDFC6686" w:tentative="1">
      <w:start w:val="1"/>
      <w:numFmt w:val="bullet"/>
      <w:lvlText w:val=""/>
      <w:lvlJc w:val="left"/>
      <w:pPr>
        <w:ind w:left="5040" w:hanging="360"/>
      </w:pPr>
      <w:rPr>
        <w:rFonts w:ascii="Symbol" w:hAnsi="Symbol" w:hint="default"/>
      </w:rPr>
    </w:lvl>
    <w:lvl w:ilvl="7" w:tplc="87EE2ED4" w:tentative="1">
      <w:start w:val="1"/>
      <w:numFmt w:val="bullet"/>
      <w:lvlText w:val="o"/>
      <w:lvlJc w:val="left"/>
      <w:pPr>
        <w:ind w:left="5760" w:hanging="360"/>
      </w:pPr>
      <w:rPr>
        <w:rFonts w:ascii="Courier New" w:hAnsi="Courier New" w:cs="Courier New" w:hint="default"/>
      </w:rPr>
    </w:lvl>
    <w:lvl w:ilvl="8" w:tplc="E8300A02" w:tentative="1">
      <w:start w:val="1"/>
      <w:numFmt w:val="bullet"/>
      <w:lvlText w:val=""/>
      <w:lvlJc w:val="left"/>
      <w:pPr>
        <w:ind w:left="6480" w:hanging="360"/>
      </w:pPr>
      <w:rPr>
        <w:rFonts w:ascii="Wingdings" w:hAnsi="Wingdings" w:hint="default"/>
      </w:rPr>
    </w:lvl>
  </w:abstractNum>
  <w:num w:numId="1" w16cid:durableId="23527537">
    <w:abstractNumId w:val="1"/>
  </w:num>
  <w:num w:numId="2" w16cid:durableId="198103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A0"/>
    <w:rsid w:val="00186512"/>
    <w:rsid w:val="002A457A"/>
    <w:rsid w:val="00370F59"/>
    <w:rsid w:val="007E37A0"/>
    <w:rsid w:val="00BC62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D503"/>
  <w15:docId w15:val="{FF511396-9B7F-4F92-B9A7-A6BF3CAE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13471</Words>
  <Characters>76790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2025-11-03T03:54:00Z</dcterms:created>
  <dcterms:modified xsi:type="dcterms:W3CDTF">2025-11-03T03:57:00Z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