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0C3D" w14:textId="77777777" w:rsidR="00000000" w:rsidRDefault="00000000">
      <w:pPr>
        <w:pStyle w:val="Heading1"/>
        <w:rPr>
          <w:rFonts w:cs="Arial"/>
        </w:rPr>
      </w:pPr>
      <w:bookmarkStart w:id="0" w:name="PRMS_RIName"/>
      <w:r>
        <w:rPr>
          <w:rFonts w:cs="Arial"/>
        </w:rPr>
        <w:t>Burlington Village Limited - Burlington Village</w:t>
      </w:r>
      <w:bookmarkEnd w:id="0"/>
    </w:p>
    <w:p w14:paraId="3E365F2B" w14:textId="77777777" w:rsidR="00000000" w:rsidRDefault="00000000">
      <w:pPr>
        <w:pStyle w:val="Heading2"/>
        <w:spacing w:after="0"/>
        <w:rPr>
          <w:rFonts w:cs="Arial"/>
        </w:rPr>
      </w:pPr>
      <w:r>
        <w:rPr>
          <w:rFonts w:cs="Arial"/>
        </w:rPr>
        <w:t>Introduction</w:t>
      </w:r>
    </w:p>
    <w:p w14:paraId="46EDDAC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DEDC15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51E9B9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243D52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F554F8D" w14:textId="77777777" w:rsidR="00000000" w:rsidRDefault="00000000">
      <w:pPr>
        <w:spacing w:before="240" w:after="240"/>
        <w:rPr>
          <w:rFonts w:cs="Arial"/>
          <w:lang w:eastAsia="en-NZ"/>
        </w:rPr>
      </w:pPr>
      <w:r>
        <w:rPr>
          <w:rFonts w:cs="Arial"/>
          <w:lang w:eastAsia="en-NZ"/>
        </w:rPr>
        <w:t>The specifics of this audit included:</w:t>
      </w:r>
    </w:p>
    <w:p w14:paraId="56D99CE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652B1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Burlington Village Limited</w:t>
      </w:r>
      <w:bookmarkEnd w:id="4"/>
    </w:p>
    <w:p w14:paraId="45334E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Burlington Village</w:t>
      </w:r>
      <w:bookmarkEnd w:id="5"/>
    </w:p>
    <w:p w14:paraId="5C5663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933324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28 August </w:t>
      </w:r>
      <w:r>
        <w:rPr>
          <w:rFonts w:cs="Arial"/>
        </w:rPr>
        <w:t>2025</w:t>
      </w:r>
      <w:bookmarkEnd w:id="7"/>
      <w:r w:rsidRPr="009418D4">
        <w:rPr>
          <w:rFonts w:cs="Arial"/>
        </w:rPr>
        <w:tab/>
        <w:t xml:space="preserve">End date: </w:t>
      </w:r>
      <w:bookmarkStart w:id="8" w:name="AuditEndDate"/>
      <w:r>
        <w:rPr>
          <w:rFonts w:cs="Arial"/>
        </w:rPr>
        <w:t>29 August 2025</w:t>
      </w:r>
      <w:bookmarkEnd w:id="8"/>
    </w:p>
    <w:p w14:paraId="3C1C003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9422484" w14:textId="77777777" w:rsidR="00EE47C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197F953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E8B96AD" w14:textId="77777777" w:rsidR="00000000" w:rsidRDefault="00000000">
      <w:pPr>
        <w:pStyle w:val="Heading1"/>
        <w:rPr>
          <w:rFonts w:cs="Arial"/>
        </w:rPr>
      </w:pPr>
      <w:r>
        <w:rPr>
          <w:rFonts w:cs="Arial"/>
        </w:rPr>
        <w:lastRenderedPageBreak/>
        <w:t>Executive summary of the audit</w:t>
      </w:r>
    </w:p>
    <w:p w14:paraId="5C2039D2" w14:textId="77777777" w:rsidR="00000000" w:rsidRDefault="00000000">
      <w:pPr>
        <w:pStyle w:val="Heading2"/>
        <w:rPr>
          <w:rFonts w:cs="Arial"/>
        </w:rPr>
      </w:pPr>
      <w:r>
        <w:rPr>
          <w:rFonts w:cs="Arial"/>
        </w:rPr>
        <w:t>Introduction</w:t>
      </w:r>
    </w:p>
    <w:p w14:paraId="5B57185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4E70E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4EA5A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F3535E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760E68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B77E71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1EA0DD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22B85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E05DDE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E47CE" w14:paraId="373F270E" w14:textId="77777777">
        <w:trPr>
          <w:cantSplit/>
          <w:tblHeader/>
        </w:trPr>
        <w:tc>
          <w:tcPr>
            <w:tcW w:w="1260" w:type="dxa"/>
            <w:tcBorders>
              <w:bottom w:val="single" w:sz="4" w:space="0" w:color="000000"/>
            </w:tcBorders>
            <w:vAlign w:val="center"/>
          </w:tcPr>
          <w:p w14:paraId="321DF4A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23F846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9C86108" w14:textId="77777777" w:rsidR="00000000" w:rsidRDefault="00000000">
            <w:pPr>
              <w:spacing w:before="60" w:after="60"/>
              <w:rPr>
                <w:rFonts w:eastAsia="Calibri"/>
                <w:b/>
                <w:szCs w:val="24"/>
              </w:rPr>
            </w:pPr>
            <w:r>
              <w:rPr>
                <w:rFonts w:eastAsia="Calibri"/>
                <w:b/>
                <w:szCs w:val="24"/>
              </w:rPr>
              <w:t>Definition</w:t>
            </w:r>
          </w:p>
        </w:tc>
      </w:tr>
      <w:tr w:rsidR="00EE47CE" w14:paraId="3425D8CA" w14:textId="77777777">
        <w:trPr>
          <w:cantSplit/>
          <w:trHeight w:val="964"/>
        </w:trPr>
        <w:tc>
          <w:tcPr>
            <w:tcW w:w="1260" w:type="dxa"/>
            <w:tcBorders>
              <w:bottom w:val="single" w:sz="4" w:space="0" w:color="000000"/>
            </w:tcBorders>
            <w:shd w:val="clear" w:color="0066FF" w:fill="0000FF"/>
            <w:vAlign w:val="center"/>
          </w:tcPr>
          <w:p w14:paraId="0CCA11F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F1EF37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16ED67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E47CE" w14:paraId="4774B127" w14:textId="77777777">
        <w:trPr>
          <w:cantSplit/>
          <w:trHeight w:val="964"/>
        </w:trPr>
        <w:tc>
          <w:tcPr>
            <w:tcW w:w="1260" w:type="dxa"/>
            <w:shd w:val="clear" w:color="33CC33" w:fill="00FF00"/>
            <w:vAlign w:val="center"/>
          </w:tcPr>
          <w:p w14:paraId="2AFA7D26" w14:textId="77777777" w:rsidR="00000000" w:rsidRDefault="00000000">
            <w:pPr>
              <w:spacing w:before="60" w:after="60"/>
              <w:rPr>
                <w:rFonts w:eastAsia="Calibri"/>
                <w:szCs w:val="24"/>
              </w:rPr>
            </w:pPr>
          </w:p>
        </w:tc>
        <w:tc>
          <w:tcPr>
            <w:tcW w:w="7095" w:type="dxa"/>
            <w:shd w:val="clear" w:color="auto" w:fill="auto"/>
            <w:vAlign w:val="center"/>
          </w:tcPr>
          <w:p w14:paraId="669FE46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F096BA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E47CE" w14:paraId="695A1AD7" w14:textId="77777777">
        <w:trPr>
          <w:cantSplit/>
          <w:trHeight w:val="964"/>
        </w:trPr>
        <w:tc>
          <w:tcPr>
            <w:tcW w:w="1260" w:type="dxa"/>
            <w:tcBorders>
              <w:bottom w:val="single" w:sz="4" w:space="0" w:color="000000"/>
            </w:tcBorders>
            <w:shd w:val="clear" w:color="auto" w:fill="FFFF00"/>
            <w:vAlign w:val="center"/>
          </w:tcPr>
          <w:p w14:paraId="62BCEED2" w14:textId="77777777" w:rsidR="00000000" w:rsidRDefault="00000000">
            <w:pPr>
              <w:spacing w:before="60" w:after="60"/>
              <w:rPr>
                <w:rFonts w:eastAsia="Calibri"/>
                <w:szCs w:val="24"/>
              </w:rPr>
            </w:pPr>
          </w:p>
        </w:tc>
        <w:tc>
          <w:tcPr>
            <w:tcW w:w="7095" w:type="dxa"/>
            <w:shd w:val="clear" w:color="auto" w:fill="auto"/>
            <w:vAlign w:val="center"/>
          </w:tcPr>
          <w:p w14:paraId="0522DD5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91E71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E47CE" w14:paraId="43E8CF2E" w14:textId="77777777">
        <w:trPr>
          <w:cantSplit/>
          <w:trHeight w:val="964"/>
        </w:trPr>
        <w:tc>
          <w:tcPr>
            <w:tcW w:w="1260" w:type="dxa"/>
            <w:tcBorders>
              <w:bottom w:val="single" w:sz="4" w:space="0" w:color="000000"/>
            </w:tcBorders>
            <w:shd w:val="clear" w:color="auto" w:fill="FFC800"/>
            <w:vAlign w:val="center"/>
          </w:tcPr>
          <w:p w14:paraId="40C495A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0AD0E1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A016E1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E47CE" w14:paraId="3C3A181D" w14:textId="77777777">
        <w:trPr>
          <w:cantSplit/>
          <w:trHeight w:val="964"/>
        </w:trPr>
        <w:tc>
          <w:tcPr>
            <w:tcW w:w="1260" w:type="dxa"/>
            <w:shd w:val="clear" w:color="auto" w:fill="FF0000"/>
            <w:vAlign w:val="center"/>
          </w:tcPr>
          <w:p w14:paraId="5560F05A" w14:textId="77777777" w:rsidR="00000000" w:rsidRDefault="00000000">
            <w:pPr>
              <w:spacing w:before="60" w:after="60"/>
              <w:rPr>
                <w:rFonts w:eastAsia="Calibri"/>
                <w:szCs w:val="24"/>
              </w:rPr>
            </w:pPr>
          </w:p>
        </w:tc>
        <w:tc>
          <w:tcPr>
            <w:tcW w:w="7095" w:type="dxa"/>
            <w:shd w:val="clear" w:color="auto" w:fill="auto"/>
            <w:vAlign w:val="center"/>
          </w:tcPr>
          <w:p w14:paraId="02F181F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613AF5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BBBDEE7" w14:textId="77777777" w:rsidR="00000000" w:rsidRDefault="00000000">
      <w:pPr>
        <w:pStyle w:val="Heading2"/>
        <w:spacing w:after="0"/>
        <w:rPr>
          <w:rFonts w:cs="Arial"/>
        </w:rPr>
      </w:pPr>
      <w:r>
        <w:rPr>
          <w:rFonts w:cs="Arial"/>
        </w:rPr>
        <w:t>General overview of the audit</w:t>
      </w:r>
    </w:p>
    <w:p w14:paraId="11630E53" w14:textId="77777777" w:rsidR="00000000" w:rsidRDefault="00000000">
      <w:pPr>
        <w:spacing w:before="240" w:line="276" w:lineRule="auto"/>
        <w:rPr>
          <w:rFonts w:eastAsia="Calibri"/>
        </w:rPr>
      </w:pPr>
      <w:bookmarkStart w:id="13" w:name="GeneralOverview"/>
      <w:r w:rsidRPr="00A4268A">
        <w:rPr>
          <w:rFonts w:eastAsia="Calibri"/>
        </w:rPr>
        <w:t xml:space="preserve">Burlington Village operates under Qestral Corporation Limited as a subsidiary company and provides rest home, hospital, and dementia level of care for up to 84 residents. On the day of audit there were 77 residents. </w:t>
      </w:r>
    </w:p>
    <w:p w14:paraId="202947CB" w14:textId="77777777" w:rsidR="00EE47CE" w:rsidRPr="00A4268A" w:rsidRDefault="00000000">
      <w:pPr>
        <w:spacing w:before="240" w:line="276" w:lineRule="auto"/>
        <w:rPr>
          <w:rFonts w:eastAsia="Calibri"/>
        </w:rPr>
      </w:pPr>
      <w:r w:rsidRPr="00A4268A">
        <w:rPr>
          <w:rFonts w:eastAsia="Calibri"/>
        </w:rPr>
        <w:t xml:space="preserve">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family/whānau; and interviews with staff, management, and the nurse practitioner. </w:t>
      </w:r>
    </w:p>
    <w:p w14:paraId="6AB3EEB7" w14:textId="77777777" w:rsidR="00EE47CE" w:rsidRPr="00A4268A" w:rsidRDefault="00000000">
      <w:pPr>
        <w:spacing w:before="240" w:line="276" w:lineRule="auto"/>
        <w:rPr>
          <w:rFonts w:eastAsia="Calibri"/>
        </w:rPr>
      </w:pPr>
      <w:r w:rsidRPr="00A4268A">
        <w:rPr>
          <w:rFonts w:eastAsia="Calibri"/>
        </w:rPr>
        <w:t xml:space="preserve">The facility manager is appropriately qualified and experienced and is supported by a clinical nurse manager and unit coordinator. There are quality systems and processes implemented. </w:t>
      </w:r>
    </w:p>
    <w:p w14:paraId="13D9D69F" w14:textId="77777777" w:rsidR="00EE47CE" w:rsidRPr="00A4268A" w:rsidRDefault="00000000">
      <w:pPr>
        <w:spacing w:before="240" w:line="276" w:lineRule="auto"/>
        <w:rPr>
          <w:rFonts w:eastAsia="Calibri"/>
        </w:rPr>
      </w:pPr>
      <w:r w:rsidRPr="00A4268A">
        <w:rPr>
          <w:rFonts w:eastAsia="Calibri"/>
        </w:rPr>
        <w:t>The team are well diversified. A stable team of skilled registered nurses, experienced healthcare assistants and non-clinical staff support the management team. Feedback from residents and family/ whānau were positive about the care and the services provided. An induction and in-service training programme are in place to provide staff with appropriate knowledge and skills to deliver care. A comprehensive ongoing education plan is implemented.</w:t>
      </w:r>
    </w:p>
    <w:p w14:paraId="270B5A12" w14:textId="77777777" w:rsidR="00EE47CE" w:rsidRPr="00A4268A" w:rsidRDefault="00000000">
      <w:pPr>
        <w:spacing w:before="240" w:line="276" w:lineRule="auto"/>
        <w:rPr>
          <w:rFonts w:eastAsia="Calibri"/>
        </w:rPr>
      </w:pPr>
      <w:r w:rsidRPr="00A4268A">
        <w:rPr>
          <w:rFonts w:eastAsia="Calibri"/>
        </w:rPr>
        <w:t>The previous two shortfalls in relation to monitoring of care and self-administration of medication have been addressed. However, this surveillance audit identified a further shortfall in medication management.</w:t>
      </w:r>
    </w:p>
    <w:bookmarkEnd w:id="13"/>
    <w:p w14:paraId="798B22E0" w14:textId="77777777" w:rsidR="00EE47CE" w:rsidRPr="00A4268A" w:rsidRDefault="00EE47CE">
      <w:pPr>
        <w:spacing w:before="240" w:line="276" w:lineRule="auto"/>
        <w:rPr>
          <w:rFonts w:eastAsia="Calibri"/>
        </w:rPr>
      </w:pPr>
    </w:p>
    <w:p w14:paraId="69C5F05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7CE" w14:paraId="75614E66" w14:textId="77777777" w:rsidTr="00A4268A">
        <w:trPr>
          <w:cantSplit/>
        </w:trPr>
        <w:tc>
          <w:tcPr>
            <w:tcW w:w="10206" w:type="dxa"/>
            <w:vAlign w:val="center"/>
          </w:tcPr>
          <w:p w14:paraId="69A3563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A3020F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36CEC5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4B4565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109967E" w14:textId="77777777" w:rsidR="00000000" w:rsidRDefault="00000000">
      <w:pPr>
        <w:spacing w:before="240" w:line="276" w:lineRule="auto"/>
        <w:rPr>
          <w:rFonts w:eastAsia="Calibri"/>
        </w:rPr>
      </w:pPr>
      <w:bookmarkStart w:id="16" w:name="ConsumerRights"/>
      <w:r w:rsidRPr="00A4268A">
        <w:rPr>
          <w:rFonts w:eastAsia="Calibri"/>
        </w:rPr>
        <w:t>Burlington Village provides an environment that supports resident rights and safe care. Details relating to the Health and Disability Commissioner’s (HDC) Code of Health and Disability Services Consumers Rights (the Code) is included in the information packs given to new or potential residents and family/whānau. Staff demonstrate an understanding of resident’s rights and obligations. A Māori health plan is documented for the service.</w:t>
      </w:r>
    </w:p>
    <w:p w14:paraId="57DF27EE" w14:textId="77777777" w:rsidR="00EE47CE" w:rsidRPr="00A4268A" w:rsidRDefault="00000000">
      <w:pPr>
        <w:spacing w:before="240" w:line="276" w:lineRule="auto"/>
        <w:rPr>
          <w:rFonts w:eastAsia="Calibri"/>
        </w:rPr>
      </w:pPr>
      <w:r w:rsidRPr="00A4268A">
        <w:rPr>
          <w:rFonts w:eastAsia="Calibri"/>
        </w:rPr>
        <w:t xml:space="preserve">The service supports culturally safe care delivery to all residents. Residents receive services in a manner that considers their dignity, privacy, and independence. The rights of the resident and/or their family/whānau to make a complaint is understood, respected, and upheld by the service. </w:t>
      </w:r>
    </w:p>
    <w:p w14:paraId="270BAC3B" w14:textId="77777777" w:rsidR="00EE47CE" w:rsidRPr="00A4268A" w:rsidRDefault="00000000">
      <w:pPr>
        <w:spacing w:before="240" w:line="276" w:lineRule="auto"/>
        <w:rPr>
          <w:rFonts w:eastAsia="Calibri"/>
        </w:rPr>
      </w:pPr>
      <w:r w:rsidRPr="00A4268A">
        <w:rPr>
          <w:rFonts w:eastAsia="Calibri"/>
        </w:rPr>
        <w:t>Complaints processes are implemented, and complaints and concerns are actively managed and well-documented. A complaints management policy includes information on access to advocacy and complaint support systems.</w:t>
      </w:r>
    </w:p>
    <w:bookmarkEnd w:id="16"/>
    <w:p w14:paraId="05DB13F3" w14:textId="77777777" w:rsidR="00EE47CE" w:rsidRPr="00A4268A" w:rsidRDefault="00EE47CE">
      <w:pPr>
        <w:spacing w:before="240" w:line="276" w:lineRule="auto"/>
        <w:rPr>
          <w:rFonts w:eastAsia="Calibri"/>
        </w:rPr>
      </w:pPr>
    </w:p>
    <w:p w14:paraId="409913D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7CE" w14:paraId="3313F082" w14:textId="77777777" w:rsidTr="00A4268A">
        <w:trPr>
          <w:cantSplit/>
        </w:trPr>
        <w:tc>
          <w:tcPr>
            <w:tcW w:w="10206" w:type="dxa"/>
            <w:vAlign w:val="center"/>
          </w:tcPr>
          <w:p w14:paraId="4B99F7C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CC3E96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2DF1420"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EFE7FBF"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organisational strategic plan informs the site-specific operation milestones and quality objectives, which are reviewed on a regular basis. The service has an effective quality </w:t>
      </w:r>
      <w:r w:rsidRPr="00A4268A">
        <w:rPr>
          <w:rFonts w:eastAsia="Calibri"/>
        </w:rPr>
        <w:lastRenderedPageBreak/>
        <w:t xml:space="preserve">and risk management systems in place that take a risk-based approach, and these systems meet the needs of residents and their staff. Quality and risk performance is reported across various meetings. Burlington Village collates clinical indicator data and benchmarking occurs within the organisation and at a national level. </w:t>
      </w:r>
    </w:p>
    <w:p w14:paraId="24779808" w14:textId="77777777" w:rsidR="00EE47CE"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A comprehensive orientation programme is implemented. Staff have performance appraisals completed as scheduled.</w:t>
      </w:r>
    </w:p>
    <w:bookmarkEnd w:id="19"/>
    <w:p w14:paraId="1B1035FD" w14:textId="77777777" w:rsidR="00EE47CE" w:rsidRPr="00A4268A" w:rsidRDefault="00EE47CE">
      <w:pPr>
        <w:spacing w:before="240" w:line="276" w:lineRule="auto"/>
        <w:rPr>
          <w:rFonts w:eastAsia="Calibri"/>
        </w:rPr>
      </w:pPr>
    </w:p>
    <w:p w14:paraId="57F3DE8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7CE" w14:paraId="60086142" w14:textId="77777777" w:rsidTr="00A4268A">
        <w:trPr>
          <w:cantSplit/>
        </w:trPr>
        <w:tc>
          <w:tcPr>
            <w:tcW w:w="10206" w:type="dxa"/>
            <w:vAlign w:val="center"/>
          </w:tcPr>
          <w:p w14:paraId="41AD0D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6E7136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9DF8BF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C88107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nursing team is responsible for the assessment, development, and evaluation of care plans. Care plans were individualised and based on the residents’ assessed needs. Interventions were appropriate and evaluated promptly. </w:t>
      </w:r>
    </w:p>
    <w:p w14:paraId="4AECB039" w14:textId="77777777" w:rsidR="00EE47CE"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nurse practitioner is responsible for all medication reviews. Staff involved in medication administration are assessed as competent to do so.</w:t>
      </w:r>
    </w:p>
    <w:p w14:paraId="7531525F" w14:textId="77777777" w:rsidR="00EE47CE" w:rsidRPr="00A4268A" w:rsidRDefault="00000000" w:rsidP="00621629">
      <w:pPr>
        <w:spacing w:before="240" w:line="276" w:lineRule="auto"/>
        <w:rPr>
          <w:rFonts w:eastAsia="Calibri"/>
        </w:rPr>
      </w:pPr>
      <w:r w:rsidRPr="00A4268A">
        <w:rPr>
          <w:rFonts w:eastAsia="Calibri"/>
        </w:rPr>
        <w:t xml:space="preserve">Residents’ nutritional and cultural requirements are met. A current food control plan is in place. </w:t>
      </w:r>
    </w:p>
    <w:p w14:paraId="0031F449" w14:textId="77777777" w:rsidR="00EE47CE"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17754C0B" w14:textId="77777777" w:rsidR="00EE47CE" w:rsidRPr="00A4268A" w:rsidRDefault="00EE47CE" w:rsidP="00621629">
      <w:pPr>
        <w:spacing w:before="240" w:line="276" w:lineRule="auto"/>
        <w:rPr>
          <w:rFonts w:eastAsia="Calibri"/>
        </w:rPr>
      </w:pPr>
    </w:p>
    <w:p w14:paraId="09F30C5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7CE" w14:paraId="021CC7F4" w14:textId="77777777" w:rsidTr="00A4268A">
        <w:trPr>
          <w:cantSplit/>
        </w:trPr>
        <w:tc>
          <w:tcPr>
            <w:tcW w:w="10206" w:type="dxa"/>
            <w:vAlign w:val="center"/>
          </w:tcPr>
          <w:p w14:paraId="4C2CBB8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B23F5B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D96ED5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52F93D7" w14:textId="77777777" w:rsidR="00000000" w:rsidRDefault="00000000">
      <w:pPr>
        <w:spacing w:before="240" w:line="276" w:lineRule="auto"/>
        <w:rPr>
          <w:rFonts w:eastAsia="Calibri"/>
        </w:rPr>
      </w:pPr>
      <w:bookmarkStart w:id="25" w:name="SafeAndAppropriateEnvironment"/>
      <w:r w:rsidRPr="00A4268A">
        <w:rPr>
          <w:rFonts w:eastAsia="Calibri"/>
        </w:rPr>
        <w:t>The building has a current warrant of fitness. A maintenance plan is adhered to, and all equipment is tagged, tested, and calibrated as scheduled. There have been no changes made to the facility since the previous audit.</w:t>
      </w:r>
    </w:p>
    <w:bookmarkEnd w:id="25"/>
    <w:p w14:paraId="2D475B6D" w14:textId="77777777" w:rsidR="00EE47CE" w:rsidRPr="00A4268A" w:rsidRDefault="00EE47CE">
      <w:pPr>
        <w:spacing w:before="240" w:line="276" w:lineRule="auto"/>
        <w:rPr>
          <w:rFonts w:eastAsia="Calibri"/>
        </w:rPr>
      </w:pPr>
    </w:p>
    <w:p w14:paraId="258B378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7CE" w14:paraId="7153F22F" w14:textId="77777777" w:rsidTr="00A4268A">
        <w:trPr>
          <w:cantSplit/>
        </w:trPr>
        <w:tc>
          <w:tcPr>
            <w:tcW w:w="10206" w:type="dxa"/>
            <w:vAlign w:val="center"/>
          </w:tcPr>
          <w:p w14:paraId="68DEAC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18334D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190212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C7EF74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supported by the governance body and is reviewed annually. Education is routinely provided in relation to infection control. </w:t>
      </w:r>
    </w:p>
    <w:p w14:paraId="6DE2131F" w14:textId="77777777" w:rsidR="00EE47CE" w:rsidRPr="00A4268A" w:rsidRDefault="00000000">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A monthly surveillance infection control report is completed with analysis and benchmarking. There has been one outbreak recorded and reported on since the last audit. </w:t>
      </w:r>
    </w:p>
    <w:bookmarkEnd w:id="28"/>
    <w:p w14:paraId="1504776A" w14:textId="77777777" w:rsidR="00EE47CE" w:rsidRPr="00A4268A" w:rsidRDefault="00EE47CE">
      <w:pPr>
        <w:spacing w:before="240" w:line="276" w:lineRule="auto"/>
        <w:rPr>
          <w:rFonts w:eastAsia="Calibri"/>
        </w:rPr>
      </w:pPr>
    </w:p>
    <w:p w14:paraId="6765C76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E47CE" w14:paraId="6E9DA133" w14:textId="77777777" w:rsidTr="00A4268A">
        <w:trPr>
          <w:cantSplit/>
        </w:trPr>
        <w:tc>
          <w:tcPr>
            <w:tcW w:w="10206" w:type="dxa"/>
            <w:vAlign w:val="center"/>
          </w:tcPr>
          <w:p w14:paraId="469F35C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DEBCB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FB169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03E0A47" w14:textId="77777777" w:rsidR="00000000" w:rsidRDefault="00000000">
      <w:pPr>
        <w:spacing w:before="240" w:line="276" w:lineRule="auto"/>
        <w:rPr>
          <w:rFonts w:eastAsia="Calibri"/>
        </w:rPr>
      </w:pPr>
      <w:bookmarkStart w:id="31" w:name="InfectionPreventionAndControl"/>
      <w:r w:rsidRPr="00A4268A">
        <w:rPr>
          <w:rFonts w:eastAsia="Calibri"/>
        </w:rPr>
        <w:t>The service provides a restraint-free environment, this is supported by the governing body and policies and procedures. There were no residents requiring restraint at the time of audit. Staff demonstrated a sound knowledge and understanding of providing the least restrictive practice, de-escalation techniques, and alternative interventions.</w:t>
      </w:r>
    </w:p>
    <w:bookmarkEnd w:id="31"/>
    <w:p w14:paraId="571D1D3C" w14:textId="77777777" w:rsidR="00EE47CE" w:rsidRPr="00A4268A" w:rsidRDefault="00EE47CE">
      <w:pPr>
        <w:spacing w:before="240" w:line="276" w:lineRule="auto"/>
        <w:rPr>
          <w:rFonts w:eastAsia="Calibri"/>
        </w:rPr>
      </w:pPr>
    </w:p>
    <w:p w14:paraId="12F75FAA" w14:textId="77777777" w:rsidR="00000000" w:rsidRDefault="00000000" w:rsidP="000E6E02">
      <w:pPr>
        <w:pStyle w:val="Heading2"/>
        <w:spacing w:before="0"/>
        <w:rPr>
          <w:rFonts w:cs="Arial"/>
        </w:rPr>
      </w:pPr>
      <w:r>
        <w:rPr>
          <w:rFonts w:cs="Arial"/>
        </w:rPr>
        <w:t>Summary of attainment</w:t>
      </w:r>
    </w:p>
    <w:p w14:paraId="371DC092"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E47CE" w14:paraId="0BCF0696" w14:textId="77777777">
        <w:tc>
          <w:tcPr>
            <w:tcW w:w="1384" w:type="dxa"/>
            <w:vAlign w:val="center"/>
          </w:tcPr>
          <w:p w14:paraId="0B71634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FA6427" w14:textId="77777777" w:rsidR="00000000" w:rsidRDefault="00000000">
            <w:pPr>
              <w:keepNext/>
              <w:spacing w:before="60" w:after="60"/>
              <w:jc w:val="center"/>
              <w:rPr>
                <w:rFonts w:cs="Arial"/>
                <w:b/>
                <w:sz w:val="20"/>
                <w:szCs w:val="20"/>
              </w:rPr>
            </w:pPr>
            <w:r>
              <w:rPr>
                <w:rFonts w:cs="Arial"/>
                <w:b/>
                <w:sz w:val="20"/>
                <w:szCs w:val="20"/>
              </w:rPr>
              <w:t>Continuous Improvement</w:t>
            </w:r>
          </w:p>
          <w:p w14:paraId="7BE0D8F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BF0BA1F" w14:textId="77777777" w:rsidR="00000000" w:rsidRDefault="00000000">
            <w:pPr>
              <w:keepNext/>
              <w:spacing w:before="60" w:after="60"/>
              <w:jc w:val="center"/>
              <w:rPr>
                <w:rFonts w:cs="Arial"/>
                <w:b/>
                <w:sz w:val="20"/>
                <w:szCs w:val="20"/>
              </w:rPr>
            </w:pPr>
            <w:r>
              <w:rPr>
                <w:rFonts w:cs="Arial"/>
                <w:b/>
                <w:sz w:val="20"/>
                <w:szCs w:val="20"/>
              </w:rPr>
              <w:t>Fully Attained</w:t>
            </w:r>
          </w:p>
          <w:p w14:paraId="5D21263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BC47FB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C64B15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DF3A42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6EE492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E7A6D0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9B6C24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46D70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FB345B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B85423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24AD4B6" w14:textId="77777777" w:rsidR="00000000" w:rsidRDefault="00000000">
            <w:pPr>
              <w:keepNext/>
              <w:spacing w:before="60" w:after="60"/>
              <w:jc w:val="center"/>
              <w:rPr>
                <w:rFonts w:cs="Arial"/>
                <w:b/>
                <w:sz w:val="20"/>
                <w:szCs w:val="20"/>
              </w:rPr>
            </w:pPr>
            <w:r>
              <w:rPr>
                <w:rFonts w:cs="Arial"/>
                <w:b/>
                <w:sz w:val="20"/>
                <w:szCs w:val="20"/>
              </w:rPr>
              <w:t>(PA Critical)</w:t>
            </w:r>
          </w:p>
        </w:tc>
      </w:tr>
      <w:tr w:rsidR="00EE47CE" w14:paraId="4CEC2149" w14:textId="77777777">
        <w:tc>
          <w:tcPr>
            <w:tcW w:w="1384" w:type="dxa"/>
            <w:vAlign w:val="center"/>
          </w:tcPr>
          <w:p w14:paraId="203C726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9FC9B1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AD6A43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1766FF3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559B90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E1BDF1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E49586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ED06CD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E47CE" w14:paraId="6011B6CB" w14:textId="77777777">
        <w:tc>
          <w:tcPr>
            <w:tcW w:w="1384" w:type="dxa"/>
            <w:vAlign w:val="center"/>
          </w:tcPr>
          <w:p w14:paraId="19C5DBBE"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68BC2E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AC1825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7CB3378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266E92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10C2BC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AF94A1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89D27E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29E61B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E47CE" w14:paraId="59FD5EFA" w14:textId="77777777">
        <w:tc>
          <w:tcPr>
            <w:tcW w:w="1384" w:type="dxa"/>
            <w:vAlign w:val="center"/>
          </w:tcPr>
          <w:p w14:paraId="3117666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C0246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B40887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5BFEDEF" w14:textId="77777777" w:rsidR="00000000" w:rsidRDefault="00000000">
            <w:pPr>
              <w:keepNext/>
              <w:spacing w:before="60" w:after="60"/>
              <w:jc w:val="center"/>
              <w:rPr>
                <w:rFonts w:cs="Arial"/>
                <w:b/>
                <w:sz w:val="20"/>
                <w:szCs w:val="20"/>
              </w:rPr>
            </w:pPr>
            <w:r>
              <w:rPr>
                <w:rFonts w:cs="Arial"/>
                <w:b/>
                <w:sz w:val="20"/>
                <w:szCs w:val="20"/>
              </w:rPr>
              <w:t>Unattained Low Risk</w:t>
            </w:r>
          </w:p>
          <w:p w14:paraId="6F17C63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E1BDE07" w14:textId="77777777" w:rsidR="00000000" w:rsidRDefault="00000000">
            <w:pPr>
              <w:keepNext/>
              <w:spacing w:before="60" w:after="60"/>
              <w:jc w:val="center"/>
              <w:rPr>
                <w:rFonts w:cs="Arial"/>
                <w:b/>
                <w:sz w:val="20"/>
                <w:szCs w:val="20"/>
              </w:rPr>
            </w:pPr>
            <w:r>
              <w:rPr>
                <w:rFonts w:cs="Arial"/>
                <w:b/>
                <w:sz w:val="20"/>
                <w:szCs w:val="20"/>
              </w:rPr>
              <w:t>Unattained Moderate Risk</w:t>
            </w:r>
          </w:p>
          <w:p w14:paraId="0E21BFA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FC184E4" w14:textId="77777777" w:rsidR="00000000" w:rsidRDefault="00000000">
            <w:pPr>
              <w:keepNext/>
              <w:spacing w:before="60" w:after="60"/>
              <w:jc w:val="center"/>
              <w:rPr>
                <w:rFonts w:cs="Arial"/>
                <w:b/>
                <w:sz w:val="20"/>
                <w:szCs w:val="20"/>
              </w:rPr>
            </w:pPr>
            <w:r>
              <w:rPr>
                <w:rFonts w:cs="Arial"/>
                <w:b/>
                <w:sz w:val="20"/>
                <w:szCs w:val="20"/>
              </w:rPr>
              <w:t>Unattained High Risk</w:t>
            </w:r>
          </w:p>
          <w:p w14:paraId="7E13ECE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D743E18" w14:textId="77777777" w:rsidR="00000000" w:rsidRDefault="00000000">
            <w:pPr>
              <w:keepNext/>
              <w:spacing w:before="60" w:after="60"/>
              <w:jc w:val="center"/>
              <w:rPr>
                <w:rFonts w:cs="Arial"/>
                <w:b/>
                <w:sz w:val="20"/>
                <w:szCs w:val="20"/>
              </w:rPr>
            </w:pPr>
            <w:r>
              <w:rPr>
                <w:rFonts w:cs="Arial"/>
                <w:b/>
                <w:sz w:val="20"/>
                <w:szCs w:val="20"/>
              </w:rPr>
              <w:t>Unattained Critical Risk</w:t>
            </w:r>
          </w:p>
          <w:p w14:paraId="4F7F1960" w14:textId="77777777" w:rsidR="00000000" w:rsidRDefault="00000000">
            <w:pPr>
              <w:keepNext/>
              <w:spacing w:before="60" w:after="60"/>
              <w:jc w:val="center"/>
              <w:rPr>
                <w:rFonts w:cs="Arial"/>
                <w:b/>
                <w:sz w:val="20"/>
                <w:szCs w:val="20"/>
              </w:rPr>
            </w:pPr>
            <w:r>
              <w:rPr>
                <w:rFonts w:cs="Arial"/>
                <w:b/>
                <w:sz w:val="20"/>
                <w:szCs w:val="20"/>
              </w:rPr>
              <w:t>(UA Critical)</w:t>
            </w:r>
          </w:p>
        </w:tc>
      </w:tr>
      <w:tr w:rsidR="00EE47CE" w14:paraId="7845E9CE" w14:textId="77777777">
        <w:tc>
          <w:tcPr>
            <w:tcW w:w="1384" w:type="dxa"/>
            <w:vAlign w:val="center"/>
          </w:tcPr>
          <w:p w14:paraId="6831744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46073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58F401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3998E6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4F941D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9608E7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E47CE" w14:paraId="316FA98B" w14:textId="77777777">
        <w:tc>
          <w:tcPr>
            <w:tcW w:w="1384" w:type="dxa"/>
            <w:vAlign w:val="center"/>
          </w:tcPr>
          <w:p w14:paraId="2D2772B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D69432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A430DF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97C40F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ED4CA9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46E2AE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3C80EF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CF3E3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3683BB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0C8A08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EE47CE" w14:paraId="76C41FFE" w14:textId="77777777">
        <w:tc>
          <w:tcPr>
            <w:tcW w:w="0" w:type="auto"/>
          </w:tcPr>
          <w:p w14:paraId="7BC2E68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11DB0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0D42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E47CE" w14:paraId="77D9516C" w14:textId="77777777">
        <w:tc>
          <w:tcPr>
            <w:tcW w:w="0" w:type="auto"/>
          </w:tcPr>
          <w:p w14:paraId="5D0C4D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BF9CBE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9114AB7" w14:textId="77777777" w:rsidR="00000000" w:rsidRPr="00BE00C7" w:rsidRDefault="00000000" w:rsidP="00BE00C7">
            <w:pPr>
              <w:pStyle w:val="OutcomeDescription"/>
              <w:spacing w:before="120" w:after="120"/>
              <w:rPr>
                <w:rFonts w:cs="Arial"/>
                <w:lang w:eastAsia="en-NZ"/>
              </w:rPr>
            </w:pPr>
          </w:p>
        </w:tc>
        <w:tc>
          <w:tcPr>
            <w:tcW w:w="0" w:type="auto"/>
          </w:tcPr>
          <w:p w14:paraId="276C45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C03094" w14:textId="77777777" w:rsidR="00000000" w:rsidRPr="00BE00C7" w:rsidRDefault="00000000" w:rsidP="00BE00C7">
            <w:pPr>
              <w:pStyle w:val="OutcomeDescription"/>
              <w:spacing w:before="120" w:after="120"/>
              <w:rPr>
                <w:rFonts w:cs="Arial"/>
                <w:lang w:eastAsia="en-NZ"/>
              </w:rPr>
            </w:pPr>
            <w:r w:rsidRPr="00BE00C7">
              <w:rPr>
                <w:rFonts w:cs="Arial"/>
                <w:lang w:eastAsia="en-NZ"/>
              </w:rPr>
              <w:t>Burlington Village has a Māori health policy, a Māori health plan, and a Māori engagement framework, which collectively outlines how the facility responds to the cultural needs of Māori residents, and how it fulfils its obligations and responsibilities under Te Tiriti o Waitangi.</w:t>
            </w:r>
          </w:p>
          <w:p w14:paraId="0B1498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no residents who identified as Māori. A review of the cultural aspect of the care plan showed that care is provided equitably. For Māori (when admitted), mana motuhake is recognised through goal settings. </w:t>
            </w:r>
          </w:p>
          <w:p w14:paraId="3019EEFC" w14:textId="77777777" w:rsidR="00000000" w:rsidRPr="00BE00C7" w:rsidRDefault="00000000" w:rsidP="00BE00C7">
            <w:pPr>
              <w:pStyle w:val="OutcomeDescription"/>
              <w:spacing w:before="120" w:after="120"/>
              <w:rPr>
                <w:rFonts w:cs="Arial"/>
                <w:lang w:eastAsia="en-NZ"/>
              </w:rPr>
            </w:pPr>
            <w:r w:rsidRPr="00BE00C7">
              <w:rPr>
                <w:rFonts w:cs="Arial"/>
                <w:lang w:eastAsia="en-NZ"/>
              </w:rPr>
              <w:t>Thirteen staff (six registered nurses [RNs], including one unit coordinator, six healthcare assistants [HCAs], maintenance person) and three managers (facility manager, the clinical nurse manager [CNM] and resident services manager) confirmed that the staff have completed cultural safety training and are proficient in discussing principles of Treaty of Waitangi and applications within their roles.</w:t>
            </w:r>
          </w:p>
          <w:p w14:paraId="6DF1FF3A" w14:textId="77777777" w:rsidR="00000000" w:rsidRPr="00BE00C7" w:rsidRDefault="00000000" w:rsidP="00BE00C7">
            <w:pPr>
              <w:pStyle w:val="OutcomeDescription"/>
              <w:spacing w:before="120" w:after="120"/>
              <w:rPr>
                <w:rFonts w:cs="Arial"/>
                <w:lang w:eastAsia="en-NZ"/>
              </w:rPr>
            </w:pPr>
          </w:p>
        </w:tc>
      </w:tr>
      <w:tr w:rsidR="00EE47CE" w14:paraId="37ED0922" w14:textId="77777777">
        <w:tc>
          <w:tcPr>
            <w:tcW w:w="0" w:type="auto"/>
          </w:tcPr>
          <w:p w14:paraId="671598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2788D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5E9F307" w14:textId="77777777" w:rsidR="00000000" w:rsidRPr="00BE00C7" w:rsidRDefault="00000000" w:rsidP="00BE00C7">
            <w:pPr>
              <w:pStyle w:val="OutcomeDescription"/>
              <w:spacing w:before="120" w:after="120"/>
              <w:rPr>
                <w:rFonts w:cs="Arial"/>
                <w:lang w:eastAsia="en-NZ"/>
              </w:rPr>
            </w:pPr>
          </w:p>
        </w:tc>
        <w:tc>
          <w:tcPr>
            <w:tcW w:w="0" w:type="auto"/>
          </w:tcPr>
          <w:p w14:paraId="1B1D07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C59A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Pacific people’s policy, which includes the Pacific health plan. These documents guide staff on how Pacific people who engage with the service are supported. During the audit, there were staff who identified as Pasifika, and no Pacific residents at the facility. Staff </w:t>
            </w:r>
            <w:r w:rsidRPr="00BE00C7">
              <w:rPr>
                <w:rFonts w:cs="Arial"/>
                <w:lang w:eastAsia="en-NZ"/>
              </w:rPr>
              <w:lastRenderedPageBreak/>
              <w:t>demonstrated an understanding of Pacific culture, its relevance to their policies, and were knowledgeable about how to access community support for Pacific individuals when admitted to care.</w:t>
            </w:r>
          </w:p>
          <w:p w14:paraId="0ED5B77E" w14:textId="77777777" w:rsidR="00000000" w:rsidRPr="00BE00C7" w:rsidRDefault="00000000" w:rsidP="00BE00C7">
            <w:pPr>
              <w:pStyle w:val="OutcomeDescription"/>
              <w:spacing w:before="120" w:after="120"/>
              <w:rPr>
                <w:rFonts w:cs="Arial"/>
                <w:lang w:eastAsia="en-NZ"/>
              </w:rPr>
            </w:pPr>
          </w:p>
        </w:tc>
      </w:tr>
      <w:tr w:rsidR="00EE47CE" w14:paraId="7B9EB5E1" w14:textId="77777777">
        <w:tc>
          <w:tcPr>
            <w:tcW w:w="0" w:type="auto"/>
          </w:tcPr>
          <w:p w14:paraId="1B8425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7944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DEEC996" w14:textId="77777777" w:rsidR="00000000" w:rsidRPr="00BE00C7" w:rsidRDefault="00000000" w:rsidP="00BE00C7">
            <w:pPr>
              <w:pStyle w:val="OutcomeDescription"/>
              <w:spacing w:before="120" w:after="120"/>
              <w:rPr>
                <w:rFonts w:cs="Arial"/>
                <w:lang w:eastAsia="en-NZ"/>
              </w:rPr>
            </w:pPr>
          </w:p>
        </w:tc>
        <w:tc>
          <w:tcPr>
            <w:tcW w:w="0" w:type="auto"/>
          </w:tcPr>
          <w:p w14:paraId="5CB866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502C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welcome package is provided that contains details about the Health and Disability Commissioner (HDC) Code of Health and Disability Services Consumers’ Rights (the Code), and there is an opportunity for residents and their family/whānau to discuss aspects of the Code during the admission process. Interviews with five family/whānau (two hospital, two dementia, and one rest home), and three residents (one hospital and two rest home) stated that they understand their rights. </w:t>
            </w:r>
          </w:p>
          <w:p w14:paraId="03BA4F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Posters in large print featuring the Code and information on advocacy, are prominently displayed across the facility in both English and te reo Māori. Residents and family/whānau interviewed confirmed they are briefed on the extent of services provided, and any financial responsibilities for services not covered under the scope; all of which are detailed in the service agreement. Staff interviewed were knowledgeable about the Code and reported that they supported residents to know and understand their rights. </w:t>
            </w:r>
          </w:p>
          <w:p w14:paraId="1D9516F7" w14:textId="77777777" w:rsidR="00000000" w:rsidRPr="00BE00C7" w:rsidRDefault="00000000" w:rsidP="00BE00C7">
            <w:pPr>
              <w:pStyle w:val="OutcomeDescription"/>
              <w:spacing w:before="120" w:after="120"/>
              <w:rPr>
                <w:rFonts w:cs="Arial"/>
                <w:lang w:eastAsia="en-NZ"/>
              </w:rPr>
            </w:pPr>
          </w:p>
        </w:tc>
      </w:tr>
      <w:tr w:rsidR="00EE47CE" w14:paraId="520AE492" w14:textId="77777777">
        <w:tc>
          <w:tcPr>
            <w:tcW w:w="0" w:type="auto"/>
          </w:tcPr>
          <w:p w14:paraId="12B462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D3DAD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238DF55" w14:textId="77777777" w:rsidR="00000000" w:rsidRPr="00BE00C7" w:rsidRDefault="00000000" w:rsidP="00BE00C7">
            <w:pPr>
              <w:pStyle w:val="OutcomeDescription"/>
              <w:spacing w:before="120" w:after="120"/>
              <w:rPr>
                <w:rFonts w:cs="Arial"/>
                <w:lang w:eastAsia="en-NZ"/>
              </w:rPr>
            </w:pPr>
          </w:p>
        </w:tc>
        <w:tc>
          <w:tcPr>
            <w:tcW w:w="0" w:type="auto"/>
          </w:tcPr>
          <w:p w14:paraId="4ADC8E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474D6F" w14:textId="77777777" w:rsidR="00000000" w:rsidRPr="00BE00C7" w:rsidRDefault="00000000" w:rsidP="00BE00C7">
            <w:pPr>
              <w:pStyle w:val="OutcomeDescription"/>
              <w:spacing w:before="120" w:after="120"/>
              <w:rPr>
                <w:rFonts w:cs="Arial"/>
                <w:lang w:eastAsia="en-NZ"/>
              </w:rPr>
            </w:pPr>
            <w:r w:rsidRPr="00BE00C7">
              <w:rPr>
                <w:rFonts w:cs="Arial"/>
                <w:lang w:eastAsia="en-NZ"/>
              </w:rPr>
              <w:t>Burlington Village has implemented a comprehensive training programme for all staff, focusing on sensitivity, ethics, and the importance of maintaining professional boundaries. This training is updated regularly to address emerging issues and reinforce the facility's zero-tolerance policy towards any form of abuse or discrimination. The effectiveness of this training is evident in the consistently positive feedback from resident and family/whānau satisfaction surveys, which highlight the respectful, compassionate care provided by the staff.</w:t>
            </w:r>
          </w:p>
          <w:p w14:paraId="6C7263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resident meetings provide a platform for voicing concerns and suggestions directly to management. Resident meetings have been instrumental in promoting a culture of openness and mutual respect, further </w:t>
            </w:r>
            <w:r w:rsidRPr="00BE00C7">
              <w:rPr>
                <w:rFonts w:cs="Arial"/>
                <w:lang w:eastAsia="en-NZ"/>
              </w:rPr>
              <w:lastRenderedPageBreak/>
              <w:t>ensuring that the rights and dignity of all residents are upheld. These measures, alongside the policies and procedures already in place, demonstrate the facility's ongoing commitment to creating a safe, inclusive environment that respects the dignity and rights of all individuals in its care.</w:t>
            </w:r>
          </w:p>
          <w:p w14:paraId="7B53BCF7" w14:textId="77777777" w:rsidR="00000000" w:rsidRPr="00BE00C7" w:rsidRDefault="00000000" w:rsidP="00BE00C7">
            <w:pPr>
              <w:pStyle w:val="OutcomeDescription"/>
              <w:spacing w:before="120" w:after="120"/>
              <w:rPr>
                <w:rFonts w:cs="Arial"/>
                <w:lang w:eastAsia="en-NZ"/>
              </w:rPr>
            </w:pPr>
            <w:r w:rsidRPr="00BE00C7">
              <w:rPr>
                <w:rFonts w:cs="Arial"/>
                <w:lang w:eastAsia="en-NZ"/>
              </w:rPr>
              <w:t>Systems are established to oversee the personal finances of residents. Interviews with residents and family/whānau indicate that resident’s financial and property rights are upheld, and professional boundaries are consistently observed.</w:t>
            </w:r>
          </w:p>
          <w:p w14:paraId="5685473D" w14:textId="77777777" w:rsidR="00000000" w:rsidRPr="00BE00C7" w:rsidRDefault="00000000" w:rsidP="00BE00C7">
            <w:pPr>
              <w:pStyle w:val="OutcomeDescription"/>
              <w:spacing w:before="120" w:after="120"/>
              <w:rPr>
                <w:rFonts w:cs="Arial"/>
                <w:lang w:eastAsia="en-NZ"/>
              </w:rPr>
            </w:pPr>
          </w:p>
        </w:tc>
      </w:tr>
      <w:tr w:rsidR="00EE47CE" w14:paraId="4F623E2F" w14:textId="77777777">
        <w:tc>
          <w:tcPr>
            <w:tcW w:w="0" w:type="auto"/>
          </w:tcPr>
          <w:p w14:paraId="06EFA7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2E995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61E7338" w14:textId="77777777" w:rsidR="00000000" w:rsidRPr="00BE00C7" w:rsidRDefault="00000000" w:rsidP="00BE00C7">
            <w:pPr>
              <w:pStyle w:val="OutcomeDescription"/>
              <w:spacing w:before="120" w:after="120"/>
              <w:rPr>
                <w:rFonts w:cs="Arial"/>
                <w:lang w:eastAsia="en-NZ"/>
              </w:rPr>
            </w:pPr>
          </w:p>
        </w:tc>
        <w:tc>
          <w:tcPr>
            <w:tcW w:w="0" w:type="auto"/>
          </w:tcPr>
          <w:p w14:paraId="1936FF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F437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as evidenced in the residents’ files in the dementia unit. </w:t>
            </w:r>
          </w:p>
          <w:p w14:paraId="4D04E216" w14:textId="77777777" w:rsidR="00000000" w:rsidRPr="00BE00C7" w:rsidRDefault="00000000" w:rsidP="00BE00C7">
            <w:pPr>
              <w:pStyle w:val="OutcomeDescription"/>
              <w:spacing w:before="120" w:after="120"/>
              <w:rPr>
                <w:rFonts w:cs="Arial"/>
                <w:lang w:eastAsia="en-NZ"/>
              </w:rPr>
            </w:pPr>
          </w:p>
        </w:tc>
      </w:tr>
      <w:tr w:rsidR="00EE47CE" w14:paraId="2FE3AB81" w14:textId="77777777">
        <w:tc>
          <w:tcPr>
            <w:tcW w:w="0" w:type="auto"/>
          </w:tcPr>
          <w:p w14:paraId="06F862E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1F6D2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system in place to easily receive and resolve or </w:t>
            </w:r>
            <w:r w:rsidRPr="00BE00C7">
              <w:rPr>
                <w:rFonts w:cs="Arial"/>
                <w:lang w:eastAsia="en-NZ"/>
              </w:rPr>
              <w:lastRenderedPageBreak/>
              <w:t>escalate complaints in a manner that leads to quality improvement.</w:t>
            </w:r>
          </w:p>
          <w:p w14:paraId="74F6FE4C" w14:textId="77777777" w:rsidR="00000000" w:rsidRPr="00BE00C7" w:rsidRDefault="00000000" w:rsidP="00BE00C7">
            <w:pPr>
              <w:pStyle w:val="OutcomeDescription"/>
              <w:spacing w:before="120" w:after="120"/>
              <w:rPr>
                <w:rFonts w:cs="Arial"/>
                <w:lang w:eastAsia="en-NZ"/>
              </w:rPr>
            </w:pPr>
          </w:p>
        </w:tc>
        <w:tc>
          <w:tcPr>
            <w:tcW w:w="0" w:type="auto"/>
          </w:tcPr>
          <w:p w14:paraId="42869C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2DD0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an equitable process that is provided to all residents and relatives on entry to the service. The facility manager has overall responsibility for ensuring all complaints (verbal or written) are fully documented and investigated. Burlington Village has an up-to-date complaint register. Concerns and complaints are discussed at relevant meetings. </w:t>
            </w:r>
          </w:p>
          <w:p w14:paraId="159B48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complaints made in 2024 and one complaint in 2025 year to date. All complaints were rated as low risk. There were trends around food service identified in the 2024 complaints. The service has </w:t>
            </w:r>
            <w:r w:rsidRPr="00BE00C7">
              <w:rPr>
                <w:rFonts w:cs="Arial"/>
                <w:lang w:eastAsia="en-NZ"/>
              </w:rPr>
              <w:lastRenderedPageBreak/>
              <w:t xml:space="preserve">implemented a corrective action plan. A review of the complaint register showed that all complaints were managed in accordance with the Health and Disability Commissioner (HDC) guidelines. All concerns were addressed promptly, and resolution was documented. Where corrective actions were identified to improve the service, these were implemented and reported on. There have been no complaints made by external agencies since the last audit. </w:t>
            </w:r>
          </w:p>
          <w:p w14:paraId="014A450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stated that they have a variety of avenues they can choose from to make a complaint or express a concern, including the monthly resident meetings. Interviews with the management team confirmed their understanding of the complaints process. Document review and staff interviews confirmed that the complaints process will work equitably for Māori and support is available (when required). There is an understanding that face to face meetings with whānau are preferred in resolving any issues for Māori.</w:t>
            </w:r>
          </w:p>
          <w:p w14:paraId="19461015" w14:textId="77777777" w:rsidR="00000000" w:rsidRPr="00BE00C7" w:rsidRDefault="00000000" w:rsidP="00BE00C7">
            <w:pPr>
              <w:pStyle w:val="OutcomeDescription"/>
              <w:spacing w:before="120" w:after="120"/>
              <w:rPr>
                <w:rFonts w:cs="Arial"/>
                <w:lang w:eastAsia="en-NZ"/>
              </w:rPr>
            </w:pPr>
          </w:p>
        </w:tc>
      </w:tr>
      <w:tr w:rsidR="00EE47CE" w14:paraId="3612A4BB" w14:textId="77777777">
        <w:tc>
          <w:tcPr>
            <w:tcW w:w="0" w:type="auto"/>
          </w:tcPr>
          <w:p w14:paraId="4C3749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018BA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FC025DF" w14:textId="77777777" w:rsidR="00000000" w:rsidRPr="00BE00C7" w:rsidRDefault="00000000" w:rsidP="00BE00C7">
            <w:pPr>
              <w:pStyle w:val="OutcomeDescription"/>
              <w:spacing w:before="120" w:after="120"/>
              <w:rPr>
                <w:rFonts w:cs="Arial"/>
                <w:lang w:eastAsia="en-NZ"/>
              </w:rPr>
            </w:pPr>
          </w:p>
        </w:tc>
        <w:tc>
          <w:tcPr>
            <w:tcW w:w="0" w:type="auto"/>
          </w:tcPr>
          <w:p w14:paraId="1979AD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0619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Burlington Village provides rest home and hospital (medical and geriatric) level care for up to 64 residents (all dual purpose) in the main care facility, and dementia level of care for up to 20 residents in the dementia unit (Lakehouse). There were fourteen double rooms previously certified for double occupancy in the main building; however, the facility manager stated only four will be occupied at one time. </w:t>
            </w:r>
          </w:p>
          <w:p w14:paraId="4115EF87"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77 residents, which included 29 hospital level residents (including three on a young person with disability contract [ YPD]; 29 rest home, including one YPD; and 19 residents at dementia level of care. All other residents were under the age-related residential care (ARRC) contract. There was one couple at rest home level of care in a double room (care suite).</w:t>
            </w:r>
          </w:p>
          <w:p w14:paraId="0192EA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operations manager and clinical support manager was interviewed related to the governance and clinical governance of the organisation. The Governance Board consists of seven Board members; three who are on the executive management team. The Board meets two-monthly. The clinical operations manager who is a registered nurse, holds overall responsibility for clinical governance and meets weekly with Qestral </w:t>
            </w:r>
            <w:r w:rsidRPr="00BE00C7">
              <w:rPr>
                <w:rFonts w:cs="Arial"/>
                <w:lang w:eastAsia="en-NZ"/>
              </w:rPr>
              <w:lastRenderedPageBreak/>
              <w:t xml:space="preserve">facility managers. A clinical operations managers’ report and Health and Safety report is tabled at each of the Board meetings. </w:t>
            </w:r>
          </w:p>
          <w:p w14:paraId="7C43D5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reports to the clinical operations manager. The Burlington Village annual business plan (2024-2025) has clearly identified their mission, services, and values, which link to the strategic direction of Qestral Ltd. Identified goals are regularly reviewed with outcomes reported. Barriers that may impact equitable service delivery is addressed in the business plan to ensure positive outcomes for Māori. </w:t>
            </w:r>
          </w:p>
          <w:p w14:paraId="51702F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quality and risk management programme reflects evidence of regular compliance and risk reporting to the Board that aligns with operational goals. Outcomes and corrective actions are shared and discussed in the range of meetings that take place across the organisation. The clinical support manager supports the facilities, coordinates the education schedule, and oversee the implementation of the quality framework. </w:t>
            </w:r>
          </w:p>
          <w:p w14:paraId="57CE46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(non-clinical) has previous experience in older persons health and been in the role for 13 months. A clinical nurse manager has been in their role for three years. They are supported by a resident services manager to assist with operational matters, and a unit coordinator that assists with clinical oversight. They have maintained at least eight hours of professional development activities, each related to their respective roles. </w:t>
            </w:r>
          </w:p>
          <w:p w14:paraId="1F6D102F" w14:textId="77777777" w:rsidR="00000000" w:rsidRPr="00BE00C7" w:rsidRDefault="00000000" w:rsidP="00BE00C7">
            <w:pPr>
              <w:pStyle w:val="OutcomeDescription"/>
              <w:spacing w:before="120" w:after="120"/>
              <w:rPr>
                <w:rFonts w:cs="Arial"/>
                <w:lang w:eastAsia="en-NZ"/>
              </w:rPr>
            </w:pPr>
          </w:p>
        </w:tc>
      </w:tr>
      <w:tr w:rsidR="00EE47CE" w14:paraId="4A2ACAA0" w14:textId="77777777">
        <w:tc>
          <w:tcPr>
            <w:tcW w:w="0" w:type="auto"/>
          </w:tcPr>
          <w:p w14:paraId="044662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B4202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E5BE85F" w14:textId="77777777" w:rsidR="00000000" w:rsidRPr="00BE00C7" w:rsidRDefault="00000000" w:rsidP="00BE00C7">
            <w:pPr>
              <w:pStyle w:val="OutcomeDescription"/>
              <w:spacing w:before="120" w:after="120"/>
              <w:rPr>
                <w:rFonts w:cs="Arial"/>
                <w:lang w:eastAsia="en-NZ"/>
              </w:rPr>
            </w:pPr>
          </w:p>
        </w:tc>
        <w:tc>
          <w:tcPr>
            <w:tcW w:w="0" w:type="auto"/>
          </w:tcPr>
          <w:p w14:paraId="36EE70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4CD5D8" w14:textId="77777777" w:rsidR="00000000" w:rsidRPr="00BE00C7" w:rsidRDefault="00000000" w:rsidP="00BE00C7">
            <w:pPr>
              <w:pStyle w:val="OutcomeDescription"/>
              <w:spacing w:before="120" w:after="120"/>
              <w:rPr>
                <w:rFonts w:cs="Arial"/>
                <w:lang w:eastAsia="en-NZ"/>
              </w:rPr>
            </w:pPr>
            <w:r w:rsidRPr="00BE00C7">
              <w:rPr>
                <w:rFonts w:cs="Arial"/>
                <w:lang w:eastAsia="en-NZ"/>
              </w:rPr>
              <w:t>Burlington Village is implementing a quality and risk management programme. This includes performance monitoring through internal audits, satisfaction survey results and through the collection, collation, and analysis of clinical indicator data. Benchmarking occurs internally by comparing data. Results are discussed in the quality improvement/staff and RN meetings and at handover.</w:t>
            </w:r>
          </w:p>
          <w:p w14:paraId="42B4B1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improvement/staff meetings, and RN meetings provide an avenue for discussions in relation to (but not limited to) quality data; health and safety; infection control/pandemic strategies; complaints received (if any); cultural compliance; staffing; and education. Internal audits, meetings, and the collection/collation of data take place as scheduled. Corrective actions are documented where indicated to address service improvements, with evidence of progress and sign off by the facility manager or clinical </w:t>
            </w:r>
            <w:r w:rsidRPr="00BE00C7">
              <w:rPr>
                <w:rFonts w:cs="Arial"/>
                <w:lang w:eastAsia="en-NZ"/>
              </w:rPr>
              <w:lastRenderedPageBreak/>
              <w:t xml:space="preserve">nurse manager when achieved. Meeting minutes and quality results data are posted on a noticeboard, located in the staff room. Corrective actions are discussed in staff meetings to ensure any outstanding matters are addressed, which are signed off when completed. </w:t>
            </w:r>
          </w:p>
          <w:p w14:paraId="29135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was awarded a continuous improvement rating in relation to their activities programme at the previous audit, and several initiatives related to the activities programme are documented and in progress. The quality improvement register evidenced the monitoring of other projects related to decrease of prevalence of pressure injuries and a falls prevention programme. </w:t>
            </w:r>
          </w:p>
          <w:p w14:paraId="656EF7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2024 resident satisfaction survey and family/whānau survey indicate that both residents and family/whānau are satisfied with the services being provided at Burlington Village. A food survey was conducted in February 2025 following the outsourcing of food services in November 2024 to an external contractor, which evidences a slight improvement. Monitoring of the food service is ongoing. Results have been communicated to residents in resident meetings (meeting minutes sighted). Corrective actions are implemented to improve on any specific comments.</w:t>
            </w:r>
          </w:p>
          <w:p w14:paraId="6D0B7E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meets monthly. There are seven health and safety representatives, who have received health and safety training. Health and safety notices are posted on a noticeboard in the staff room. Hazard identification forms and an up-to-date hazard and risk register were sighted. Each hazard is risk rated, with controls put into place. Hazards are regularly monitored. Health and safety is a regular agenda item in staff/quality and RN meetings. </w:t>
            </w:r>
          </w:p>
          <w:p w14:paraId="6CF2D3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Immediate actions are documented with any follow-up action(s) required, evidenced in the accident/incident forms reviewed. Incident and accident data is collated monthly and analysed. A summary is provided against each clinical indicator. Each event involving a resident, triggers a clinical assessment, and the timely follow up by a registered nurse. Opportunities to minimise future risks are identified by the clinical nurse manager, in consultation with RNs and healthcare assistants. </w:t>
            </w:r>
          </w:p>
          <w:p w14:paraId="3AAFF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nurse manager evidenced their awareness of the requirement to notify relevant authorities in relation to essential notifications. There have been Section 31 notifications completed </w:t>
            </w:r>
            <w:r w:rsidRPr="00BE00C7">
              <w:rPr>
                <w:rFonts w:cs="Arial"/>
                <w:lang w:eastAsia="en-NZ"/>
              </w:rPr>
              <w:lastRenderedPageBreak/>
              <w:t>to notify HealthCERT of notifiable events. There were notifications made to the Health Quality and Safety Commission (HQSC). There has been a combined Covid-19 and upper respiratory infection outbreak in 2024, and one respiratory outbreak in June 2025.</w:t>
            </w:r>
          </w:p>
          <w:p w14:paraId="0AE9E60A" w14:textId="77777777" w:rsidR="00000000" w:rsidRPr="00BE00C7" w:rsidRDefault="00000000" w:rsidP="00BE00C7">
            <w:pPr>
              <w:pStyle w:val="OutcomeDescription"/>
              <w:spacing w:before="120" w:after="120"/>
              <w:rPr>
                <w:rFonts w:cs="Arial"/>
                <w:lang w:eastAsia="en-NZ"/>
              </w:rPr>
            </w:pPr>
          </w:p>
        </w:tc>
      </w:tr>
      <w:tr w:rsidR="00EE47CE" w14:paraId="57250C30" w14:textId="77777777">
        <w:tc>
          <w:tcPr>
            <w:tcW w:w="0" w:type="auto"/>
          </w:tcPr>
          <w:p w14:paraId="66AC30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6CA5F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CD0AAE6" w14:textId="77777777" w:rsidR="00000000" w:rsidRPr="00BE00C7" w:rsidRDefault="00000000" w:rsidP="00BE00C7">
            <w:pPr>
              <w:pStyle w:val="OutcomeDescription"/>
              <w:spacing w:before="120" w:after="120"/>
              <w:rPr>
                <w:rFonts w:cs="Arial"/>
                <w:lang w:eastAsia="en-NZ"/>
              </w:rPr>
            </w:pPr>
          </w:p>
        </w:tc>
        <w:tc>
          <w:tcPr>
            <w:tcW w:w="0" w:type="auto"/>
          </w:tcPr>
          <w:p w14:paraId="7C3912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875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Rosters implement the staffing rationale described in policy. Burlington Village employs a total of 82 staff in various roles. There are no current staff vacancies. Staffing rosters were sighted, and there are staff on duty to meet the resident's clinical and cultural needs. Staff reported that short notice absences are filled with the casual staff or their own staff. Agency staff are used as a last resort. The clinical nurse manager, unit coordinator and facility manager work Monday to Fridays. The clinical nurse manager and unit coordinator share on call after hours for all clinical matters. The facility manager is available to answer any operational calls. In the absence of the facility manager, the resident services manager will assume the operational responsibilities. </w:t>
            </w:r>
          </w:p>
          <w:p w14:paraId="480461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interviewed. Staff interviewed stated the staffing levels are satisfactory, and that the management team provide good support. Staff, residents and family/whānau are informed of any changes to staff. New staff are introduced to residents and family/whānau. There is 24/7 RN cover. There is a staff member with a current first aid certificate on duty in each unit. </w:t>
            </w:r>
          </w:p>
          <w:p w14:paraId="6B2281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registered nurse allocated to work in the dementia unit on morning shifts every day of the week, and there is at least one RN in the dementia unit for five afternoon shifts. The registered nurses in the care centre will oversee the dementia unit at other times. The roster for the dementia unit evidence sufficient HCA workforce allocated to each shift. </w:t>
            </w:r>
          </w:p>
          <w:p w14:paraId="25DD82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support manager (interviewed) oversees the Qestral education needs, training topics, and implementation of the schedule. All staff complete role specific training that includes e-learning, case studies, reflective practice, face to face training with speakers, and webinars. There is an annual education and training schedule completed for 2024, and being implemented for 2025. There is an extensive training programme within the service, characterised by comprehensive records and a high rate of </w:t>
            </w:r>
            <w:r w:rsidRPr="00BE00C7">
              <w:rPr>
                <w:rFonts w:cs="Arial"/>
                <w:lang w:eastAsia="en-NZ"/>
              </w:rPr>
              <w:lastRenderedPageBreak/>
              <w:t>participation. This reflects a significant dedication to fostering staff development and enhancing competencies. The training programme included clinical training on different subjects, and training around the Code; infection control; restraint elimination; staff wellbeing; bullying and harassment; elder abuse and neglect; dementia related topics; Code of Rights, medication management; te reo Māori; tikanga Māori; Te Tiriti o Waitangi; cultural diversity; challenging behaviour and responding to distressed residents; infection prevention and control; and outbreak management.</w:t>
            </w:r>
          </w:p>
          <w:p w14:paraId="3DE4931D"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annual competencies are completed in relation to moving and handling, restraint, hand hygiene, correct use of personal protective equipment (PPE), and medication competencies.</w:t>
            </w:r>
          </w:p>
          <w:p w14:paraId="04EC8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Burlington Village supports all staff to transition through the New Zealand Qualification Authority (NZQA) Certificate for Health and Wellbeing. There are 60 healthcare assistants and 88 percent of the HCAs have achieved NZQA level 3 or above. </w:t>
            </w:r>
          </w:p>
          <w:p w14:paraId="0171C4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30 HCAs and one diversional therapist (DT) working in the dementia unit, and 20 have completed the related dementia standard training. Ten are currently enrolled to complete their relevant qualification within the timeframe required.</w:t>
            </w:r>
          </w:p>
          <w:p w14:paraId="048539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13 registered nurses (including the clinical nurse manager); 10 of whom are interRAI trained. All registered nurses have completed the required competencies, including wound competencies and syringe driver training. Registered nurses are supported with external training and education sessions on demand. </w:t>
            </w:r>
          </w:p>
          <w:p w14:paraId="060A6082" w14:textId="77777777" w:rsidR="00000000" w:rsidRPr="00BE00C7" w:rsidRDefault="00000000" w:rsidP="00BE00C7">
            <w:pPr>
              <w:pStyle w:val="OutcomeDescription"/>
              <w:spacing w:before="120" w:after="120"/>
              <w:rPr>
                <w:rFonts w:cs="Arial"/>
                <w:lang w:eastAsia="en-NZ"/>
              </w:rPr>
            </w:pPr>
          </w:p>
        </w:tc>
      </w:tr>
      <w:tr w:rsidR="00EE47CE" w14:paraId="12A49F41" w14:textId="77777777">
        <w:tc>
          <w:tcPr>
            <w:tcW w:w="0" w:type="auto"/>
          </w:tcPr>
          <w:p w14:paraId="435167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4F8BA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750E0F4D" w14:textId="77777777" w:rsidR="00000000" w:rsidRPr="00BE00C7" w:rsidRDefault="00000000" w:rsidP="00BE00C7">
            <w:pPr>
              <w:pStyle w:val="OutcomeDescription"/>
              <w:spacing w:before="120" w:after="120"/>
              <w:rPr>
                <w:rFonts w:cs="Arial"/>
                <w:lang w:eastAsia="en-NZ"/>
              </w:rPr>
            </w:pPr>
          </w:p>
        </w:tc>
        <w:tc>
          <w:tcPr>
            <w:tcW w:w="0" w:type="auto"/>
          </w:tcPr>
          <w:p w14:paraId="376DE5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1B61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staff files reviewed evidenced implementation of the recruitment process, employment contracts, police checking, and completed orientation. The Qestral core orientation/induction programme includes key components of the service, and provides new staff with relevant information for safe work practice. It is tailored specifically to each position and monitored from the e-learning platform. Employment records included signed code of conduct and house rules. </w:t>
            </w:r>
          </w:p>
          <w:p w14:paraId="4B6C33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register of practising certificates is maintained for all health professionals, including (but not limited to) registered nurses, nurse practitioners, physiotherapists, pharmacists, dietitian, and podiatrist. The staff files reviewed evidenced annual appraisals are completed as scheduled. </w:t>
            </w:r>
          </w:p>
          <w:p w14:paraId="1112A084" w14:textId="77777777" w:rsidR="00000000" w:rsidRPr="00BE00C7" w:rsidRDefault="00000000" w:rsidP="00BE00C7">
            <w:pPr>
              <w:pStyle w:val="OutcomeDescription"/>
              <w:spacing w:before="120" w:after="120"/>
              <w:rPr>
                <w:rFonts w:cs="Arial"/>
                <w:lang w:eastAsia="en-NZ"/>
              </w:rPr>
            </w:pPr>
          </w:p>
        </w:tc>
      </w:tr>
      <w:tr w:rsidR="00EE47CE" w14:paraId="25D9CAAB" w14:textId="77777777">
        <w:tc>
          <w:tcPr>
            <w:tcW w:w="0" w:type="auto"/>
          </w:tcPr>
          <w:p w14:paraId="507E36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4EBE4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8B02F17" w14:textId="77777777" w:rsidR="00000000" w:rsidRPr="00BE00C7" w:rsidRDefault="00000000" w:rsidP="00BE00C7">
            <w:pPr>
              <w:pStyle w:val="OutcomeDescription"/>
              <w:spacing w:before="120" w:after="120"/>
              <w:rPr>
                <w:rFonts w:cs="Arial"/>
                <w:lang w:eastAsia="en-NZ"/>
              </w:rPr>
            </w:pPr>
          </w:p>
        </w:tc>
        <w:tc>
          <w:tcPr>
            <w:tcW w:w="0" w:type="auto"/>
          </w:tcPr>
          <w:p w14:paraId="5A0B5D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07F613" w14:textId="77777777" w:rsidR="00000000" w:rsidRPr="00BE00C7" w:rsidRDefault="00000000" w:rsidP="00BE00C7">
            <w:pPr>
              <w:pStyle w:val="OutcomeDescription"/>
              <w:spacing w:before="120" w:after="120"/>
              <w:rPr>
                <w:rFonts w:cs="Arial"/>
                <w:lang w:eastAsia="en-NZ"/>
              </w:rPr>
            </w:pPr>
            <w:r w:rsidRPr="00BE00C7">
              <w:rPr>
                <w:rFonts w:cs="Arial"/>
                <w:lang w:eastAsia="en-NZ"/>
              </w:rPr>
              <w:t>Six files were sampled and identified that initial assessments and initial care plans were resident centred and were completed in a timely manner. The files reviewed included two rest home, including one on a YPD contract, two hospital, and two in dementia level care.</w:t>
            </w:r>
          </w:p>
          <w:p w14:paraId="2977DDD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were completed within 21 days of admission in the files where this is required. The YPD resident had appropriate risk assessments and an initial care plan completed within 24 hours of admission. Care plans are based on data collected during the initial nursing assessments, and information from pre-entry assessments. The service uses assessment tools that include consideration of residents’ lived experiences, cultural needs, values, and beliefs. Interventions were resident focussed and provide detail to guide staff in the management of each resident’s care, as observed on the day of audit. Residents in the dementia unit have a behaviour plan in place, with a description of the resident's current abilities, level of independence, identified needs/deficits, habits, routines, and behavioural characteristics and the best way to manage these over a 24-hour period.</w:t>
            </w:r>
          </w:p>
          <w:p w14:paraId="76875281"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care is undertaken by appropriately trained and skilled staff, including the nursing team and care staff. Resident, family/whānau, and the nurse practitioner involvement is encouraged in the development of the plan of care. Resident care is evaluated on each shift and reported at handover. Long-term care plans are formally evaluated every six months in conjunction with the interRAI re-assessments, and when there is a change in the resident’s condition. Evaluations are documented by the registered nurses. Evaluations include the degree of achievement towards meeting desired goals and outcomes.</w:t>
            </w:r>
          </w:p>
          <w:p w14:paraId="407527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practitioner visits twice weekly and is available as required. A second nurse practitioner from the same contracted practice is available on call for the residents. The nurse practitioner has completed the residents’ medical admissions within the required timeframes and conduct medical </w:t>
            </w:r>
            <w:r w:rsidRPr="00BE00C7">
              <w:rPr>
                <w:rFonts w:cs="Arial"/>
                <w:lang w:eastAsia="en-NZ"/>
              </w:rPr>
              <w:lastRenderedPageBreak/>
              <w:t xml:space="preserve">reviews promptly. Completed medical records were sighted in all files sampled. The nurse practitioner interviewed confirmed that communication was conducted in a transparent manner, medical input was sought in a timely, logical manner, and medical orders were followed appropriately. Residents’ files sampled identified service integration with other members of the health team. The contracted podiatrist visits the service every six to eight weeks. The physiotherapist attends one day a fortnight, and completes mobility assessments for residents. </w:t>
            </w:r>
          </w:p>
          <w:p w14:paraId="698481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reported that sufficient and appropriate information is shared between the staff at each handover. Progress notes were completed on every shift and more often if there were any changes in a resident’s condition. Wound management plans were implemented, with regular evaluation of these, including photographs. The wound care nurse specialists were consulted when required. An adequate supply of wound care products was available. A review of the wound care plans evidenced that wounds were assessed in a timely manner, and reviewed at appropriate intervals. Photos were taken when this was required. At the time of audit, there was one unstageable pressure injury, and one stage I pressure injury. Both pressure injuries were resolving. Other wounds included skin tears, surgical wound, and grazes or abrasions. </w:t>
            </w:r>
          </w:p>
          <w:p w14:paraId="1B751E6C"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the resident or enduring power of attorney (EPOA) and family/whānau responded by initiating changes to the care plan. A range of equipment and resources were available, suited to the level of care provided and in accordance with the residents’ needs. Enduring power of attorneys, family/whānau and residents interviewed confirmed their involvement in the evaluation of progress and any resulting changes.</w:t>
            </w:r>
          </w:p>
          <w:p w14:paraId="771CD37F" w14:textId="77777777" w:rsidR="00000000" w:rsidRPr="00BE00C7" w:rsidRDefault="00000000" w:rsidP="00BE00C7">
            <w:pPr>
              <w:pStyle w:val="OutcomeDescription"/>
              <w:spacing w:before="120" w:after="120"/>
              <w:rPr>
                <w:rFonts w:cs="Arial"/>
                <w:lang w:eastAsia="en-NZ"/>
              </w:rPr>
            </w:pPr>
            <w:r w:rsidRPr="00BE00C7">
              <w:rPr>
                <w:rFonts w:cs="Arial"/>
                <w:lang w:eastAsia="en-NZ"/>
              </w:rPr>
              <w:t>A suite of monitoring charts were in use, including (but not limited to) fluid balance charts; intentional rounding; weights; turn charts; behaviour, bowel charts; neurological observations forms; restraint; and blood glucose monitoring. All charts were maintained as per care plan instruction. The previous partial attainment (criteria # 3.2.4) related to neurological observations and restraint monitoring have been addressed.</w:t>
            </w:r>
          </w:p>
          <w:p w14:paraId="27027F49" w14:textId="77777777" w:rsidR="00000000" w:rsidRPr="00BE00C7" w:rsidRDefault="00000000" w:rsidP="00C75DA6">
            <w:pPr>
              <w:pStyle w:val="OutcomeDescription"/>
              <w:spacing w:before="120" w:after="120"/>
              <w:rPr>
                <w:rFonts w:cs="Arial"/>
                <w:lang w:eastAsia="en-NZ"/>
              </w:rPr>
            </w:pPr>
          </w:p>
        </w:tc>
      </w:tr>
      <w:tr w:rsidR="00EE47CE" w14:paraId="7A5C699D" w14:textId="77777777">
        <w:tc>
          <w:tcPr>
            <w:tcW w:w="0" w:type="auto"/>
          </w:tcPr>
          <w:p w14:paraId="2F40CF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47752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0ADB084" w14:textId="77777777" w:rsidR="00000000" w:rsidRPr="00BE00C7" w:rsidRDefault="00000000" w:rsidP="00BE00C7">
            <w:pPr>
              <w:pStyle w:val="OutcomeDescription"/>
              <w:spacing w:before="120" w:after="120"/>
              <w:rPr>
                <w:rFonts w:cs="Arial"/>
                <w:lang w:eastAsia="en-NZ"/>
              </w:rPr>
            </w:pPr>
          </w:p>
        </w:tc>
        <w:tc>
          <w:tcPr>
            <w:tcW w:w="0" w:type="auto"/>
          </w:tcPr>
          <w:p w14:paraId="325996F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20141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 safe system for medicine management is in use. Registered health professionals operating within their role and scope of practice are responsible for the prescribing, dispensing, administration, review, and reconciliation of all medicines. Administration records were maintained. Medications are supplied to the facility from a contracted pharmacy. The nurse practitioner has completed three-monthly medication reviews, as sighted in medication records reviewed.</w:t>
            </w:r>
          </w:p>
          <w:p w14:paraId="753A6EB7"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12 medication charts were reviewed and included allergies where indicated, and the photographs on the electronic medication management system were current. Indications for use were documented for pro re nata (PRN) medications. The effectiveness of PRN medications was consistently documented in the electronic medication management system and progress notes. Medications with a short shelf life were not consistently dated on opening or discarded within required timeframes.</w:t>
            </w:r>
          </w:p>
          <w:p w14:paraId="5DB64A8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is conducted by the nursing team, when a resident is transferred back to the service from the hospital or any external appointments. The nursing team checked medicines against the prescription, and these were updated in the electronic medication management system. Medication competencies were current, and these were completed in the last 12 months for all staff administering medicines. Expired or unwanted medicines were appropriately stored, pending collection by the pharmacy. Expired medicines were being returned to the pharmacy promptly. Monitoring of medicine fridges and room temperatures were being conducted daily and all temperatures checked were within required ranges.</w:t>
            </w:r>
          </w:p>
          <w:p w14:paraId="35570EF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observed to be administered safely and correctly. Medications were stored safely and securely in the trolley, locked treatment rooms, and cupboards in all two medication rooms. There were no residents self-administering medication on the day of the audit. Policy and procedures, including assessment, review, and the provision of safe storage were in place where required. The clinical nurse manager explained the process of assessing a resident’s competency, should they wish to self-administer their medications. The previous partial attainment related to self-administration of medication has been addressed. Standing orders are not used, and vaccines are not kept on site.</w:t>
            </w:r>
          </w:p>
          <w:p w14:paraId="67E5EA5A" w14:textId="77777777" w:rsidR="00000000" w:rsidRPr="00BE00C7" w:rsidRDefault="00000000" w:rsidP="00BE00C7">
            <w:pPr>
              <w:pStyle w:val="OutcomeDescription"/>
              <w:spacing w:before="120" w:after="120"/>
              <w:rPr>
                <w:rFonts w:cs="Arial"/>
                <w:lang w:eastAsia="en-NZ"/>
              </w:rPr>
            </w:pPr>
          </w:p>
        </w:tc>
      </w:tr>
      <w:tr w:rsidR="00EE47CE" w14:paraId="03184001" w14:textId="77777777">
        <w:tc>
          <w:tcPr>
            <w:tcW w:w="0" w:type="auto"/>
          </w:tcPr>
          <w:p w14:paraId="464CB3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7A084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40E2C40" w14:textId="77777777" w:rsidR="00000000" w:rsidRPr="00BE00C7" w:rsidRDefault="00000000" w:rsidP="00BE00C7">
            <w:pPr>
              <w:pStyle w:val="OutcomeDescription"/>
              <w:spacing w:before="120" w:after="120"/>
              <w:rPr>
                <w:rFonts w:cs="Arial"/>
                <w:lang w:eastAsia="en-NZ"/>
              </w:rPr>
            </w:pPr>
          </w:p>
        </w:tc>
        <w:tc>
          <w:tcPr>
            <w:tcW w:w="0" w:type="auto"/>
          </w:tcPr>
          <w:p w14:paraId="1EC459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A8BE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 There is a verified current food control plan. The residents and family/whānau gave satisfactory reviews regarding the standard of the meals served. </w:t>
            </w:r>
          </w:p>
          <w:p w14:paraId="7DB0CF93" w14:textId="77777777" w:rsidR="00000000" w:rsidRPr="00BE00C7" w:rsidRDefault="00000000" w:rsidP="00BE00C7">
            <w:pPr>
              <w:pStyle w:val="OutcomeDescription"/>
              <w:spacing w:before="120" w:after="120"/>
              <w:rPr>
                <w:rFonts w:cs="Arial"/>
                <w:lang w:eastAsia="en-NZ"/>
              </w:rPr>
            </w:pPr>
          </w:p>
        </w:tc>
      </w:tr>
      <w:tr w:rsidR="00EE47CE" w14:paraId="4AFCC67B" w14:textId="77777777">
        <w:tc>
          <w:tcPr>
            <w:tcW w:w="0" w:type="auto"/>
          </w:tcPr>
          <w:p w14:paraId="545C14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B94A7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0ED881F" w14:textId="77777777" w:rsidR="00000000" w:rsidRPr="00BE00C7" w:rsidRDefault="00000000" w:rsidP="00BE00C7">
            <w:pPr>
              <w:pStyle w:val="OutcomeDescription"/>
              <w:spacing w:before="120" w:after="120"/>
              <w:rPr>
                <w:rFonts w:cs="Arial"/>
                <w:lang w:eastAsia="en-NZ"/>
              </w:rPr>
            </w:pPr>
          </w:p>
        </w:tc>
        <w:tc>
          <w:tcPr>
            <w:tcW w:w="0" w:type="auto"/>
          </w:tcPr>
          <w:p w14:paraId="738BDF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02AF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in the management of the early discharge/unexpected discharge plan and transfer from services. Discharges are overseen by the clinical team, who manage the process until discharge. This is conducted in consultation with the resident, family/whānau, and other external agencies. Risks are identified and managed as required. </w:t>
            </w:r>
          </w:p>
          <w:p w14:paraId="7A162DCE"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wound care nurse specialists, were sighted in the files reviewed. Residents and family/whānau are involved in all transfers or discharges to and from the service, and there was sufficient evidence in the residents’ records to confirm this.</w:t>
            </w:r>
          </w:p>
          <w:p w14:paraId="3FE839C3" w14:textId="77777777" w:rsidR="00000000" w:rsidRPr="00BE00C7" w:rsidRDefault="00000000" w:rsidP="00BE00C7">
            <w:pPr>
              <w:pStyle w:val="OutcomeDescription"/>
              <w:spacing w:before="120" w:after="120"/>
              <w:rPr>
                <w:rFonts w:cs="Arial"/>
                <w:lang w:eastAsia="en-NZ"/>
              </w:rPr>
            </w:pPr>
          </w:p>
        </w:tc>
      </w:tr>
      <w:tr w:rsidR="00EE47CE" w14:paraId="572ECC16" w14:textId="77777777">
        <w:tc>
          <w:tcPr>
            <w:tcW w:w="0" w:type="auto"/>
          </w:tcPr>
          <w:p w14:paraId="5E5731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2242C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50C20EC1" w14:textId="77777777" w:rsidR="00000000" w:rsidRPr="00BE00C7" w:rsidRDefault="00000000" w:rsidP="00BE00C7">
            <w:pPr>
              <w:pStyle w:val="OutcomeDescription"/>
              <w:spacing w:before="120" w:after="120"/>
              <w:rPr>
                <w:rFonts w:cs="Arial"/>
                <w:lang w:eastAsia="en-NZ"/>
              </w:rPr>
            </w:pPr>
          </w:p>
        </w:tc>
        <w:tc>
          <w:tcPr>
            <w:tcW w:w="0" w:type="auto"/>
          </w:tcPr>
          <w:p w14:paraId="3FBCDF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E46A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Burlington Village and comply with legislation relevant to the Health and Disability services being provided. The environment is inclusive of people’s cultures and supports cultural practices. </w:t>
            </w:r>
          </w:p>
          <w:p w14:paraId="14D9E5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There is an annual maintenance plan that includes electrical testing and tagging, equipment checks, call bell checks, calibration of medical equipment, and monthly testing of hot water temperatures. Essential contractors/tradespeople are available 24 hours a day as required. The maintenance person provides </w:t>
            </w:r>
            <w:r w:rsidRPr="00BE00C7">
              <w:rPr>
                <w:rFonts w:cs="Arial"/>
                <w:lang w:eastAsia="en-NZ"/>
              </w:rPr>
              <w:lastRenderedPageBreak/>
              <w:t>after-hours support for maintenance issues as required. Hot water temperature recording reviewed had corrective actions undertaken when outside of expected ranges.</w:t>
            </w:r>
          </w:p>
          <w:p w14:paraId="065071EA" w14:textId="77777777" w:rsidR="00000000" w:rsidRPr="00BE00C7" w:rsidRDefault="00000000" w:rsidP="00BE00C7">
            <w:pPr>
              <w:pStyle w:val="OutcomeDescription"/>
              <w:spacing w:before="120" w:after="120"/>
              <w:rPr>
                <w:rFonts w:cs="Arial"/>
                <w:lang w:eastAsia="en-NZ"/>
              </w:rPr>
            </w:pPr>
          </w:p>
        </w:tc>
      </w:tr>
      <w:tr w:rsidR="00EE47CE" w14:paraId="413B61D6" w14:textId="77777777">
        <w:tc>
          <w:tcPr>
            <w:tcW w:w="0" w:type="auto"/>
          </w:tcPr>
          <w:p w14:paraId="39585D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DF5CB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7DA46D" w14:textId="77777777" w:rsidR="00000000" w:rsidRPr="00BE00C7" w:rsidRDefault="00000000" w:rsidP="00BE00C7">
            <w:pPr>
              <w:pStyle w:val="OutcomeDescription"/>
              <w:spacing w:before="120" w:after="120"/>
              <w:rPr>
                <w:rFonts w:cs="Arial"/>
                <w:lang w:eastAsia="en-NZ"/>
              </w:rPr>
            </w:pPr>
          </w:p>
        </w:tc>
        <w:tc>
          <w:tcPr>
            <w:tcW w:w="0" w:type="auto"/>
          </w:tcPr>
          <w:p w14:paraId="5419A6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1023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and approved by the governing body. The infection control policies were developed with input from infection control specialists, and these comply with relevant legislation and accepted best practice. The infection control programme is reviewed annually by the clinical operations manager and clinical support manager, in collaboration with the clinical nurse managers.</w:t>
            </w:r>
          </w:p>
          <w:p w14:paraId="413032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related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The training includes reminders about hand hygiene and advice around ensuring residents remain in their room if they are unwell. Staff who were interviewed demonstrated a good understanding of infection control and prevention measures. </w:t>
            </w:r>
          </w:p>
          <w:p w14:paraId="7103FE30" w14:textId="77777777" w:rsidR="00000000" w:rsidRPr="00BE00C7" w:rsidRDefault="00000000" w:rsidP="00BE00C7">
            <w:pPr>
              <w:pStyle w:val="OutcomeDescription"/>
              <w:spacing w:before="120" w:after="120"/>
              <w:rPr>
                <w:rFonts w:cs="Arial"/>
                <w:lang w:eastAsia="en-NZ"/>
              </w:rPr>
            </w:pPr>
          </w:p>
        </w:tc>
      </w:tr>
      <w:tr w:rsidR="00EE47CE" w14:paraId="52149549" w14:textId="77777777">
        <w:tc>
          <w:tcPr>
            <w:tcW w:w="0" w:type="auto"/>
          </w:tcPr>
          <w:p w14:paraId="1E2525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22B32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E3B86CD" w14:textId="77777777" w:rsidR="00000000" w:rsidRPr="00BE00C7" w:rsidRDefault="00000000" w:rsidP="00BE00C7">
            <w:pPr>
              <w:pStyle w:val="OutcomeDescription"/>
              <w:spacing w:before="120" w:after="120"/>
              <w:rPr>
                <w:rFonts w:cs="Arial"/>
                <w:lang w:eastAsia="en-NZ"/>
              </w:rPr>
            </w:pPr>
          </w:p>
        </w:tc>
        <w:tc>
          <w:tcPr>
            <w:tcW w:w="0" w:type="auto"/>
          </w:tcPr>
          <w:p w14:paraId="6CAF27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6801A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Monthly data on various infections, including those affecting the urinary tract, skin, eyes, respiratory system, and wounds is meticulously collected, based on signs, symptoms, and infection definitions. This information is logged into an electronic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 Any infections of concern are reported to the clinical governance. </w:t>
            </w:r>
          </w:p>
          <w:p w14:paraId="4B748A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experienced two outbreaks since previous audit. A document review evidence case logs, appropriate reporting, and debrief meetings. Residents and family/whānau were updated regularly during the outbreak. Staff have received training in relation to infection, including donning and doffing of personal protective equipment and hand hygiene. </w:t>
            </w:r>
          </w:p>
          <w:p w14:paraId="50EDE91B" w14:textId="77777777" w:rsidR="00000000" w:rsidRPr="00BE00C7" w:rsidRDefault="00000000" w:rsidP="00BE00C7">
            <w:pPr>
              <w:pStyle w:val="OutcomeDescription"/>
              <w:spacing w:before="120" w:after="120"/>
              <w:rPr>
                <w:rFonts w:cs="Arial"/>
                <w:lang w:eastAsia="en-NZ"/>
              </w:rPr>
            </w:pPr>
          </w:p>
        </w:tc>
      </w:tr>
      <w:tr w:rsidR="00EE47CE" w14:paraId="7B95C118" w14:textId="77777777">
        <w:tc>
          <w:tcPr>
            <w:tcW w:w="0" w:type="auto"/>
          </w:tcPr>
          <w:p w14:paraId="7AB001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D3AB3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0C1DB5" w14:textId="77777777" w:rsidR="00000000" w:rsidRPr="00BE00C7" w:rsidRDefault="00000000" w:rsidP="00BE00C7">
            <w:pPr>
              <w:pStyle w:val="OutcomeDescription"/>
              <w:spacing w:before="120" w:after="120"/>
              <w:rPr>
                <w:rFonts w:cs="Arial"/>
                <w:lang w:eastAsia="en-NZ"/>
              </w:rPr>
            </w:pPr>
          </w:p>
        </w:tc>
        <w:tc>
          <w:tcPr>
            <w:tcW w:w="0" w:type="auto"/>
          </w:tcPr>
          <w:p w14:paraId="4BDCA0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05BF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restraint group is responsible for the restraint elimination strategy and for monitoring restraint use in the organisation. The restraint coordinator is a registered nurse and confirmed that the service is committed to a restraint-free environment. The service has effective strategies in place to eliminate the use of restraint. These include training and the planning of care. At the time of the audit, no restraint was in use or had been used for an extended period. </w:t>
            </w:r>
          </w:p>
          <w:p w14:paraId="7988589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restraint minimisation training as part of their orientation and annual mandatory education schedule.</w:t>
            </w:r>
          </w:p>
          <w:p w14:paraId="7EBB8978" w14:textId="77777777" w:rsidR="00000000" w:rsidRPr="00BE00C7" w:rsidRDefault="00000000" w:rsidP="00BE00C7">
            <w:pPr>
              <w:pStyle w:val="OutcomeDescription"/>
              <w:spacing w:before="120" w:after="120"/>
              <w:rPr>
                <w:rFonts w:cs="Arial"/>
                <w:lang w:eastAsia="en-NZ"/>
              </w:rPr>
            </w:pPr>
          </w:p>
        </w:tc>
      </w:tr>
    </w:tbl>
    <w:p w14:paraId="3B1DA35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B10108D" w14:textId="77777777" w:rsidR="00000000" w:rsidRDefault="00000000">
      <w:pPr>
        <w:pStyle w:val="Heading1"/>
        <w:rPr>
          <w:rFonts w:cs="Arial"/>
        </w:rPr>
      </w:pPr>
      <w:r>
        <w:rPr>
          <w:rFonts w:cs="Arial"/>
        </w:rPr>
        <w:lastRenderedPageBreak/>
        <w:t>Specific results for criterion where corrective actions are required</w:t>
      </w:r>
    </w:p>
    <w:p w14:paraId="3257EA2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1BEE0F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2C934C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1333"/>
        <w:gridCol w:w="4735"/>
        <w:gridCol w:w="2268"/>
        <w:gridCol w:w="2486"/>
      </w:tblGrid>
      <w:tr w:rsidR="00EE47CE" w14:paraId="58AB5F3E" w14:textId="77777777">
        <w:tc>
          <w:tcPr>
            <w:tcW w:w="0" w:type="auto"/>
          </w:tcPr>
          <w:p w14:paraId="3BFB8AF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C10090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37AB8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8BB832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CA247D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E47CE" w14:paraId="0EB16EB6" w14:textId="77777777">
        <w:tc>
          <w:tcPr>
            <w:tcW w:w="0" w:type="auto"/>
          </w:tcPr>
          <w:p w14:paraId="4171C0B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43FA00B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68FB6CE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08F0CF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guide the management of medication at Burlington Village. Medication is safely stored in temperature-controlled medication rooms and locked trolleys. Medications with a short shelf life are required by policy to be dated on opening and discarded as per manufacturer’s instruction however this was not consistently evidenced in the dual-purpose care centre.</w:t>
            </w:r>
          </w:p>
          <w:p w14:paraId="5AF0B758" w14:textId="77777777" w:rsidR="00000000" w:rsidRPr="00BE00C7" w:rsidRDefault="00000000" w:rsidP="00BE00C7">
            <w:pPr>
              <w:pStyle w:val="OutcomeDescription"/>
              <w:spacing w:before="120" w:after="120"/>
              <w:rPr>
                <w:rFonts w:cs="Arial"/>
                <w:lang w:eastAsia="en-NZ"/>
              </w:rPr>
            </w:pPr>
          </w:p>
        </w:tc>
        <w:tc>
          <w:tcPr>
            <w:tcW w:w="0" w:type="auto"/>
          </w:tcPr>
          <w:p w14:paraId="5FB6887A" w14:textId="77777777" w:rsidR="00000000" w:rsidRPr="00BE00C7" w:rsidRDefault="00000000" w:rsidP="00BE00C7">
            <w:pPr>
              <w:pStyle w:val="OutcomeDescription"/>
              <w:spacing w:before="120" w:after="120"/>
              <w:rPr>
                <w:rFonts w:cs="Arial"/>
                <w:lang w:eastAsia="en-NZ"/>
              </w:rPr>
            </w:pPr>
            <w:r w:rsidRPr="00BE00C7">
              <w:rPr>
                <w:rFonts w:cs="Arial"/>
                <w:lang w:eastAsia="en-NZ"/>
              </w:rPr>
              <w:t>Two creams and four eye drops were not dated or discarded as per manufacturers requirements.</w:t>
            </w:r>
          </w:p>
          <w:p w14:paraId="789EA488" w14:textId="77777777" w:rsidR="00000000" w:rsidRPr="00BE00C7" w:rsidRDefault="00000000" w:rsidP="00BE00C7">
            <w:pPr>
              <w:pStyle w:val="OutcomeDescription"/>
              <w:spacing w:before="120" w:after="120"/>
              <w:rPr>
                <w:rFonts w:cs="Arial"/>
                <w:lang w:eastAsia="en-NZ"/>
              </w:rPr>
            </w:pPr>
          </w:p>
        </w:tc>
        <w:tc>
          <w:tcPr>
            <w:tcW w:w="0" w:type="auto"/>
          </w:tcPr>
          <w:p w14:paraId="791AEB0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medications with a short shelf life are dated on opening and discarded as per manufacturer’s instructions.</w:t>
            </w:r>
          </w:p>
          <w:p w14:paraId="18B7E5BB" w14:textId="77777777" w:rsidR="00000000" w:rsidRPr="00BE00C7" w:rsidRDefault="00000000" w:rsidP="00BE00C7">
            <w:pPr>
              <w:pStyle w:val="OutcomeDescription"/>
              <w:spacing w:before="120" w:after="120"/>
              <w:rPr>
                <w:rFonts w:cs="Arial"/>
                <w:lang w:eastAsia="en-NZ"/>
              </w:rPr>
            </w:pPr>
          </w:p>
          <w:p w14:paraId="61F4FD9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7F1025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3F30B90" w14:textId="77777777" w:rsidR="00000000" w:rsidRDefault="00000000">
      <w:pPr>
        <w:pStyle w:val="Heading1"/>
        <w:rPr>
          <w:rFonts w:cs="Arial"/>
        </w:rPr>
      </w:pPr>
      <w:r>
        <w:rPr>
          <w:rFonts w:cs="Arial"/>
        </w:rPr>
        <w:lastRenderedPageBreak/>
        <w:t>Specific results for criterion where a continuous improvement has been recorded</w:t>
      </w:r>
    </w:p>
    <w:p w14:paraId="1E0F4BE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DEFC4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480640A"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E47CE" w14:paraId="414194B4" w14:textId="77777777">
        <w:tc>
          <w:tcPr>
            <w:tcW w:w="0" w:type="auto"/>
          </w:tcPr>
          <w:p w14:paraId="0C8ABB5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BF29BA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54A1C7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F51B" w14:textId="77777777" w:rsidR="00F72D27" w:rsidRDefault="00F72D27">
      <w:r>
        <w:separator/>
      </w:r>
    </w:p>
  </w:endnote>
  <w:endnote w:type="continuationSeparator" w:id="0">
    <w:p w14:paraId="389C7E0E" w14:textId="77777777" w:rsidR="00F72D27" w:rsidRDefault="00F7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14F6" w14:textId="77777777" w:rsidR="00000000" w:rsidRDefault="00000000">
    <w:pPr>
      <w:pStyle w:val="Footer"/>
    </w:pPr>
  </w:p>
  <w:p w14:paraId="11C3DAC4" w14:textId="77777777" w:rsidR="00000000" w:rsidRDefault="00000000"/>
  <w:p w14:paraId="21AC49E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5C2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Burlington Village Limited - Burlington Village</w:t>
    </w:r>
    <w:bookmarkEnd w:id="59"/>
    <w:r>
      <w:rPr>
        <w:rFonts w:cs="Arial"/>
        <w:sz w:val="16"/>
        <w:szCs w:val="20"/>
      </w:rPr>
      <w:tab/>
      <w:t xml:space="preserve">Date of Audit: </w:t>
    </w:r>
    <w:bookmarkStart w:id="60" w:name="AuditStartDate1"/>
    <w:r>
      <w:rPr>
        <w:rFonts w:cs="Arial"/>
        <w:sz w:val="16"/>
        <w:szCs w:val="20"/>
      </w:rPr>
      <w:t>28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CEB6D9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199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589F" w14:textId="77777777" w:rsidR="00F72D27" w:rsidRDefault="00F72D27">
      <w:r>
        <w:separator/>
      </w:r>
    </w:p>
  </w:footnote>
  <w:footnote w:type="continuationSeparator" w:id="0">
    <w:p w14:paraId="534710C8" w14:textId="77777777" w:rsidR="00F72D27" w:rsidRDefault="00F7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BD78" w14:textId="77777777" w:rsidR="00000000" w:rsidRDefault="00000000">
    <w:pPr>
      <w:pStyle w:val="Header"/>
    </w:pPr>
  </w:p>
  <w:p w14:paraId="7096727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96AB" w14:textId="77777777" w:rsidR="00000000" w:rsidRDefault="00000000">
    <w:pPr>
      <w:pStyle w:val="Header"/>
    </w:pPr>
  </w:p>
  <w:p w14:paraId="75B50B1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E3D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CE60A18">
      <w:start w:val="1"/>
      <w:numFmt w:val="decimal"/>
      <w:lvlText w:val="%1."/>
      <w:lvlJc w:val="left"/>
      <w:pPr>
        <w:ind w:left="360" w:hanging="360"/>
      </w:pPr>
    </w:lvl>
    <w:lvl w:ilvl="1" w:tplc="BD5022B0" w:tentative="1">
      <w:start w:val="1"/>
      <w:numFmt w:val="lowerLetter"/>
      <w:lvlText w:val="%2."/>
      <w:lvlJc w:val="left"/>
      <w:pPr>
        <w:ind w:left="1080" w:hanging="360"/>
      </w:pPr>
    </w:lvl>
    <w:lvl w:ilvl="2" w:tplc="2DE4CFEC" w:tentative="1">
      <w:start w:val="1"/>
      <w:numFmt w:val="lowerRoman"/>
      <w:lvlText w:val="%3."/>
      <w:lvlJc w:val="right"/>
      <w:pPr>
        <w:ind w:left="1800" w:hanging="180"/>
      </w:pPr>
    </w:lvl>
    <w:lvl w:ilvl="3" w:tplc="20129FEE" w:tentative="1">
      <w:start w:val="1"/>
      <w:numFmt w:val="decimal"/>
      <w:lvlText w:val="%4."/>
      <w:lvlJc w:val="left"/>
      <w:pPr>
        <w:ind w:left="2520" w:hanging="360"/>
      </w:pPr>
    </w:lvl>
    <w:lvl w:ilvl="4" w:tplc="05060864" w:tentative="1">
      <w:start w:val="1"/>
      <w:numFmt w:val="lowerLetter"/>
      <w:lvlText w:val="%5."/>
      <w:lvlJc w:val="left"/>
      <w:pPr>
        <w:ind w:left="3240" w:hanging="360"/>
      </w:pPr>
    </w:lvl>
    <w:lvl w:ilvl="5" w:tplc="3DD4498A" w:tentative="1">
      <w:start w:val="1"/>
      <w:numFmt w:val="lowerRoman"/>
      <w:lvlText w:val="%6."/>
      <w:lvlJc w:val="right"/>
      <w:pPr>
        <w:ind w:left="3960" w:hanging="180"/>
      </w:pPr>
    </w:lvl>
    <w:lvl w:ilvl="6" w:tplc="861449F0" w:tentative="1">
      <w:start w:val="1"/>
      <w:numFmt w:val="decimal"/>
      <w:lvlText w:val="%7."/>
      <w:lvlJc w:val="left"/>
      <w:pPr>
        <w:ind w:left="4680" w:hanging="360"/>
      </w:pPr>
    </w:lvl>
    <w:lvl w:ilvl="7" w:tplc="EB4E8C66" w:tentative="1">
      <w:start w:val="1"/>
      <w:numFmt w:val="lowerLetter"/>
      <w:lvlText w:val="%8."/>
      <w:lvlJc w:val="left"/>
      <w:pPr>
        <w:ind w:left="5400" w:hanging="360"/>
      </w:pPr>
    </w:lvl>
    <w:lvl w:ilvl="8" w:tplc="C102E18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29AFABA">
      <w:start w:val="1"/>
      <w:numFmt w:val="bullet"/>
      <w:lvlText w:val=""/>
      <w:lvlJc w:val="left"/>
      <w:pPr>
        <w:ind w:left="720" w:hanging="360"/>
      </w:pPr>
      <w:rPr>
        <w:rFonts w:ascii="Symbol" w:hAnsi="Symbol" w:hint="default"/>
      </w:rPr>
    </w:lvl>
    <w:lvl w:ilvl="1" w:tplc="57C6E368" w:tentative="1">
      <w:start w:val="1"/>
      <w:numFmt w:val="bullet"/>
      <w:lvlText w:val="o"/>
      <w:lvlJc w:val="left"/>
      <w:pPr>
        <w:ind w:left="1440" w:hanging="360"/>
      </w:pPr>
      <w:rPr>
        <w:rFonts w:ascii="Courier New" w:hAnsi="Courier New" w:cs="Courier New" w:hint="default"/>
      </w:rPr>
    </w:lvl>
    <w:lvl w:ilvl="2" w:tplc="BFD25356" w:tentative="1">
      <w:start w:val="1"/>
      <w:numFmt w:val="bullet"/>
      <w:lvlText w:val=""/>
      <w:lvlJc w:val="left"/>
      <w:pPr>
        <w:ind w:left="2160" w:hanging="360"/>
      </w:pPr>
      <w:rPr>
        <w:rFonts w:ascii="Wingdings" w:hAnsi="Wingdings" w:hint="default"/>
      </w:rPr>
    </w:lvl>
    <w:lvl w:ilvl="3" w:tplc="97A0800E" w:tentative="1">
      <w:start w:val="1"/>
      <w:numFmt w:val="bullet"/>
      <w:lvlText w:val=""/>
      <w:lvlJc w:val="left"/>
      <w:pPr>
        <w:ind w:left="2880" w:hanging="360"/>
      </w:pPr>
      <w:rPr>
        <w:rFonts w:ascii="Symbol" w:hAnsi="Symbol" w:hint="default"/>
      </w:rPr>
    </w:lvl>
    <w:lvl w:ilvl="4" w:tplc="0BCCEAE8" w:tentative="1">
      <w:start w:val="1"/>
      <w:numFmt w:val="bullet"/>
      <w:lvlText w:val="o"/>
      <w:lvlJc w:val="left"/>
      <w:pPr>
        <w:ind w:left="3600" w:hanging="360"/>
      </w:pPr>
      <w:rPr>
        <w:rFonts w:ascii="Courier New" w:hAnsi="Courier New" w:cs="Courier New" w:hint="default"/>
      </w:rPr>
    </w:lvl>
    <w:lvl w:ilvl="5" w:tplc="8F261392" w:tentative="1">
      <w:start w:val="1"/>
      <w:numFmt w:val="bullet"/>
      <w:lvlText w:val=""/>
      <w:lvlJc w:val="left"/>
      <w:pPr>
        <w:ind w:left="4320" w:hanging="360"/>
      </w:pPr>
      <w:rPr>
        <w:rFonts w:ascii="Wingdings" w:hAnsi="Wingdings" w:hint="default"/>
      </w:rPr>
    </w:lvl>
    <w:lvl w:ilvl="6" w:tplc="4464043C" w:tentative="1">
      <w:start w:val="1"/>
      <w:numFmt w:val="bullet"/>
      <w:lvlText w:val=""/>
      <w:lvlJc w:val="left"/>
      <w:pPr>
        <w:ind w:left="5040" w:hanging="360"/>
      </w:pPr>
      <w:rPr>
        <w:rFonts w:ascii="Symbol" w:hAnsi="Symbol" w:hint="default"/>
      </w:rPr>
    </w:lvl>
    <w:lvl w:ilvl="7" w:tplc="C7EC2946" w:tentative="1">
      <w:start w:val="1"/>
      <w:numFmt w:val="bullet"/>
      <w:lvlText w:val="o"/>
      <w:lvlJc w:val="left"/>
      <w:pPr>
        <w:ind w:left="5760" w:hanging="360"/>
      </w:pPr>
      <w:rPr>
        <w:rFonts w:ascii="Courier New" w:hAnsi="Courier New" w:cs="Courier New" w:hint="default"/>
      </w:rPr>
    </w:lvl>
    <w:lvl w:ilvl="8" w:tplc="BBB47508" w:tentative="1">
      <w:start w:val="1"/>
      <w:numFmt w:val="bullet"/>
      <w:lvlText w:val=""/>
      <w:lvlJc w:val="left"/>
      <w:pPr>
        <w:ind w:left="6480" w:hanging="360"/>
      </w:pPr>
      <w:rPr>
        <w:rFonts w:ascii="Wingdings" w:hAnsi="Wingdings" w:hint="default"/>
      </w:rPr>
    </w:lvl>
  </w:abstractNum>
  <w:num w:numId="1" w16cid:durableId="926231975">
    <w:abstractNumId w:val="1"/>
  </w:num>
  <w:num w:numId="2" w16cid:durableId="191307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CE"/>
    <w:rsid w:val="00A1622A"/>
    <w:rsid w:val="00C75DA6"/>
    <w:rsid w:val="00CA5912"/>
    <w:rsid w:val="00EE47CE"/>
    <w:rsid w:val="00F72D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9D81"/>
  <w15:docId w15:val="{88DD3784-10E0-46B3-A01D-E6ECE338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7840</Words>
  <Characters>44691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2025-10-30T01:00:00Z</dcterms:created>
  <dcterms:modified xsi:type="dcterms:W3CDTF">2025-10-30T01:02:00Z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