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5089" w14:textId="77777777" w:rsidR="00000000" w:rsidRDefault="00000000">
      <w:pPr>
        <w:pStyle w:val="Heading1"/>
        <w:rPr>
          <w:rFonts w:cs="Arial"/>
        </w:rPr>
      </w:pPr>
      <w:bookmarkStart w:id="0" w:name="PRMS_RIName"/>
      <w:r>
        <w:rPr>
          <w:rFonts w:cs="Arial"/>
        </w:rPr>
        <w:t>Oceania Care Company Limited - The Oaks Rest Home and Village</w:t>
      </w:r>
      <w:bookmarkEnd w:id="0"/>
    </w:p>
    <w:p w14:paraId="363E6147" w14:textId="77777777" w:rsidR="00000000" w:rsidRDefault="00000000">
      <w:pPr>
        <w:pStyle w:val="Heading2"/>
        <w:spacing w:after="0"/>
        <w:rPr>
          <w:rFonts w:cs="Arial"/>
        </w:rPr>
      </w:pPr>
      <w:r>
        <w:rPr>
          <w:rFonts w:cs="Arial"/>
        </w:rPr>
        <w:t>Introduction</w:t>
      </w:r>
    </w:p>
    <w:p w14:paraId="1226A9E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50EF6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BFD8FF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881A0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5BFDD2" w14:textId="77777777" w:rsidR="00000000" w:rsidRDefault="00000000">
      <w:pPr>
        <w:spacing w:before="240" w:after="240"/>
        <w:rPr>
          <w:rFonts w:cs="Arial"/>
          <w:lang w:eastAsia="en-NZ"/>
        </w:rPr>
      </w:pPr>
      <w:r>
        <w:rPr>
          <w:rFonts w:cs="Arial"/>
          <w:lang w:eastAsia="en-NZ"/>
        </w:rPr>
        <w:t>The specifics of this audit included:</w:t>
      </w:r>
    </w:p>
    <w:p w14:paraId="65255BC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53F7A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F458E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Oaks Rest Home and Village</w:t>
      </w:r>
      <w:bookmarkEnd w:id="5"/>
    </w:p>
    <w:p w14:paraId="3A8B2D8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5EF8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September 2025</w:t>
      </w:r>
      <w:bookmarkEnd w:id="7"/>
      <w:r w:rsidRPr="009418D4">
        <w:rPr>
          <w:rFonts w:cs="Arial"/>
        </w:rPr>
        <w:tab/>
        <w:t xml:space="preserve">End date: </w:t>
      </w:r>
      <w:bookmarkStart w:id="8" w:name="AuditEndDate"/>
      <w:r>
        <w:rPr>
          <w:rFonts w:cs="Arial"/>
        </w:rPr>
        <w:t>10 September 2025</w:t>
      </w:r>
      <w:bookmarkEnd w:id="8"/>
    </w:p>
    <w:p w14:paraId="3E78B92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86324B8" w14:textId="77777777" w:rsidR="00801D1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4E8478B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B18D8F4" w14:textId="77777777" w:rsidR="00000000" w:rsidRDefault="00000000">
      <w:pPr>
        <w:pStyle w:val="Heading1"/>
        <w:rPr>
          <w:rFonts w:cs="Arial"/>
        </w:rPr>
      </w:pPr>
      <w:r>
        <w:rPr>
          <w:rFonts w:cs="Arial"/>
        </w:rPr>
        <w:lastRenderedPageBreak/>
        <w:t>Executive summary of the audit</w:t>
      </w:r>
    </w:p>
    <w:p w14:paraId="1347F0DE" w14:textId="77777777" w:rsidR="00000000" w:rsidRDefault="00000000">
      <w:pPr>
        <w:pStyle w:val="Heading2"/>
        <w:rPr>
          <w:rFonts w:cs="Arial"/>
        </w:rPr>
      </w:pPr>
      <w:r>
        <w:rPr>
          <w:rFonts w:cs="Arial"/>
        </w:rPr>
        <w:t>Introduction</w:t>
      </w:r>
    </w:p>
    <w:p w14:paraId="49F0418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10E997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21E6E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A538F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88722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35333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FB67C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CCA34E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45C97C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01D17" w14:paraId="2F2824A6" w14:textId="77777777">
        <w:trPr>
          <w:cantSplit/>
          <w:tblHeader/>
        </w:trPr>
        <w:tc>
          <w:tcPr>
            <w:tcW w:w="1260" w:type="dxa"/>
            <w:tcBorders>
              <w:bottom w:val="single" w:sz="4" w:space="0" w:color="000000"/>
            </w:tcBorders>
            <w:vAlign w:val="center"/>
          </w:tcPr>
          <w:p w14:paraId="3F376B8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C26249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E5788CD" w14:textId="77777777" w:rsidR="00000000" w:rsidRDefault="00000000">
            <w:pPr>
              <w:spacing w:before="60" w:after="60"/>
              <w:rPr>
                <w:rFonts w:eastAsia="Calibri"/>
                <w:b/>
                <w:szCs w:val="24"/>
              </w:rPr>
            </w:pPr>
            <w:r>
              <w:rPr>
                <w:rFonts w:eastAsia="Calibri"/>
                <w:b/>
                <w:szCs w:val="24"/>
              </w:rPr>
              <w:t>Definition</w:t>
            </w:r>
          </w:p>
        </w:tc>
      </w:tr>
      <w:tr w:rsidR="00801D17" w14:paraId="48A92D7E" w14:textId="77777777">
        <w:trPr>
          <w:cantSplit/>
          <w:trHeight w:val="964"/>
        </w:trPr>
        <w:tc>
          <w:tcPr>
            <w:tcW w:w="1260" w:type="dxa"/>
            <w:tcBorders>
              <w:bottom w:val="single" w:sz="4" w:space="0" w:color="000000"/>
            </w:tcBorders>
            <w:shd w:val="clear" w:color="0066FF" w:fill="0000FF"/>
            <w:vAlign w:val="center"/>
          </w:tcPr>
          <w:p w14:paraId="3212B7A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1CD9E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4E0A1B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01D17" w14:paraId="4C39DC82" w14:textId="77777777">
        <w:trPr>
          <w:cantSplit/>
          <w:trHeight w:val="964"/>
        </w:trPr>
        <w:tc>
          <w:tcPr>
            <w:tcW w:w="1260" w:type="dxa"/>
            <w:shd w:val="clear" w:color="33CC33" w:fill="00FF00"/>
            <w:vAlign w:val="center"/>
          </w:tcPr>
          <w:p w14:paraId="1D431B35" w14:textId="77777777" w:rsidR="00000000" w:rsidRDefault="00000000">
            <w:pPr>
              <w:spacing w:before="60" w:after="60"/>
              <w:rPr>
                <w:rFonts w:eastAsia="Calibri"/>
                <w:szCs w:val="24"/>
              </w:rPr>
            </w:pPr>
          </w:p>
        </w:tc>
        <w:tc>
          <w:tcPr>
            <w:tcW w:w="7095" w:type="dxa"/>
            <w:shd w:val="clear" w:color="auto" w:fill="auto"/>
            <w:vAlign w:val="center"/>
          </w:tcPr>
          <w:p w14:paraId="3277915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0F0B8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01D17" w14:paraId="34B0C298" w14:textId="77777777">
        <w:trPr>
          <w:cantSplit/>
          <w:trHeight w:val="964"/>
        </w:trPr>
        <w:tc>
          <w:tcPr>
            <w:tcW w:w="1260" w:type="dxa"/>
            <w:tcBorders>
              <w:bottom w:val="single" w:sz="4" w:space="0" w:color="000000"/>
            </w:tcBorders>
            <w:shd w:val="clear" w:color="auto" w:fill="FFFF00"/>
            <w:vAlign w:val="center"/>
          </w:tcPr>
          <w:p w14:paraId="62CD5658" w14:textId="77777777" w:rsidR="00000000" w:rsidRDefault="00000000">
            <w:pPr>
              <w:spacing w:before="60" w:after="60"/>
              <w:rPr>
                <w:rFonts w:eastAsia="Calibri"/>
                <w:szCs w:val="24"/>
              </w:rPr>
            </w:pPr>
          </w:p>
        </w:tc>
        <w:tc>
          <w:tcPr>
            <w:tcW w:w="7095" w:type="dxa"/>
            <w:shd w:val="clear" w:color="auto" w:fill="auto"/>
            <w:vAlign w:val="center"/>
          </w:tcPr>
          <w:p w14:paraId="7A76561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8D2A92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01D17" w14:paraId="59625033" w14:textId="77777777">
        <w:trPr>
          <w:cantSplit/>
          <w:trHeight w:val="964"/>
        </w:trPr>
        <w:tc>
          <w:tcPr>
            <w:tcW w:w="1260" w:type="dxa"/>
            <w:tcBorders>
              <w:bottom w:val="single" w:sz="4" w:space="0" w:color="000000"/>
            </w:tcBorders>
            <w:shd w:val="clear" w:color="auto" w:fill="FFC800"/>
            <w:vAlign w:val="center"/>
          </w:tcPr>
          <w:p w14:paraId="7C26113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70511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E2AF0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01D17" w14:paraId="1FE36D19" w14:textId="77777777">
        <w:trPr>
          <w:cantSplit/>
          <w:trHeight w:val="964"/>
        </w:trPr>
        <w:tc>
          <w:tcPr>
            <w:tcW w:w="1260" w:type="dxa"/>
            <w:shd w:val="clear" w:color="auto" w:fill="FF0000"/>
            <w:vAlign w:val="center"/>
          </w:tcPr>
          <w:p w14:paraId="2BABA3A6" w14:textId="77777777" w:rsidR="00000000" w:rsidRDefault="00000000">
            <w:pPr>
              <w:spacing w:before="60" w:after="60"/>
              <w:rPr>
                <w:rFonts w:eastAsia="Calibri"/>
                <w:szCs w:val="24"/>
              </w:rPr>
            </w:pPr>
          </w:p>
        </w:tc>
        <w:tc>
          <w:tcPr>
            <w:tcW w:w="7095" w:type="dxa"/>
            <w:shd w:val="clear" w:color="auto" w:fill="auto"/>
            <w:vAlign w:val="center"/>
          </w:tcPr>
          <w:p w14:paraId="72B1D91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E233A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2DD281A" w14:textId="77777777" w:rsidR="00000000" w:rsidRDefault="00000000">
      <w:pPr>
        <w:pStyle w:val="Heading2"/>
        <w:spacing w:after="0"/>
        <w:rPr>
          <w:rFonts w:cs="Arial"/>
        </w:rPr>
      </w:pPr>
      <w:r>
        <w:rPr>
          <w:rFonts w:cs="Arial"/>
        </w:rPr>
        <w:t>General overview of the audit</w:t>
      </w:r>
    </w:p>
    <w:p w14:paraId="29586D5A" w14:textId="77777777" w:rsidR="00000000" w:rsidRDefault="00000000">
      <w:pPr>
        <w:spacing w:before="240" w:line="276" w:lineRule="auto"/>
        <w:rPr>
          <w:rFonts w:eastAsia="Calibri"/>
        </w:rPr>
      </w:pPr>
      <w:bookmarkStart w:id="13" w:name="GeneralOverview"/>
      <w:r w:rsidRPr="00A4268A">
        <w:rPr>
          <w:rFonts w:eastAsia="Calibri"/>
        </w:rPr>
        <w:t>The Oaks Rest Home and Village (The Oaks) is part of Oceania Healthcare Limited. The facility provides services for up to 107 residents requiring rest home or hospital levels of care. No changes have been made to the services provided since the last audit. A new Business and Care Home manager was appointed at the beginning of September 2025 and will share responsibility for The Oaks with another Oceania facility; they are supported by a clinical manager, and both have experience in the aged care sector. There were 96 residents in the facility on the first day of the audit; this included 27 residents admitted in August 2025 from a nearby facility that was closing.</w:t>
      </w:r>
    </w:p>
    <w:p w14:paraId="4067CB92" w14:textId="77777777" w:rsidR="00801D17" w:rsidRPr="00A4268A" w:rsidRDefault="00000000">
      <w:pPr>
        <w:spacing w:before="240" w:line="276" w:lineRule="auto"/>
        <w:rPr>
          <w:rFonts w:eastAsia="Calibri"/>
        </w:rPr>
      </w:pPr>
      <w:r w:rsidRPr="00A4268A">
        <w:rPr>
          <w:rFonts w:eastAsia="Calibri"/>
        </w:rPr>
        <w:t>This certification audit process was conducted against Ngā Paerewa Health and Disability Services Standard (NZS 8134:2021) and the contracts the service holds with Te Whatu Ora – Health New Zealand (Te Whatu Ora). It included review of policies and procedures, review of residents’ and staff files, observations, and interviews with residents and whānau, Oceania regional management, governance representatives, staff, and a nurse practitioner. Residents and whānau were complimentary about the care provided.</w:t>
      </w:r>
    </w:p>
    <w:p w14:paraId="68F96A84" w14:textId="77777777" w:rsidR="00801D17" w:rsidRPr="00A4268A" w:rsidRDefault="00000000">
      <w:pPr>
        <w:spacing w:before="240" w:line="276" w:lineRule="auto"/>
        <w:rPr>
          <w:rFonts w:eastAsia="Calibri"/>
        </w:rPr>
      </w:pPr>
      <w:r w:rsidRPr="00A4268A">
        <w:rPr>
          <w:rFonts w:eastAsia="Calibri"/>
        </w:rPr>
        <w:t>No areas for improvement were identified during this audit.</w:t>
      </w:r>
    </w:p>
    <w:bookmarkEnd w:id="13"/>
    <w:p w14:paraId="437838EC" w14:textId="77777777" w:rsidR="00801D17" w:rsidRPr="00A4268A" w:rsidRDefault="00801D17">
      <w:pPr>
        <w:spacing w:before="240" w:line="276" w:lineRule="auto"/>
        <w:rPr>
          <w:rFonts w:eastAsia="Calibri"/>
        </w:rPr>
      </w:pPr>
    </w:p>
    <w:p w14:paraId="762C8FF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544272D4" w14:textId="77777777" w:rsidTr="00A4268A">
        <w:trPr>
          <w:cantSplit/>
        </w:trPr>
        <w:tc>
          <w:tcPr>
            <w:tcW w:w="10206" w:type="dxa"/>
            <w:vAlign w:val="center"/>
          </w:tcPr>
          <w:p w14:paraId="269B2B6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DDDFD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E0525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C4497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43C15BF" w14:textId="77777777" w:rsidR="00000000" w:rsidRDefault="00000000">
      <w:pPr>
        <w:spacing w:before="240" w:line="276" w:lineRule="auto"/>
        <w:rPr>
          <w:rFonts w:eastAsia="Calibri"/>
        </w:rPr>
      </w:pPr>
      <w:bookmarkStart w:id="16" w:name="ConsumerRights"/>
      <w:r w:rsidRPr="00A4268A">
        <w:rPr>
          <w:rFonts w:eastAsia="Calibri"/>
        </w:rPr>
        <w:t>Oceania has a Māori and Pacific Peoples Health Policy in place. The policy outlines Oceania’s commitment to Te Tiriti o Waitangi and Te Whare Tapa Whā model of care. The Oaks Rest Home and Village works collaboratively to support and encourage a Māori world view of health should any residents identify as Māori. Processes are in place to ensure services are provided with equitable and effective services based on Te Tiriti o Waitangi and the principles of mana motuhake. The audit opened and closed with a karakia.</w:t>
      </w:r>
    </w:p>
    <w:p w14:paraId="601AF4FC" w14:textId="77777777" w:rsidR="00801D17" w:rsidRPr="00A4268A" w:rsidRDefault="00000000">
      <w:pPr>
        <w:spacing w:before="240" w:line="276" w:lineRule="auto"/>
        <w:rPr>
          <w:rFonts w:eastAsia="Calibri"/>
        </w:rPr>
      </w:pPr>
      <w:r w:rsidRPr="00A4268A">
        <w:rPr>
          <w:rFonts w:eastAsia="Calibri"/>
        </w:rPr>
        <w:t xml:space="preserve">Pacific peoples will be provided with services that recognise their worldviews and are culturally safe.  </w:t>
      </w:r>
    </w:p>
    <w:p w14:paraId="05355505" w14:textId="77777777" w:rsidR="00801D17"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 </w:t>
      </w:r>
    </w:p>
    <w:p w14:paraId="6A0B62C0" w14:textId="77777777" w:rsidR="00801D17"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51D859F5" w14:textId="77777777" w:rsidR="00801D17"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73FFEFA8" w14:textId="77777777" w:rsidR="00801D17" w:rsidRPr="00A4268A" w:rsidRDefault="00801D17">
      <w:pPr>
        <w:spacing w:before="240" w:line="276" w:lineRule="auto"/>
        <w:rPr>
          <w:rFonts w:eastAsia="Calibri"/>
        </w:rPr>
      </w:pPr>
    </w:p>
    <w:p w14:paraId="3C99F03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4E7EEAEB" w14:textId="77777777" w:rsidTr="00A4268A">
        <w:trPr>
          <w:cantSplit/>
        </w:trPr>
        <w:tc>
          <w:tcPr>
            <w:tcW w:w="10206" w:type="dxa"/>
            <w:vAlign w:val="center"/>
          </w:tcPr>
          <w:p w14:paraId="78A0AB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6D5634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34D7B4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60725F1" w14:textId="77777777" w:rsidR="00000000" w:rsidRDefault="00000000">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The Oaks. Consultation with Māori is occurring at governance level, honouring Te Tiriti o Waitangi, and reducing barriers to improve outcomes for Māori and tāngata whaikaha.</w:t>
      </w:r>
    </w:p>
    <w:p w14:paraId="0B4786F7" w14:textId="77777777" w:rsidR="00801D17"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the facility are defined. Suitably qualified and experienced people manage the service. Ongoing monitoring of business, health and safety, and clinical services is occurring, with regular reviews according to predetermined schedules.</w:t>
      </w:r>
    </w:p>
    <w:p w14:paraId="5211614F" w14:textId="77777777" w:rsidR="00801D17" w:rsidRPr="00A4268A" w:rsidRDefault="00000000">
      <w:pPr>
        <w:spacing w:before="240" w:line="276" w:lineRule="auto"/>
        <w:rPr>
          <w:rFonts w:eastAsia="Calibri"/>
        </w:rPr>
      </w:pPr>
      <w:r w:rsidRPr="00A4268A">
        <w:rPr>
          <w:rFonts w:eastAsia="Calibri"/>
        </w:rPr>
        <w:t>Well-established quality and risk management systems are focused on improving service delivery and care outcomes. Residents and whānau provide regular feedback, and staff are involved in quality activities. Actual and potential risks are identified and mitigated.</w:t>
      </w:r>
    </w:p>
    <w:p w14:paraId="7FCEFAA6" w14:textId="77777777" w:rsidR="00801D17" w:rsidRPr="00A4268A" w:rsidRDefault="00000000">
      <w:pPr>
        <w:spacing w:before="240" w:line="276" w:lineRule="auto"/>
        <w:rPr>
          <w:rFonts w:eastAsia="Calibri"/>
        </w:rPr>
      </w:pPr>
      <w:r w:rsidRPr="00A4268A">
        <w:rPr>
          <w:rFonts w:eastAsia="Calibri"/>
        </w:rPr>
        <w:t>The National Adverse Events Policy is followed, with corrective actions supporting systems learnings. The service complies with statutory and regulatory reporting obligations.</w:t>
      </w:r>
    </w:p>
    <w:p w14:paraId="4272A22C" w14:textId="77777777" w:rsidR="00801D17" w:rsidRPr="00A4268A" w:rsidRDefault="00000000">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with data benchmarked to other Oceania facilities nationwide.</w:t>
      </w:r>
    </w:p>
    <w:p w14:paraId="42C4532B" w14:textId="77777777" w:rsidR="00801D17" w:rsidRPr="00A4268A" w:rsidRDefault="00000000">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are assessed. Care staff have access to New Zealand Qualifications Authority (NZQA) approved health and wellbeing courses.</w:t>
      </w:r>
    </w:p>
    <w:p w14:paraId="00B762A8" w14:textId="77777777" w:rsidR="00801D17"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165065D4" w14:textId="77777777" w:rsidR="00801D17" w:rsidRPr="00A4268A" w:rsidRDefault="00801D17">
      <w:pPr>
        <w:spacing w:before="240" w:line="276" w:lineRule="auto"/>
        <w:rPr>
          <w:rFonts w:eastAsia="Calibri"/>
        </w:rPr>
      </w:pPr>
    </w:p>
    <w:p w14:paraId="255F429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12315C5F" w14:textId="77777777" w:rsidTr="00A4268A">
        <w:trPr>
          <w:cantSplit/>
        </w:trPr>
        <w:tc>
          <w:tcPr>
            <w:tcW w:w="10206" w:type="dxa"/>
            <w:vAlign w:val="center"/>
          </w:tcPr>
          <w:p w14:paraId="528A989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A0DF45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62ED2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AB1629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residents enter the service, a person-centred and whānau-centred approach is adopted. Relevant information is provided to the potential resident and whānau.   </w:t>
      </w:r>
    </w:p>
    <w:p w14:paraId="521FBF33" w14:textId="77777777" w:rsidR="00801D17" w:rsidRPr="00A4268A" w:rsidRDefault="00000000" w:rsidP="00621629">
      <w:pPr>
        <w:spacing w:before="240" w:line="276" w:lineRule="auto"/>
        <w:rPr>
          <w:rFonts w:eastAsia="Calibri"/>
        </w:rPr>
      </w:pPr>
      <w:r w:rsidRPr="00A4268A">
        <w:rPr>
          <w:rFonts w:eastAsia="Calibri"/>
        </w:rPr>
        <w:t xml:space="preserve">The Oaks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6F6F5E6" w14:textId="77777777" w:rsidR="00801D17" w:rsidRPr="00A4268A" w:rsidRDefault="00000000" w:rsidP="00621629">
      <w:pPr>
        <w:spacing w:before="240" w:line="276" w:lineRule="auto"/>
        <w:rPr>
          <w:rFonts w:eastAsia="Calibri"/>
        </w:rPr>
      </w:pPr>
      <w:r w:rsidRPr="00A4268A">
        <w:rPr>
          <w:rFonts w:eastAsia="Calibri"/>
        </w:rPr>
        <w:t xml:space="preserve">Residents are supported to maintain and develop their interests and participate in meaningful community and social activities suitable to their age and stage of life. </w:t>
      </w:r>
    </w:p>
    <w:p w14:paraId="6B444162" w14:textId="77777777" w:rsidR="00801D17"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48D3BB9" w14:textId="77777777" w:rsidR="00801D17"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2938EA12" w14:textId="77777777" w:rsidR="00801D17"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778816B" w14:textId="77777777" w:rsidR="00801D17" w:rsidRPr="00A4268A" w:rsidRDefault="00801D17" w:rsidP="00621629">
      <w:pPr>
        <w:spacing w:before="240" w:line="276" w:lineRule="auto"/>
        <w:rPr>
          <w:rFonts w:eastAsia="Calibri"/>
        </w:rPr>
      </w:pPr>
    </w:p>
    <w:p w14:paraId="3509A74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4A59C9FE" w14:textId="77777777" w:rsidTr="00A4268A">
        <w:trPr>
          <w:cantSplit/>
        </w:trPr>
        <w:tc>
          <w:tcPr>
            <w:tcW w:w="10206" w:type="dxa"/>
            <w:vAlign w:val="center"/>
          </w:tcPr>
          <w:p w14:paraId="4E6364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624986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4F8080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1A6E4FF"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maintained. There is a current building warrant of fitness. Electrical and biomedical equipment have been checked and assessed as required. Internal and external areas are accessible and safe, and external areas have shade and seating provided and meet the needs of tāngata whaikaha.</w:t>
      </w:r>
    </w:p>
    <w:p w14:paraId="2AABEEAB" w14:textId="77777777" w:rsidR="00801D17"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20EFDC7B" w14:textId="77777777" w:rsidR="00801D17" w:rsidRPr="00A4268A" w:rsidRDefault="00801D17">
      <w:pPr>
        <w:spacing w:before="240" w:line="276" w:lineRule="auto"/>
        <w:rPr>
          <w:rFonts w:eastAsia="Calibri"/>
        </w:rPr>
      </w:pPr>
    </w:p>
    <w:p w14:paraId="2CEA23A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170DD013" w14:textId="77777777" w:rsidTr="00A4268A">
        <w:trPr>
          <w:cantSplit/>
        </w:trPr>
        <w:tc>
          <w:tcPr>
            <w:tcW w:w="10206" w:type="dxa"/>
            <w:vAlign w:val="center"/>
          </w:tcPr>
          <w:p w14:paraId="2D6707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495A6A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28749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F42F1D" w14:textId="77777777" w:rsidR="00000000" w:rsidRDefault="00000000">
      <w:pPr>
        <w:spacing w:before="240" w:line="276" w:lineRule="auto"/>
        <w:rPr>
          <w:rFonts w:eastAsia="Calibri"/>
        </w:rPr>
      </w:pPr>
      <w:bookmarkStart w:id="28" w:name="RestraintMinimisationAndSafePractice"/>
      <w:r w:rsidRPr="00A4268A">
        <w:rPr>
          <w:rFonts w:eastAsia="Calibri"/>
        </w:rPr>
        <w:t>The Oceania clinical governance team oversees implementation of the infection prevention and control programme, which is linked to the quality management system. Annual reviews of the programme are reported to the governance board, as are any significant infection events.</w:t>
      </w:r>
    </w:p>
    <w:p w14:paraId="3DC02694" w14:textId="77777777" w:rsidR="00801D17" w:rsidRPr="00A4268A" w:rsidRDefault="00000000">
      <w:pPr>
        <w:spacing w:before="240" w:line="276" w:lineRule="auto"/>
        <w:rPr>
          <w:rFonts w:eastAsia="Calibri"/>
        </w:rPr>
      </w:pPr>
      <w:r w:rsidRPr="00A4268A">
        <w:rPr>
          <w:rFonts w:eastAsia="Calibri"/>
        </w:rPr>
        <w:t>The implemented infection prevention and antimicrobial stewardship programme is appropriate to the size and complexity of the service. It is adequately resourced. The infection control coordinator is a registered nurse who is involved in procurement processes, any facility changes, and processes related to decontamination of reusable devices.</w:t>
      </w:r>
    </w:p>
    <w:p w14:paraId="0F94DAB4" w14:textId="77777777" w:rsidR="00801D17"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5C96E42F" w14:textId="77777777" w:rsidR="00801D17" w:rsidRPr="00A4268A" w:rsidRDefault="00000000">
      <w:pPr>
        <w:spacing w:before="240" w:line="276" w:lineRule="auto"/>
        <w:rPr>
          <w:rFonts w:eastAsia="Calibri"/>
        </w:rPr>
      </w:pPr>
      <w:r w:rsidRPr="00A4268A">
        <w:rPr>
          <w:rFonts w:eastAsia="Calibri"/>
        </w:rPr>
        <w:lastRenderedPageBreak/>
        <w:t>Aged care-specific infection surveillance is undertaken, with follow-up action taken as required, and results shared with staff.</w:t>
      </w:r>
    </w:p>
    <w:p w14:paraId="23BCD324" w14:textId="77777777" w:rsidR="00801D17" w:rsidRPr="00A4268A" w:rsidRDefault="00000000">
      <w:pPr>
        <w:spacing w:before="240" w:line="276" w:lineRule="auto"/>
        <w:rPr>
          <w:rFonts w:eastAsia="Calibri"/>
        </w:rPr>
      </w:pPr>
      <w:r w:rsidRPr="00A4268A">
        <w:rPr>
          <w:rFonts w:eastAsia="Calibri"/>
        </w:rPr>
        <w:t>The environment supports both the prevention of infections and mitigation of their transmission. Waste and hazardous substances are well managed. There are safe and effective cleaning and laundry services.</w:t>
      </w:r>
    </w:p>
    <w:bookmarkEnd w:id="28"/>
    <w:p w14:paraId="1DFCCD6B" w14:textId="77777777" w:rsidR="00801D17" w:rsidRPr="00A4268A" w:rsidRDefault="00801D17">
      <w:pPr>
        <w:spacing w:before="240" w:line="276" w:lineRule="auto"/>
        <w:rPr>
          <w:rFonts w:eastAsia="Calibri"/>
        </w:rPr>
      </w:pPr>
    </w:p>
    <w:p w14:paraId="0661445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D17" w14:paraId="4F6FED28" w14:textId="77777777" w:rsidTr="00A4268A">
        <w:trPr>
          <w:cantSplit/>
        </w:trPr>
        <w:tc>
          <w:tcPr>
            <w:tcW w:w="10206" w:type="dxa"/>
            <w:vAlign w:val="center"/>
          </w:tcPr>
          <w:p w14:paraId="5C874F2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F3DEE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FBA76E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3E9F9B1"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a restraint at the time of audit. A comprehensive assessment, approval and monitoring process with regular reviews is in place should restraint use be required in the future. A suitably qualified restraint coordinator who is a registered nurse leads the process.</w:t>
      </w:r>
    </w:p>
    <w:p w14:paraId="121CACD5" w14:textId="77777777" w:rsidR="00801D17"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711F1D53" w14:textId="77777777" w:rsidR="00801D17" w:rsidRPr="00A4268A" w:rsidRDefault="00801D17">
      <w:pPr>
        <w:spacing w:before="240" w:line="276" w:lineRule="auto"/>
        <w:rPr>
          <w:rFonts w:eastAsia="Calibri"/>
        </w:rPr>
      </w:pPr>
    </w:p>
    <w:p w14:paraId="51B4F0F6" w14:textId="77777777" w:rsidR="00000000" w:rsidRDefault="00000000" w:rsidP="000E6E02">
      <w:pPr>
        <w:pStyle w:val="Heading2"/>
        <w:spacing w:before="0"/>
        <w:rPr>
          <w:rFonts w:cs="Arial"/>
        </w:rPr>
      </w:pPr>
      <w:r>
        <w:rPr>
          <w:rFonts w:cs="Arial"/>
        </w:rPr>
        <w:lastRenderedPageBreak/>
        <w:t>Summary of attainment</w:t>
      </w:r>
    </w:p>
    <w:p w14:paraId="258CF84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01D17" w14:paraId="7DC1CDA3" w14:textId="77777777">
        <w:tc>
          <w:tcPr>
            <w:tcW w:w="1384" w:type="dxa"/>
            <w:vAlign w:val="center"/>
          </w:tcPr>
          <w:p w14:paraId="2C1E107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8698590" w14:textId="77777777" w:rsidR="00000000" w:rsidRDefault="00000000">
            <w:pPr>
              <w:keepNext/>
              <w:spacing w:before="60" w:after="60"/>
              <w:jc w:val="center"/>
              <w:rPr>
                <w:rFonts w:cs="Arial"/>
                <w:b/>
                <w:sz w:val="20"/>
                <w:szCs w:val="20"/>
              </w:rPr>
            </w:pPr>
            <w:r>
              <w:rPr>
                <w:rFonts w:cs="Arial"/>
                <w:b/>
                <w:sz w:val="20"/>
                <w:szCs w:val="20"/>
              </w:rPr>
              <w:t>Continuous Improvement</w:t>
            </w:r>
          </w:p>
          <w:p w14:paraId="233595D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9C33419" w14:textId="77777777" w:rsidR="00000000" w:rsidRDefault="00000000">
            <w:pPr>
              <w:keepNext/>
              <w:spacing w:before="60" w:after="60"/>
              <w:jc w:val="center"/>
              <w:rPr>
                <w:rFonts w:cs="Arial"/>
                <w:b/>
                <w:sz w:val="20"/>
                <w:szCs w:val="20"/>
              </w:rPr>
            </w:pPr>
            <w:r>
              <w:rPr>
                <w:rFonts w:cs="Arial"/>
                <w:b/>
                <w:sz w:val="20"/>
                <w:szCs w:val="20"/>
              </w:rPr>
              <w:t>Fully Attained</w:t>
            </w:r>
          </w:p>
          <w:p w14:paraId="30B283B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B74CFA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4E823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DE68EA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FBCDF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718B42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C3091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A408C8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95CC4D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6F8D1E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299B502" w14:textId="77777777" w:rsidR="00000000" w:rsidRDefault="00000000">
            <w:pPr>
              <w:keepNext/>
              <w:spacing w:before="60" w:after="60"/>
              <w:jc w:val="center"/>
              <w:rPr>
                <w:rFonts w:cs="Arial"/>
                <w:b/>
                <w:sz w:val="20"/>
                <w:szCs w:val="20"/>
              </w:rPr>
            </w:pPr>
            <w:r>
              <w:rPr>
                <w:rFonts w:cs="Arial"/>
                <w:b/>
                <w:sz w:val="20"/>
                <w:szCs w:val="20"/>
              </w:rPr>
              <w:t>(PA Critical)</w:t>
            </w:r>
          </w:p>
        </w:tc>
      </w:tr>
      <w:tr w:rsidR="00801D17" w14:paraId="2FD407BE" w14:textId="77777777">
        <w:tc>
          <w:tcPr>
            <w:tcW w:w="1384" w:type="dxa"/>
            <w:vAlign w:val="center"/>
          </w:tcPr>
          <w:p w14:paraId="0EFAE41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0D4C8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3EA34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D0A9D6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4564B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0349FD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DE49DC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68678C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01D17" w14:paraId="3E112B15" w14:textId="77777777">
        <w:tc>
          <w:tcPr>
            <w:tcW w:w="1384" w:type="dxa"/>
            <w:vAlign w:val="center"/>
          </w:tcPr>
          <w:p w14:paraId="7439C64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777C1B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84E9CE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AE668E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53C3E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C90631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365D4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A4F9D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AEA23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01D17" w14:paraId="1E29000B" w14:textId="77777777">
        <w:tc>
          <w:tcPr>
            <w:tcW w:w="1384" w:type="dxa"/>
            <w:vAlign w:val="center"/>
          </w:tcPr>
          <w:p w14:paraId="4D91ECC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363F9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633BE1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A100745" w14:textId="77777777" w:rsidR="00000000" w:rsidRDefault="00000000">
            <w:pPr>
              <w:keepNext/>
              <w:spacing w:before="60" w:after="60"/>
              <w:jc w:val="center"/>
              <w:rPr>
                <w:rFonts w:cs="Arial"/>
                <w:b/>
                <w:sz w:val="20"/>
                <w:szCs w:val="20"/>
              </w:rPr>
            </w:pPr>
            <w:r>
              <w:rPr>
                <w:rFonts w:cs="Arial"/>
                <w:b/>
                <w:sz w:val="20"/>
                <w:szCs w:val="20"/>
              </w:rPr>
              <w:t>Unattained Low Risk</w:t>
            </w:r>
          </w:p>
          <w:p w14:paraId="43F39B2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3945D77" w14:textId="77777777" w:rsidR="00000000" w:rsidRDefault="00000000">
            <w:pPr>
              <w:keepNext/>
              <w:spacing w:before="60" w:after="60"/>
              <w:jc w:val="center"/>
              <w:rPr>
                <w:rFonts w:cs="Arial"/>
                <w:b/>
                <w:sz w:val="20"/>
                <w:szCs w:val="20"/>
              </w:rPr>
            </w:pPr>
            <w:r>
              <w:rPr>
                <w:rFonts w:cs="Arial"/>
                <w:b/>
                <w:sz w:val="20"/>
                <w:szCs w:val="20"/>
              </w:rPr>
              <w:t>Unattained Moderate Risk</w:t>
            </w:r>
          </w:p>
          <w:p w14:paraId="1DD29BD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3B03E86" w14:textId="77777777" w:rsidR="00000000" w:rsidRDefault="00000000">
            <w:pPr>
              <w:keepNext/>
              <w:spacing w:before="60" w:after="60"/>
              <w:jc w:val="center"/>
              <w:rPr>
                <w:rFonts w:cs="Arial"/>
                <w:b/>
                <w:sz w:val="20"/>
                <w:szCs w:val="20"/>
              </w:rPr>
            </w:pPr>
            <w:r>
              <w:rPr>
                <w:rFonts w:cs="Arial"/>
                <w:b/>
                <w:sz w:val="20"/>
                <w:szCs w:val="20"/>
              </w:rPr>
              <w:t>Unattained High Risk</w:t>
            </w:r>
          </w:p>
          <w:p w14:paraId="0B5B6AD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D1F14AC" w14:textId="77777777" w:rsidR="00000000" w:rsidRDefault="00000000">
            <w:pPr>
              <w:keepNext/>
              <w:spacing w:before="60" w:after="60"/>
              <w:jc w:val="center"/>
              <w:rPr>
                <w:rFonts w:cs="Arial"/>
                <w:b/>
                <w:sz w:val="20"/>
                <w:szCs w:val="20"/>
              </w:rPr>
            </w:pPr>
            <w:r>
              <w:rPr>
                <w:rFonts w:cs="Arial"/>
                <w:b/>
                <w:sz w:val="20"/>
                <w:szCs w:val="20"/>
              </w:rPr>
              <w:t>Unattained Critical Risk</w:t>
            </w:r>
          </w:p>
          <w:p w14:paraId="3C68DE68" w14:textId="77777777" w:rsidR="00000000" w:rsidRDefault="00000000">
            <w:pPr>
              <w:keepNext/>
              <w:spacing w:before="60" w:after="60"/>
              <w:jc w:val="center"/>
              <w:rPr>
                <w:rFonts w:cs="Arial"/>
                <w:b/>
                <w:sz w:val="20"/>
                <w:szCs w:val="20"/>
              </w:rPr>
            </w:pPr>
            <w:r>
              <w:rPr>
                <w:rFonts w:cs="Arial"/>
                <w:b/>
                <w:sz w:val="20"/>
                <w:szCs w:val="20"/>
              </w:rPr>
              <w:t>(UA Critical)</w:t>
            </w:r>
          </w:p>
        </w:tc>
      </w:tr>
      <w:tr w:rsidR="00801D17" w14:paraId="55D87A98" w14:textId="77777777">
        <w:tc>
          <w:tcPr>
            <w:tcW w:w="1384" w:type="dxa"/>
            <w:vAlign w:val="center"/>
          </w:tcPr>
          <w:p w14:paraId="25F36BA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676C93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11A55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DFFA43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34C782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7AA284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01D17" w14:paraId="4FADB9D5" w14:textId="77777777">
        <w:tc>
          <w:tcPr>
            <w:tcW w:w="1384" w:type="dxa"/>
            <w:vAlign w:val="center"/>
          </w:tcPr>
          <w:p w14:paraId="6CE3FFA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1D3426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A6F46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FC14B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B307B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3BFEE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6BEEDC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B4DD7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A1B0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40FDD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801D17" w14:paraId="31D585EA" w14:textId="77777777">
        <w:tc>
          <w:tcPr>
            <w:tcW w:w="0" w:type="auto"/>
          </w:tcPr>
          <w:p w14:paraId="1FA2570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1F1C2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BC6E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01D17" w14:paraId="4C9A2D47" w14:textId="77777777">
        <w:tc>
          <w:tcPr>
            <w:tcW w:w="0" w:type="auto"/>
          </w:tcPr>
          <w:p w14:paraId="677F42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82799F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24B8F86" w14:textId="77777777" w:rsidR="00000000" w:rsidRPr="00BE00C7" w:rsidRDefault="00000000" w:rsidP="00BE00C7">
            <w:pPr>
              <w:pStyle w:val="OutcomeDescription"/>
              <w:spacing w:before="120" w:after="120"/>
              <w:rPr>
                <w:rFonts w:cs="Arial"/>
                <w:lang w:eastAsia="en-NZ"/>
              </w:rPr>
            </w:pPr>
          </w:p>
        </w:tc>
        <w:tc>
          <w:tcPr>
            <w:tcW w:w="0" w:type="auto"/>
          </w:tcPr>
          <w:p w14:paraId="67CDD0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D359B2"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1024F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care plan has been developed with input from cultural advisers, and this can be used at The Oaks Rest Home and Village (the Oaks) should any residents identify as Māori. There were no Māori residents present during the audit. </w:t>
            </w:r>
          </w:p>
          <w:p w14:paraId="75D3FE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increasing Māori capacity by employing more Māori staff members across differing levels of the organisation as vacancies and applications for employment permit. Ethnicity data is gathered when staff are employed, and this data is analysed at a management and organisational level. There were staff who identified as Māori at the time of audit.</w:t>
            </w:r>
          </w:p>
          <w:p w14:paraId="60CB2B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links for Māori health support through Te Whatu Ora, colleagues, and local external providers, such as Burwood Hospital.</w:t>
            </w:r>
          </w:p>
          <w:p w14:paraId="6D4B63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care manager (BCM) and staff reported they have attended cultural training. This was confirmed in documentation.</w:t>
            </w:r>
          </w:p>
          <w:p w14:paraId="00475BD2" w14:textId="77777777" w:rsidR="00000000" w:rsidRPr="00BE00C7" w:rsidRDefault="00000000" w:rsidP="00BE00C7">
            <w:pPr>
              <w:pStyle w:val="OutcomeDescription"/>
              <w:spacing w:before="120" w:after="120"/>
              <w:rPr>
                <w:rFonts w:cs="Arial"/>
                <w:lang w:eastAsia="en-NZ"/>
              </w:rPr>
            </w:pPr>
          </w:p>
        </w:tc>
      </w:tr>
      <w:tr w:rsidR="00801D17" w14:paraId="6DCCCBEC" w14:textId="77777777">
        <w:tc>
          <w:tcPr>
            <w:tcW w:w="0" w:type="auto"/>
          </w:tcPr>
          <w:p w14:paraId="51C7DA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B08FE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325041A" w14:textId="77777777" w:rsidR="00000000" w:rsidRPr="00BE00C7" w:rsidRDefault="00000000" w:rsidP="00BE00C7">
            <w:pPr>
              <w:pStyle w:val="OutcomeDescription"/>
              <w:spacing w:before="120" w:after="120"/>
              <w:rPr>
                <w:rFonts w:cs="Arial"/>
                <w:lang w:eastAsia="en-NZ"/>
              </w:rPr>
            </w:pPr>
          </w:p>
        </w:tc>
        <w:tc>
          <w:tcPr>
            <w:tcW w:w="0" w:type="auto"/>
          </w:tcPr>
          <w:p w14:paraId="5E1B21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D96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responds to the cultural needs of residents. The document notes the need to embrace cultural and spiritual beliefs and advocates the Fonofale model of care for use with any Pacific residents.</w:t>
            </w:r>
          </w:p>
          <w:p w14:paraId="1C8070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Pacific people on the days of audit. </w:t>
            </w:r>
          </w:p>
          <w:p w14:paraId="066613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described the connections with Pacific community-based organisations outside the service.</w:t>
            </w:r>
          </w:p>
          <w:p w14:paraId="1501A3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increasing Pacific capacity by employing more Pacific staff members across differing levels of the organisation as vacancies and applications for employment permit. Ethnicity data is gathered when staff are employed, and this data is analysed at a management and organisational level. There were staff who identified as Pacific people at the time of audit.</w:t>
            </w:r>
          </w:p>
          <w:p w14:paraId="7AF352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and staff reported, and documentation confirmed, that staff have attended cultural safety training.   </w:t>
            </w:r>
          </w:p>
          <w:p w14:paraId="639F354E" w14:textId="77777777" w:rsidR="00000000" w:rsidRPr="00BE00C7" w:rsidRDefault="00000000" w:rsidP="00BE00C7">
            <w:pPr>
              <w:pStyle w:val="OutcomeDescription"/>
              <w:spacing w:before="120" w:after="120"/>
              <w:rPr>
                <w:rFonts w:cs="Arial"/>
                <w:lang w:eastAsia="en-NZ"/>
              </w:rPr>
            </w:pPr>
          </w:p>
        </w:tc>
      </w:tr>
      <w:tr w:rsidR="00801D17" w14:paraId="6C055567" w14:textId="77777777">
        <w:tc>
          <w:tcPr>
            <w:tcW w:w="0" w:type="auto"/>
          </w:tcPr>
          <w:p w14:paraId="64B80D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3F36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FA7D82" w14:textId="77777777" w:rsidR="00000000" w:rsidRPr="00BE00C7" w:rsidRDefault="00000000" w:rsidP="00BE00C7">
            <w:pPr>
              <w:pStyle w:val="OutcomeDescription"/>
              <w:spacing w:before="120" w:after="120"/>
              <w:rPr>
                <w:rFonts w:cs="Arial"/>
                <w:lang w:eastAsia="en-NZ"/>
              </w:rPr>
            </w:pPr>
          </w:p>
        </w:tc>
        <w:tc>
          <w:tcPr>
            <w:tcW w:w="0" w:type="auto"/>
          </w:tcPr>
          <w:p w14:paraId="20ADB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BDB6BB"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Limited and The Oaks management were aware of their responsibilities under the Code of Health and Disability Services Consumers’ Rights (the Code) and have policies and procedures in place to ensure these are respected. Staff interviewed understood the requirements of the Code, including the right to self-determination (mana motuhake), and were observed supporting residents in accordance with their wishes.</w:t>
            </w:r>
          </w:p>
          <w:p w14:paraId="0317F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w:t>
            </w:r>
            <w:r w:rsidRPr="00BE00C7">
              <w:rPr>
                <w:rFonts w:cs="Arial"/>
                <w:lang w:eastAsia="en-NZ"/>
              </w:rPr>
              <w:lastRenderedPageBreak/>
              <w:t>(Advocacy Service) and were provided with opportunities to discuss and clarify their rights.</w:t>
            </w:r>
          </w:p>
          <w:p w14:paraId="488C7C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Rights was displayed in te reo Māori and English at the front entry of the facility and included in the admission pack.</w:t>
            </w:r>
          </w:p>
          <w:p w14:paraId="508A7DB4" w14:textId="77777777" w:rsidR="00000000" w:rsidRPr="00BE00C7" w:rsidRDefault="00000000" w:rsidP="00BE00C7">
            <w:pPr>
              <w:pStyle w:val="OutcomeDescription"/>
              <w:spacing w:before="120" w:after="120"/>
              <w:rPr>
                <w:rFonts w:cs="Arial"/>
                <w:lang w:eastAsia="en-NZ"/>
              </w:rPr>
            </w:pPr>
          </w:p>
        </w:tc>
      </w:tr>
      <w:tr w:rsidR="00801D17" w14:paraId="27C3F653" w14:textId="77777777">
        <w:tc>
          <w:tcPr>
            <w:tcW w:w="0" w:type="auto"/>
          </w:tcPr>
          <w:p w14:paraId="23AA49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6D861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62584A0" w14:textId="77777777" w:rsidR="00000000" w:rsidRPr="00BE00C7" w:rsidRDefault="00000000" w:rsidP="00BE00C7">
            <w:pPr>
              <w:pStyle w:val="OutcomeDescription"/>
              <w:spacing w:before="120" w:after="120"/>
              <w:rPr>
                <w:rFonts w:cs="Arial"/>
                <w:lang w:eastAsia="en-NZ"/>
              </w:rPr>
            </w:pPr>
          </w:p>
        </w:tc>
        <w:tc>
          <w:tcPr>
            <w:tcW w:w="0" w:type="auto"/>
          </w:tcPr>
          <w:p w14:paraId="285DB7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5A7C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Oaks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w:t>
            </w:r>
          </w:p>
          <w:p w14:paraId="606ABCA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or share a room with another person with their consent.</w:t>
            </w:r>
          </w:p>
          <w:p w14:paraId="79D3CF38"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through policy and education of staff.  Bilingual signage was evident throughout the facility, and key resident information such as the Code of Rights was displayed in te reo Māori.</w:t>
            </w:r>
          </w:p>
          <w:p w14:paraId="4DC189E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undertaken training in Te Tiriti o Waitangi and understood the principles and how to apply these in their daily work.</w:t>
            </w:r>
          </w:p>
          <w:p w14:paraId="14D47F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371E7D91" w14:textId="77777777" w:rsidR="00000000" w:rsidRPr="00BE00C7" w:rsidRDefault="00000000" w:rsidP="00BE00C7">
            <w:pPr>
              <w:pStyle w:val="OutcomeDescription"/>
              <w:spacing w:before="120" w:after="120"/>
              <w:rPr>
                <w:rFonts w:cs="Arial"/>
                <w:lang w:eastAsia="en-NZ"/>
              </w:rPr>
            </w:pPr>
          </w:p>
        </w:tc>
      </w:tr>
      <w:tr w:rsidR="00801D17" w14:paraId="64C93163" w14:textId="77777777">
        <w:tc>
          <w:tcPr>
            <w:tcW w:w="0" w:type="auto"/>
          </w:tcPr>
          <w:p w14:paraId="23CD8F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FF558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3E3BB7" w14:textId="77777777" w:rsidR="00000000" w:rsidRPr="00BE00C7" w:rsidRDefault="00000000" w:rsidP="00BE00C7">
            <w:pPr>
              <w:pStyle w:val="OutcomeDescription"/>
              <w:spacing w:before="120" w:after="120"/>
              <w:rPr>
                <w:rFonts w:cs="Arial"/>
                <w:lang w:eastAsia="en-NZ"/>
              </w:rPr>
            </w:pPr>
          </w:p>
        </w:tc>
        <w:tc>
          <w:tcPr>
            <w:tcW w:w="0" w:type="auto"/>
          </w:tcPr>
          <w:p w14:paraId="4885A0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5981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w:t>
            </w:r>
          </w:p>
          <w:p w14:paraId="09BDFB5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residents’ whānau and enduring powers of attorney (EPOAs) interviewed reported that residents’ property was respected and well cared for. Resident finances are protected, and staff do not handle residents’ money.</w:t>
            </w:r>
          </w:p>
          <w:p w14:paraId="585ED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maintained by staff. Staff interviewed felt </w:t>
            </w:r>
            <w:r w:rsidRPr="00BE00C7">
              <w:rPr>
                <w:rFonts w:cs="Arial"/>
                <w:lang w:eastAsia="en-NZ"/>
              </w:rPr>
              <w:lastRenderedPageBreak/>
              <w:t xml:space="preserve">comfortable in raising any concerns in relation to institutional and systemic racism, and that any concerns would be acted upon. </w:t>
            </w:r>
          </w:p>
          <w:p w14:paraId="4A4267D9"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and included use of Te Whare Tapa Whā model and the Fonofale model. Wellbeing outcomes for all residents, including Māori, are evaluated as part of the assessment and care planning process six-monthly to ensure the needs of residents are met.</w:t>
            </w:r>
          </w:p>
          <w:p w14:paraId="7096D07D" w14:textId="77777777" w:rsidR="00000000" w:rsidRPr="00BE00C7" w:rsidRDefault="00000000" w:rsidP="00BE00C7">
            <w:pPr>
              <w:pStyle w:val="OutcomeDescription"/>
              <w:spacing w:before="120" w:after="120"/>
              <w:rPr>
                <w:rFonts w:cs="Arial"/>
                <w:lang w:eastAsia="en-NZ"/>
              </w:rPr>
            </w:pPr>
          </w:p>
        </w:tc>
      </w:tr>
      <w:tr w:rsidR="00801D17" w14:paraId="601FDB99" w14:textId="77777777">
        <w:tc>
          <w:tcPr>
            <w:tcW w:w="0" w:type="auto"/>
          </w:tcPr>
          <w:p w14:paraId="157885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B94EE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B862097" w14:textId="77777777" w:rsidR="00000000" w:rsidRPr="00BE00C7" w:rsidRDefault="00000000" w:rsidP="00BE00C7">
            <w:pPr>
              <w:pStyle w:val="OutcomeDescription"/>
              <w:spacing w:before="120" w:after="120"/>
              <w:rPr>
                <w:rFonts w:cs="Arial"/>
                <w:lang w:eastAsia="en-NZ"/>
              </w:rPr>
            </w:pPr>
          </w:p>
        </w:tc>
        <w:tc>
          <w:tcPr>
            <w:tcW w:w="0" w:type="auto"/>
          </w:tcPr>
          <w:p w14:paraId="539D11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C59F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t>
            </w:r>
          </w:p>
          <w:p w14:paraId="7783876C"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other agencies were involved in care, communication had occurred. The nurse practitioner interviewed stated that communication from staff was appropriate, timely, and included all relevant information.</w:t>
            </w:r>
          </w:p>
          <w:p w14:paraId="0BEF295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open communication was apparent following adverse events and during the management of any complaints.</w:t>
            </w:r>
          </w:p>
          <w:p w14:paraId="711249E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65AAAF9C" w14:textId="77777777" w:rsidR="00000000" w:rsidRPr="00BE00C7" w:rsidRDefault="00000000" w:rsidP="00BE00C7">
            <w:pPr>
              <w:pStyle w:val="OutcomeDescription"/>
              <w:spacing w:before="120" w:after="120"/>
              <w:rPr>
                <w:rFonts w:cs="Arial"/>
                <w:lang w:eastAsia="en-NZ"/>
              </w:rPr>
            </w:pPr>
          </w:p>
        </w:tc>
      </w:tr>
      <w:tr w:rsidR="00801D17" w14:paraId="6EC71D8B" w14:textId="77777777">
        <w:tc>
          <w:tcPr>
            <w:tcW w:w="0" w:type="auto"/>
          </w:tcPr>
          <w:p w14:paraId="413853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8F963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25E7D48" w14:textId="77777777" w:rsidR="00000000" w:rsidRPr="00BE00C7" w:rsidRDefault="00000000" w:rsidP="00BE00C7">
            <w:pPr>
              <w:pStyle w:val="OutcomeDescription"/>
              <w:spacing w:before="120" w:after="120"/>
              <w:rPr>
                <w:rFonts w:cs="Arial"/>
                <w:lang w:eastAsia="en-NZ"/>
              </w:rPr>
            </w:pPr>
          </w:p>
        </w:tc>
        <w:tc>
          <w:tcPr>
            <w:tcW w:w="0" w:type="auto"/>
          </w:tcPr>
          <w:p w14:paraId="7DF8F5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C8D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7234BE27"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those interviewed described involving residents and whānau in the process. Tikanga guidelines were available to support staff when working with Māori residents and whānau; these were known to staff.</w:t>
            </w:r>
          </w:p>
          <w:p w14:paraId="6C6FCBDC"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requirements, and processes for residents unable to consent were documented, as relevant, in the resident’s record.</w:t>
            </w:r>
          </w:p>
          <w:p w14:paraId="17ECB421" w14:textId="77777777" w:rsidR="00000000" w:rsidRPr="00BE00C7" w:rsidRDefault="00000000" w:rsidP="00BE00C7">
            <w:pPr>
              <w:pStyle w:val="OutcomeDescription"/>
              <w:spacing w:before="120" w:after="120"/>
              <w:rPr>
                <w:rFonts w:cs="Arial"/>
                <w:lang w:eastAsia="en-NZ"/>
              </w:rPr>
            </w:pPr>
          </w:p>
        </w:tc>
      </w:tr>
      <w:tr w:rsidR="00801D17" w14:paraId="0DAF31A0" w14:textId="77777777">
        <w:tc>
          <w:tcPr>
            <w:tcW w:w="0" w:type="auto"/>
          </w:tcPr>
          <w:p w14:paraId="67C549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697B1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4741902" w14:textId="77777777" w:rsidR="00000000" w:rsidRPr="00BE00C7" w:rsidRDefault="00000000" w:rsidP="00BE00C7">
            <w:pPr>
              <w:pStyle w:val="OutcomeDescription"/>
              <w:spacing w:before="120" w:after="120"/>
              <w:rPr>
                <w:rFonts w:cs="Arial"/>
                <w:lang w:eastAsia="en-NZ"/>
              </w:rPr>
            </w:pPr>
          </w:p>
        </w:tc>
        <w:tc>
          <w:tcPr>
            <w:tcW w:w="0" w:type="auto"/>
          </w:tcPr>
          <w:p w14:paraId="04F034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1BC782"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5AC17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 forms and a box are available at reception. The Code is available in te reo Māori and English. </w:t>
            </w:r>
          </w:p>
          <w:p w14:paraId="4BE53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t>
            </w:r>
          </w:p>
          <w:p w14:paraId="33FD32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complaints register showed that actions taken, through to an agreed resolution, are documented and completed within the timeframes. No complaints have been received since the last audit, including from external sources. Staff reported that they knew what to do should they receive a complaint. </w:t>
            </w:r>
          </w:p>
          <w:p w14:paraId="13830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is responsible for complaints management and follow-up. </w:t>
            </w:r>
          </w:p>
          <w:p w14:paraId="24651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ensure that complaints from Māori can be handled in a culturally appropriate manner. The BCM reported, and documentation evidenced, that a translator who identified as Māori would be available to support people if needed. There have been no complaints received by Māori to date.</w:t>
            </w:r>
          </w:p>
          <w:p w14:paraId="55C55087" w14:textId="77777777" w:rsidR="00000000" w:rsidRPr="00BE00C7" w:rsidRDefault="00000000" w:rsidP="00BE00C7">
            <w:pPr>
              <w:pStyle w:val="OutcomeDescription"/>
              <w:spacing w:before="120" w:after="120"/>
              <w:rPr>
                <w:rFonts w:cs="Arial"/>
                <w:lang w:eastAsia="en-NZ"/>
              </w:rPr>
            </w:pPr>
          </w:p>
        </w:tc>
      </w:tr>
      <w:tr w:rsidR="00801D17" w14:paraId="0DE9F39E" w14:textId="77777777">
        <w:tc>
          <w:tcPr>
            <w:tcW w:w="0" w:type="auto"/>
          </w:tcPr>
          <w:p w14:paraId="150F6D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BF3AD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E5CC67D" w14:textId="77777777" w:rsidR="00000000" w:rsidRPr="00BE00C7" w:rsidRDefault="00000000" w:rsidP="00BE00C7">
            <w:pPr>
              <w:pStyle w:val="OutcomeDescription"/>
              <w:spacing w:before="120" w:after="120"/>
              <w:rPr>
                <w:rFonts w:cs="Arial"/>
                <w:lang w:eastAsia="en-NZ"/>
              </w:rPr>
            </w:pPr>
          </w:p>
        </w:tc>
        <w:tc>
          <w:tcPr>
            <w:tcW w:w="0" w:type="auto"/>
          </w:tcPr>
          <w:p w14:paraId="68375D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1B80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Pacific peoples in governance groups, honouring Te Tiriti and being focused on improving outcomes for Māori, Pacific peoples,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4D16DC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for example, personal mobility equipment. Models of care relevant to Māori and Pacific peoples are available for use for Māori and Pacific residents in the service. The needs of tāngata whaikaha are specifically addressed in the ‘Person with a Disability’ policy.</w:t>
            </w:r>
          </w:p>
          <w:p w14:paraId="0118C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who is a registered nurse (RN), had been in the role at this facility for one day at the time of audit, and has had previous management experience in residential care facilities. The role will be shared across another local Oceania facility.</w:t>
            </w:r>
          </w:p>
          <w:p w14:paraId="2E9240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is supported by a clinical manager (CM), who has been in the role since 2022. The CM is a RN with experience in aged residential care. When the BCM is absent, a relieving BCM carries out all the required duties under delegated authority, with support from the regional operations manager.</w:t>
            </w:r>
          </w:p>
          <w:p w14:paraId="3BB54FD9"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that outlines the organisation’s structure, purpose, values, scope, direction, performance and goals. The plan supports the improvement of equitable outcomes for Māori, Pacific peoples and tāngata whaikaha. The Oceania reporting structure relies on information from its strategic plan to inform facility-based business plans.  The Oaks business plan was sighted. Cultural safety is embedded in business and quality plans and in staff training. Ethnicity data is being collected to support equity.</w:t>
            </w:r>
          </w:p>
          <w:p w14:paraId="35C5181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is committed to quality and risk via policy and processes, and through feedback mechanisms. This includes receiving regular information from each of its care facilities, including The Oaks.</w:t>
            </w:r>
          </w:p>
          <w:p w14:paraId="65398A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is appropriate to the size and complexity of the organisation. Monthly governance group meetings are led by the director of nursing, and the care services/clinical director, who also provides clinical and quality dashboard reports to the board. Internal data collection (e.g., adverse events, complaints) are aggregated and corrective action (at facility and organisation level as applicable) </w:t>
            </w:r>
            <w:r w:rsidRPr="00BE00C7">
              <w:rPr>
                <w:rFonts w:cs="Arial"/>
                <w:lang w:eastAsia="en-NZ"/>
              </w:rPr>
              <w:lastRenderedPageBreak/>
              <w:t xml:space="preserve">actioned. Changes are made to business and/or the strategic plans as required. </w:t>
            </w:r>
          </w:p>
          <w:p w14:paraId="6B753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confirmed knowledge of the sector, regulatory and reporting requirements, and maintains currency within the field through sector communication, training, Te Whatu Ora Waitaha Canterbury and colleagues.</w:t>
            </w:r>
          </w:p>
          <w:p w14:paraId="0AB8F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Oaks supports residents receiving services and whānau to participate in the planning, implementation, monitoring and evaluation of service delivery through the review of care plans, surveys and meetings. A sample of resident minutes evidenced input into activities and menu planning.</w:t>
            </w:r>
          </w:p>
          <w:p w14:paraId="743206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 Health New Zealand Waitaha Canterbury for respite, rest home and hospital level of care and long-term chronic health conditions (LTCHC) for up to 107 residents. Contracts are also held with the Ministry of Social Development, Disability Support Services for young people with a disability (YPD.) </w:t>
            </w:r>
          </w:p>
          <w:p w14:paraId="3E276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96 residents were receiving care, including two privately paying non-assessed residents. </w:t>
            </w:r>
          </w:p>
          <w:p w14:paraId="086AD0DB" w14:textId="77777777" w:rsidR="00000000" w:rsidRPr="00BE00C7" w:rsidRDefault="00000000" w:rsidP="00BE00C7">
            <w:pPr>
              <w:pStyle w:val="OutcomeDescription"/>
              <w:spacing w:before="120" w:after="120"/>
              <w:rPr>
                <w:rFonts w:cs="Arial"/>
                <w:lang w:eastAsia="en-NZ"/>
              </w:rPr>
            </w:pPr>
            <w:r w:rsidRPr="00BE00C7">
              <w:rPr>
                <w:rFonts w:cs="Arial"/>
                <w:lang w:eastAsia="en-NZ"/>
              </w:rPr>
              <w:t>Sixty-five residents were receiving rest home-level care. Twenty-two beds are under Occupation Right Agreements (ORAs). Thirty-one residents were receiving hospital level-care, including one resident on the LTCH contract.</w:t>
            </w:r>
          </w:p>
          <w:p w14:paraId="04DB154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beds are dual purpose beds.</w:t>
            </w:r>
          </w:p>
          <w:p w14:paraId="63CB6B8D" w14:textId="77777777" w:rsidR="00000000" w:rsidRPr="00BE00C7" w:rsidRDefault="00000000" w:rsidP="00BE00C7">
            <w:pPr>
              <w:pStyle w:val="OutcomeDescription"/>
              <w:spacing w:before="120" w:after="120"/>
              <w:rPr>
                <w:rFonts w:cs="Arial"/>
                <w:lang w:eastAsia="en-NZ"/>
              </w:rPr>
            </w:pPr>
          </w:p>
        </w:tc>
      </w:tr>
      <w:tr w:rsidR="00801D17" w14:paraId="185D4A82" w14:textId="77777777">
        <w:tc>
          <w:tcPr>
            <w:tcW w:w="0" w:type="auto"/>
          </w:tcPr>
          <w:p w14:paraId="63339D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29A0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2DF1D30F" w14:textId="77777777" w:rsidR="00000000" w:rsidRPr="00BE00C7" w:rsidRDefault="00000000" w:rsidP="00BE00C7">
            <w:pPr>
              <w:pStyle w:val="OutcomeDescription"/>
              <w:spacing w:before="120" w:after="120"/>
              <w:rPr>
                <w:rFonts w:cs="Arial"/>
                <w:lang w:eastAsia="en-NZ"/>
              </w:rPr>
            </w:pPr>
          </w:p>
        </w:tc>
        <w:tc>
          <w:tcPr>
            <w:tcW w:w="0" w:type="auto"/>
          </w:tcPr>
          <w:p w14:paraId="313AA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15B4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Oaks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 </w:t>
            </w:r>
          </w:p>
          <w:p w14:paraId="05CA48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w:t>
            </w:r>
          </w:p>
          <w:p w14:paraId="3C4B57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last resident survey was completed in May 2025, with residents reporting an average level of satisfaction with the service delivered. Evidence was sighted of the result being reported back to the residents’ meeting in June 2025. </w:t>
            </w:r>
          </w:p>
          <w:p w14:paraId="31688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last staff survey was completed during March 2025. Staff confirmed taking part in the survey and expressed satisfaction with the employer and working conditions. Feedback to the staff is yet to occur.</w:t>
            </w:r>
          </w:p>
          <w:p w14:paraId="113EAC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is responsible for quality.  A sample of quality and risk-related meeting minutes were reviewed, and confirmed there have been regular reviews and analysis of quality indicators, and that related information is reported and discussed. There have been monthly staff meetings and resident meetings. Topics include health and safety, infection control, falls, nil restraint, complaints, and audit outcomes. A sample of meeting minutes evidenced comprehensive reporting.  </w:t>
            </w:r>
          </w:p>
          <w:p w14:paraId="2C707A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internal audit schedule was sighted. A sample of completed audits including medication, infection prevention and control, laundry, cleaning, and the kitchen were sighted. Relevant corrective actions are developed and implemented to address any shortfalls. Progress against quality outcomes is evaluated.</w:t>
            </w:r>
          </w:p>
          <w:p w14:paraId="72181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were current, and covered all necessary aspects of the service and of contractual requirements. Documentation is the responsibility of the relevant department at the corporate office. </w:t>
            </w:r>
          </w:p>
          <w:p w14:paraId="217E3E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described the processes for the identification, documentation, monitoring, review, and reporting of risks, including health and safety risks, and development of mitigation strategies. Where mitigation strategies are identified, there are processes in place to ensure these are corrected. The clinical risk register and the hazard register were both sighted. Staff reported at interview that they knew to report risks.</w:t>
            </w:r>
          </w:p>
          <w:p w14:paraId="032931B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w:t>
            </w:r>
          </w:p>
          <w:p w14:paraId="5E662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CM and national quality clinical manager understood and have complied with essential notification reporting requirements. In the last 12 months, three Section 31 notifications were made to Manatū </w:t>
            </w:r>
            <w:r w:rsidRPr="00BE00C7">
              <w:rPr>
                <w:rFonts w:cs="Arial"/>
                <w:lang w:eastAsia="en-NZ"/>
              </w:rPr>
              <w:lastRenderedPageBreak/>
              <w:t xml:space="preserve">Hauora related to influenza A outbreak, COVID-19 outbreak, and RN shortage. Public Health was notified of the influenza and COVID-19 outbreaks. An email to national office was sighted regarding the Section 31 notification in relation to the change of BCM. </w:t>
            </w:r>
          </w:p>
          <w:p w14:paraId="0FCFC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reports to the Health Quality &amp; Safety Commission relating to fractures were sighted.</w:t>
            </w:r>
          </w:p>
          <w:p w14:paraId="31412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coroners’ inquests, or issues-based audits.</w:t>
            </w:r>
          </w:p>
          <w:p w14:paraId="2B67F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supported to deliver high-quality health care to residents who identify as Māori through, for example, training, including cultural safety training, cultural assessments, care planning, handover, and communicating with the resident, and whānau. Staff reported that they are learning te reo Māori, and gave examples of tikanga. </w:t>
            </w:r>
          </w:p>
          <w:p w14:paraId="4F3D0D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Oaks benchmarks against relevant health performance indicators, for example infections, skin care and falls. The CM reported that data evidenced fluctuations of indicators were within an acceptable level.  Graphs were sighted.</w:t>
            </w:r>
          </w:p>
          <w:p w14:paraId="742FA0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and evidence was sighted, of critical analysis of practices to improve health equity. The CM described, and evidence was sighted, of strategies to address any shortfalls, for example, a preventative falls programme.</w:t>
            </w:r>
          </w:p>
          <w:p w14:paraId="621D47ED" w14:textId="77777777" w:rsidR="00000000" w:rsidRPr="00BE00C7" w:rsidRDefault="00000000" w:rsidP="00BE00C7">
            <w:pPr>
              <w:pStyle w:val="OutcomeDescription"/>
              <w:spacing w:before="120" w:after="120"/>
              <w:rPr>
                <w:rFonts w:cs="Arial"/>
                <w:lang w:eastAsia="en-NZ"/>
              </w:rPr>
            </w:pPr>
          </w:p>
        </w:tc>
      </w:tr>
      <w:tr w:rsidR="00801D17" w14:paraId="64F6523D" w14:textId="77777777">
        <w:tc>
          <w:tcPr>
            <w:tcW w:w="0" w:type="auto"/>
          </w:tcPr>
          <w:p w14:paraId="4E0016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7C3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56E320" w14:textId="77777777" w:rsidR="00000000" w:rsidRPr="00BE00C7" w:rsidRDefault="00000000" w:rsidP="00BE00C7">
            <w:pPr>
              <w:pStyle w:val="OutcomeDescription"/>
              <w:spacing w:before="120" w:after="120"/>
              <w:rPr>
                <w:rFonts w:cs="Arial"/>
                <w:lang w:eastAsia="en-NZ"/>
              </w:rPr>
            </w:pPr>
          </w:p>
        </w:tc>
        <w:tc>
          <w:tcPr>
            <w:tcW w:w="0" w:type="auto"/>
          </w:tcPr>
          <w:p w14:paraId="2F542F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C03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that there were adequate staff to complete the work allocated to them. Residents and whānau interviewed supported this. At least one staff member on duty has a current first aid certificate and there is 24/7 RN coverage in the hospital.</w:t>
            </w:r>
          </w:p>
          <w:p w14:paraId="272F4C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after-hours on-call system is in place, with the CM providing clinical cover and the BCM providing support for all other areas 24/7. Staff reported that good access to advice is available when needed. Bureau staff have been used to cover RN shortages. The BCM described the recruitment process, which includes an interview, referee checks, and </w:t>
            </w:r>
            <w:r w:rsidRPr="00BE00C7">
              <w:rPr>
                <w:rFonts w:cs="Arial"/>
                <w:lang w:eastAsia="en-NZ"/>
              </w:rPr>
              <w:lastRenderedPageBreak/>
              <w:t>police checks.</w:t>
            </w:r>
          </w:p>
          <w:p w14:paraId="5CA536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The BCM and staff reported, and documentation confirmed, that staff hold up to Level 4 New Zealand Qualification Authority (NZQA) education qualifications. </w:t>
            </w:r>
          </w:p>
          <w:p w14:paraId="492E28CA"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reviewed demonstrated completion of the required training and competency assessments.</w:t>
            </w:r>
          </w:p>
          <w:p w14:paraId="0ADFA6DA"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Meetings are held with the resident and their whānau to discuss and sign care plans. Residents’ meetings are held monthly and are an opportunity for people to discuss and express opinions on aspects of the service. Minutes evidenced input into meals and activities.</w:t>
            </w:r>
          </w:p>
          <w:p w14:paraId="4110A8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staff education.</w:t>
            </w:r>
          </w:p>
          <w:p w14:paraId="370ADC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reported that, where health equity expertise is not available, external agencies are contacted. For example, Te Whatu Ora gerontology staff, and external community health providers.</w:t>
            </w:r>
          </w:p>
          <w:p w14:paraId="36AD76B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37AF8E64" w14:textId="77777777" w:rsidR="00000000" w:rsidRPr="00BE00C7" w:rsidRDefault="00000000" w:rsidP="00BE00C7">
            <w:pPr>
              <w:pStyle w:val="OutcomeDescription"/>
              <w:spacing w:before="120" w:after="120"/>
              <w:rPr>
                <w:rFonts w:cs="Arial"/>
                <w:lang w:eastAsia="en-NZ"/>
              </w:rPr>
            </w:pPr>
          </w:p>
        </w:tc>
      </w:tr>
      <w:tr w:rsidR="00801D17" w14:paraId="3826C239" w14:textId="77777777">
        <w:tc>
          <w:tcPr>
            <w:tcW w:w="0" w:type="auto"/>
          </w:tcPr>
          <w:p w14:paraId="58BDEC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9151B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09CB8A49" w14:textId="77777777" w:rsidR="00000000" w:rsidRPr="00BE00C7" w:rsidRDefault="00000000" w:rsidP="00BE00C7">
            <w:pPr>
              <w:pStyle w:val="OutcomeDescription"/>
              <w:spacing w:before="120" w:after="120"/>
              <w:rPr>
                <w:rFonts w:cs="Arial"/>
                <w:lang w:eastAsia="en-NZ"/>
              </w:rPr>
            </w:pPr>
          </w:p>
        </w:tc>
        <w:tc>
          <w:tcPr>
            <w:tcW w:w="0" w:type="auto"/>
          </w:tcPr>
          <w:p w14:paraId="6084D5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F13F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11 staff records reviewed confirmed the organisation’s policies are being consistently implemented.  </w:t>
            </w:r>
          </w:p>
          <w:p w14:paraId="5C11D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w:t>
            </w:r>
          </w:p>
          <w:p w14:paraId="32D89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were validated prior to employment and then checked and documented annually. A register of current annual practising certificates was sighted for one enrolled nurse, seventeen registered </w:t>
            </w:r>
            <w:r w:rsidRPr="00BE00C7">
              <w:rPr>
                <w:rFonts w:cs="Arial"/>
                <w:lang w:eastAsia="en-NZ"/>
              </w:rPr>
              <w:lastRenderedPageBreak/>
              <w:t>nurses, five general practitioners, two nurse practitioners, four physiotherapists, a podiatrist, two pharmacists, the diversional therapist, and two dietitians.</w:t>
            </w:r>
          </w:p>
          <w:p w14:paraId="3AAD7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orientation programme prepared them well and includes all necessary components relevant to the role. Evidence was seen in files reviewed.  </w:t>
            </w:r>
          </w:p>
          <w:p w14:paraId="2CB1512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Completed reviews were sighted.</w:t>
            </w:r>
          </w:p>
          <w:p w14:paraId="29842D5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accurate, relevant, secure, stored, and archived confidentially. Electronic data is username- and password-protected. Information is available only to those authorised to use it. Ethnicity data is recorded and used in accordance with Health Information Standards Organisation (HISO) requirements.</w:t>
            </w:r>
          </w:p>
          <w:p w14:paraId="4ECC8ECA"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and staff interviewed confirmed that the opportunity for debrief and support is available to them. Staff reported that incident reports are discussed at staff meetings.</w:t>
            </w:r>
          </w:p>
          <w:p w14:paraId="188EC4F6" w14:textId="77777777" w:rsidR="00000000" w:rsidRPr="00BE00C7" w:rsidRDefault="00000000" w:rsidP="00BE00C7">
            <w:pPr>
              <w:pStyle w:val="OutcomeDescription"/>
              <w:spacing w:before="120" w:after="120"/>
              <w:rPr>
                <w:rFonts w:cs="Arial"/>
                <w:lang w:eastAsia="en-NZ"/>
              </w:rPr>
            </w:pPr>
          </w:p>
        </w:tc>
      </w:tr>
      <w:tr w:rsidR="00801D17" w14:paraId="69740DB5" w14:textId="77777777">
        <w:tc>
          <w:tcPr>
            <w:tcW w:w="0" w:type="auto"/>
          </w:tcPr>
          <w:p w14:paraId="41F5C8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D201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350DCB9" w14:textId="77777777" w:rsidR="00000000" w:rsidRPr="00BE00C7" w:rsidRDefault="00000000" w:rsidP="00BE00C7">
            <w:pPr>
              <w:pStyle w:val="OutcomeDescription"/>
              <w:spacing w:before="120" w:after="120"/>
              <w:rPr>
                <w:rFonts w:cs="Arial"/>
                <w:lang w:eastAsia="en-NZ"/>
              </w:rPr>
            </w:pPr>
          </w:p>
        </w:tc>
        <w:tc>
          <w:tcPr>
            <w:tcW w:w="0" w:type="auto"/>
          </w:tcPr>
          <w:p w14:paraId="703079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3AB4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w:t>
            </w:r>
          </w:p>
          <w:p w14:paraId="37ED7C02"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2CBB36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 All residents have a National Health Index (NHI) number on admission.</w:t>
            </w:r>
          </w:p>
          <w:p w14:paraId="252DCF3D" w14:textId="77777777" w:rsidR="00000000" w:rsidRPr="00BE00C7" w:rsidRDefault="00000000" w:rsidP="00BE00C7">
            <w:pPr>
              <w:pStyle w:val="OutcomeDescription"/>
              <w:spacing w:before="120" w:after="120"/>
              <w:rPr>
                <w:rFonts w:cs="Arial"/>
                <w:lang w:eastAsia="en-NZ"/>
              </w:rPr>
            </w:pPr>
          </w:p>
        </w:tc>
      </w:tr>
      <w:tr w:rsidR="00801D17" w14:paraId="66EE426C" w14:textId="77777777">
        <w:tc>
          <w:tcPr>
            <w:tcW w:w="0" w:type="auto"/>
          </w:tcPr>
          <w:p w14:paraId="243EBB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5AF3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lastRenderedPageBreak/>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D52A118" w14:textId="77777777" w:rsidR="00000000" w:rsidRPr="00BE00C7" w:rsidRDefault="00000000" w:rsidP="00BE00C7">
            <w:pPr>
              <w:pStyle w:val="OutcomeDescription"/>
              <w:spacing w:before="120" w:after="120"/>
              <w:rPr>
                <w:rFonts w:cs="Arial"/>
                <w:lang w:eastAsia="en-NZ"/>
              </w:rPr>
            </w:pPr>
          </w:p>
        </w:tc>
        <w:tc>
          <w:tcPr>
            <w:tcW w:w="0" w:type="auto"/>
          </w:tcPr>
          <w:p w14:paraId="65FB10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C43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were </w:t>
            </w:r>
            <w:r w:rsidRPr="00BE00C7">
              <w:rPr>
                <w:rFonts w:cs="Arial"/>
                <w:lang w:eastAsia="en-NZ"/>
              </w:rPr>
              <w:lastRenderedPageBreak/>
              <w:t>welcomed into The Oaks when they had been assessed and confirmed by the local Needs Assessment and Service Coordination (NASC) agency as requiring the level of care The Oaks provides.</w:t>
            </w:r>
          </w:p>
          <w:p w14:paraId="61CE487F" w14:textId="77777777" w:rsidR="00000000" w:rsidRPr="00BE00C7" w:rsidRDefault="00000000" w:rsidP="00BE00C7">
            <w:pPr>
              <w:pStyle w:val="OutcomeDescription"/>
              <w:spacing w:before="120" w:after="120"/>
              <w:rPr>
                <w:rFonts w:cs="Arial"/>
                <w:lang w:eastAsia="en-NZ"/>
              </w:rPr>
            </w:pPr>
            <w:r w:rsidRPr="00BE00C7">
              <w:rPr>
                <w:rFonts w:cs="Arial"/>
                <w:lang w:eastAsia="en-NZ"/>
              </w:rPr>
              <w:t>Enquiries are documented and, where a prospective resident is declined entry, there are processes for communicating the decision, although this rarely occurs. Related data is documented and analysed by Oceania at a national level; this includes entry and decline data for Māori.</w:t>
            </w:r>
          </w:p>
          <w:p w14:paraId="41C00B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 interviewed were satisfied with the admission process and the information that had been made available to them on admission.    </w:t>
            </w:r>
          </w:p>
          <w:p w14:paraId="7F908A63"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and The Oaks have developed partnerships with Māori communities and organisations and support Māori and their whānau when entering the service. There were currently no residents who had requested the services of a Māori health practitioner or traditional Māori healer. The Oaks has links with local Māori providers to enable this to occur when needed.</w:t>
            </w:r>
          </w:p>
          <w:p w14:paraId="6719E189" w14:textId="77777777" w:rsidR="00000000" w:rsidRPr="00BE00C7" w:rsidRDefault="00000000" w:rsidP="00BE00C7">
            <w:pPr>
              <w:pStyle w:val="OutcomeDescription"/>
              <w:spacing w:before="120" w:after="120"/>
              <w:rPr>
                <w:rFonts w:cs="Arial"/>
                <w:lang w:eastAsia="en-NZ"/>
              </w:rPr>
            </w:pPr>
          </w:p>
        </w:tc>
      </w:tr>
      <w:tr w:rsidR="00801D17" w14:paraId="759731AC" w14:textId="77777777">
        <w:tc>
          <w:tcPr>
            <w:tcW w:w="0" w:type="auto"/>
          </w:tcPr>
          <w:p w14:paraId="5D771A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D417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3CF7593" w14:textId="77777777" w:rsidR="00000000" w:rsidRPr="00BE00C7" w:rsidRDefault="00000000" w:rsidP="00BE00C7">
            <w:pPr>
              <w:pStyle w:val="OutcomeDescription"/>
              <w:spacing w:before="120" w:after="120"/>
              <w:rPr>
                <w:rFonts w:cs="Arial"/>
                <w:lang w:eastAsia="en-NZ"/>
              </w:rPr>
            </w:pPr>
          </w:p>
        </w:tc>
        <w:tc>
          <w:tcPr>
            <w:tcW w:w="0" w:type="auto"/>
          </w:tcPr>
          <w:p w14:paraId="18DE32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41C8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The Oaks works in partnership with the resident and whānau to support wellbeing. Ten resident files were reviewed: four hospital files and six rest home files. The files included residents receiving care under an age-related residential care (ARRC) contract, a long-term chronic health contract and a resident receiving end-of-life care under a support care contract. These files included a resident with changing needs, residents with a chronic wound and/or an infection, a resident self-administering medication, residents with compromised mobility, residents recently transferred to an acute facility, residents with several co-morbidities, and a resident cognitively unable to make decisions with an activated EPOA.</w:t>
            </w:r>
          </w:p>
          <w:p w14:paraId="39BD8F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verified that a registered nurse develops a plan of care, based on the provider’s model of care, to suit the resident’s needs following a comprehensive assessment. Assessments were based on a range of clinical assessments, including consideration of the person’s lived experience, cultural needs, values, and beliefs, and which included wider service integration, where required. Assessments </w:t>
            </w:r>
            <w:r w:rsidRPr="00BE00C7">
              <w:rPr>
                <w:rFonts w:cs="Arial"/>
                <w:lang w:eastAsia="en-NZ"/>
              </w:rPr>
              <w:lastRenderedPageBreak/>
              <w:t xml:space="preserve">included resident and whānau input (as applicable). Staff understood and support Māori and whānau to identify their own pae ora outcomes in their care plan. Timeframes for the initial assessment, nurse or general practitioner input, initial care plan, long-term care plan, short-term care plans, and review/evaluation met contractual requirements. </w:t>
            </w:r>
          </w:p>
          <w:p w14:paraId="382FB572" w14:textId="77777777" w:rsidR="00000000" w:rsidRPr="00BE00C7" w:rsidRDefault="00000000" w:rsidP="00BE00C7">
            <w:pPr>
              <w:pStyle w:val="OutcomeDescription"/>
              <w:spacing w:before="120" w:after="120"/>
              <w:rPr>
                <w:rFonts w:cs="Arial"/>
                <w:lang w:eastAsia="en-NZ"/>
              </w:rPr>
            </w:pPr>
            <w:r w:rsidRPr="00BE00C7">
              <w:rPr>
                <w:rFonts w:cs="Arial"/>
                <w:lang w:eastAsia="en-NZ"/>
              </w:rPr>
              <w:t>Early warning signs and risks, with a focus on prevention or escalation for appropriate interventions, are recorded.</w:t>
            </w:r>
          </w:p>
          <w:p w14:paraId="1950B7E6"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Short-term care plans are developed, if necessary, and examples were sighted for weight loss, infections, and wound care. These are reviewed weekly, or earlier if clinically indicated. Where progress was different from that expected, changes were made to the care plan in collaboration with the resident and/or whānau. Residents and whānau interviewed confirmed active involvement in the process, including one EPOA.</w:t>
            </w:r>
          </w:p>
          <w:p w14:paraId="48ABB218"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 resident’s needs change, or their assessed level of care is no longer meeting their needs, referral is made to the NASC for reassessment of needs. Examples of this occurring appropriately were sighted, and the nurse practitioner confirmed that nurses identify when a resident’s needs change and they are called appropriately when required.</w:t>
            </w:r>
          </w:p>
          <w:p w14:paraId="7DDC1DC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service development. Examples of choices and control over service delivery were discussed with staff, residents and whānau.  Tāngata whaikaha and whānau can independently access information.</w:t>
            </w:r>
          </w:p>
          <w:p w14:paraId="006E698E"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employed by Oceania to support the facility was interviewed, and stated that the standard of care was very good and they were called appropriately, and their instructions were followed.</w:t>
            </w:r>
          </w:p>
          <w:p w14:paraId="4E037473" w14:textId="77777777" w:rsidR="00000000" w:rsidRPr="00BE00C7" w:rsidRDefault="00000000" w:rsidP="0084374D">
            <w:pPr>
              <w:pStyle w:val="OutcomeDescription"/>
              <w:spacing w:before="120" w:after="120"/>
              <w:rPr>
                <w:rFonts w:cs="Arial"/>
                <w:lang w:eastAsia="en-NZ"/>
              </w:rPr>
            </w:pPr>
          </w:p>
        </w:tc>
      </w:tr>
      <w:tr w:rsidR="00801D17" w14:paraId="68729C6E" w14:textId="77777777">
        <w:tc>
          <w:tcPr>
            <w:tcW w:w="0" w:type="auto"/>
          </w:tcPr>
          <w:p w14:paraId="445981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8D497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EC59631" w14:textId="77777777" w:rsidR="00000000" w:rsidRPr="00BE00C7" w:rsidRDefault="00000000" w:rsidP="00BE00C7">
            <w:pPr>
              <w:pStyle w:val="OutcomeDescription"/>
              <w:spacing w:before="120" w:after="120"/>
              <w:rPr>
                <w:rFonts w:cs="Arial"/>
                <w:lang w:eastAsia="en-NZ"/>
              </w:rPr>
            </w:pPr>
          </w:p>
        </w:tc>
        <w:tc>
          <w:tcPr>
            <w:tcW w:w="0" w:type="auto"/>
          </w:tcPr>
          <w:p w14:paraId="0D1FBD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B8A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at The Oaks are provided by a diversional therapist (30 hours per week) who is supported by an activity's coordinator (20 hours per </w:t>
            </w:r>
            <w:r w:rsidRPr="00BE00C7">
              <w:rPr>
                <w:rFonts w:cs="Arial"/>
                <w:lang w:eastAsia="en-NZ"/>
              </w:rPr>
              <w:lastRenderedPageBreak/>
              <w:t>week). The BCM confirmed a recruitment process was underway to increase staffing in this area due to the recent admission of 27 residents from a nearby facility that was closing. The activities staff have developed an activities programme to support residents to maintain and develop their interests and was suitable for their age and stage of life, including for new residents.</w:t>
            </w:r>
          </w:p>
          <w:p w14:paraId="66E6784D"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meet the needs of Māori.</w:t>
            </w:r>
          </w:p>
          <w:p w14:paraId="32A20F85"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meetings and annual surveys. Those interviewed confirmed they found the programme met their needs.</w:t>
            </w:r>
          </w:p>
          <w:p w14:paraId="0E3A2A3A" w14:textId="77777777" w:rsidR="00000000" w:rsidRPr="00BE00C7" w:rsidRDefault="00000000" w:rsidP="00BE00C7">
            <w:pPr>
              <w:pStyle w:val="OutcomeDescription"/>
              <w:spacing w:before="120" w:after="120"/>
              <w:rPr>
                <w:rFonts w:cs="Arial"/>
                <w:lang w:eastAsia="en-NZ"/>
              </w:rPr>
            </w:pPr>
          </w:p>
        </w:tc>
      </w:tr>
      <w:tr w:rsidR="00801D17" w14:paraId="013CB3BD" w14:textId="77777777">
        <w:tc>
          <w:tcPr>
            <w:tcW w:w="0" w:type="auto"/>
          </w:tcPr>
          <w:p w14:paraId="0FE80B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420D5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AAD90F7" w14:textId="77777777" w:rsidR="00000000" w:rsidRPr="00BE00C7" w:rsidRDefault="00000000" w:rsidP="00BE00C7">
            <w:pPr>
              <w:pStyle w:val="OutcomeDescription"/>
              <w:spacing w:before="120" w:after="120"/>
              <w:rPr>
                <w:rFonts w:cs="Arial"/>
                <w:lang w:eastAsia="en-NZ"/>
              </w:rPr>
            </w:pPr>
          </w:p>
        </w:tc>
        <w:tc>
          <w:tcPr>
            <w:tcW w:w="0" w:type="auto"/>
          </w:tcPr>
          <w:p w14:paraId="3F9F08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09AC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3521B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All medications sighted were within current use-by dates.  The required stock checks had been completed, including for controlled drugs.  Medicines stored were within the recommended temperature range. </w:t>
            </w:r>
          </w:p>
          <w:p w14:paraId="6978DA45"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and medication reconciliation occurs.  Over-the-counter medication and supplements are considered by the prescriber as part of the person’s medication.</w:t>
            </w:r>
          </w:p>
          <w:p w14:paraId="5C5A7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Medicine-related allergies or sensitivities were recorded, and any adverse events responded to appropriately. The required three-monthly nurse or general practitioner review was consistently recorded on the medicine chart.  </w:t>
            </w:r>
          </w:p>
          <w:p w14:paraId="1517F2DC"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were not used.</w:t>
            </w:r>
          </w:p>
          <w:p w14:paraId="52CC8E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Self-administration of medication was safely facilitated and managed. </w:t>
            </w:r>
          </w:p>
          <w:p w14:paraId="0C80E7C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 There were no Māori residents at the time of audit; staff described how they would access traditional support for Māori if requested.</w:t>
            </w:r>
          </w:p>
          <w:p w14:paraId="4847B021" w14:textId="77777777" w:rsidR="00000000" w:rsidRPr="00BE00C7" w:rsidRDefault="00000000" w:rsidP="00BE00C7">
            <w:pPr>
              <w:pStyle w:val="OutcomeDescription"/>
              <w:spacing w:before="120" w:after="120"/>
              <w:rPr>
                <w:rFonts w:cs="Arial"/>
                <w:lang w:eastAsia="en-NZ"/>
              </w:rPr>
            </w:pPr>
          </w:p>
        </w:tc>
      </w:tr>
      <w:tr w:rsidR="00801D17" w14:paraId="7D901A3A" w14:textId="77777777">
        <w:tc>
          <w:tcPr>
            <w:tcW w:w="0" w:type="auto"/>
          </w:tcPr>
          <w:p w14:paraId="10C813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6A6D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AA4BC58" w14:textId="77777777" w:rsidR="00000000" w:rsidRPr="00BE00C7" w:rsidRDefault="00000000" w:rsidP="00BE00C7">
            <w:pPr>
              <w:pStyle w:val="OutcomeDescription"/>
              <w:spacing w:before="120" w:after="120"/>
              <w:rPr>
                <w:rFonts w:cs="Arial"/>
                <w:lang w:eastAsia="en-NZ"/>
              </w:rPr>
            </w:pPr>
          </w:p>
        </w:tc>
        <w:tc>
          <w:tcPr>
            <w:tcW w:w="0" w:type="auto"/>
          </w:tcPr>
          <w:p w14:paraId="0CDA53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05C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provided by a kitchen team led by an executive chef. The service is in line with recognised nutritional guidelines for older persons. The menu has been reviewed by a qualified dietitian within the last two years. Recommendations made at that time had been implemented.</w:t>
            </w:r>
          </w:p>
          <w:p w14:paraId="3EDF717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w:t>
            </w:r>
          </w:p>
          <w:p w14:paraId="1D100925"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intolerances, allergies and any special diets, and modified texture requirements are accommodated in the daily meal plan. Cultural preferences are considered, and Māori and their whānau have menu options that are culturally specific to te ao Māori as required.</w:t>
            </w:r>
          </w:p>
          <w:p w14:paraId="0B3B85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are able may participate in food preparation through the activity programme.</w:t>
            </w:r>
          </w:p>
          <w:p w14:paraId="056BBE1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1168D3C0" w14:textId="77777777" w:rsidR="00000000" w:rsidRPr="00BE00C7" w:rsidRDefault="00000000" w:rsidP="00BE00C7">
            <w:pPr>
              <w:pStyle w:val="OutcomeDescription"/>
              <w:spacing w:before="120" w:after="120"/>
              <w:rPr>
                <w:rFonts w:cs="Arial"/>
                <w:lang w:eastAsia="en-NZ"/>
              </w:rPr>
            </w:pPr>
          </w:p>
        </w:tc>
      </w:tr>
      <w:tr w:rsidR="00801D17" w14:paraId="239B3435" w14:textId="77777777">
        <w:tc>
          <w:tcPr>
            <w:tcW w:w="0" w:type="auto"/>
          </w:tcPr>
          <w:p w14:paraId="1C4B2D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0D95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25DC41" w14:textId="77777777" w:rsidR="00000000" w:rsidRPr="00BE00C7" w:rsidRDefault="00000000" w:rsidP="00BE00C7">
            <w:pPr>
              <w:pStyle w:val="OutcomeDescription"/>
              <w:spacing w:before="120" w:after="120"/>
              <w:rPr>
                <w:rFonts w:cs="Arial"/>
                <w:lang w:eastAsia="en-NZ"/>
              </w:rPr>
            </w:pPr>
          </w:p>
        </w:tc>
        <w:tc>
          <w:tcPr>
            <w:tcW w:w="0" w:type="auto"/>
          </w:tcPr>
          <w:p w14:paraId="7E7F7A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841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and </w:t>
            </w:r>
            <w:r w:rsidRPr="00BE00C7">
              <w:rPr>
                <w:rFonts w:cs="Arial"/>
                <w:lang w:eastAsia="en-NZ"/>
              </w:rPr>
              <w:lastRenderedPageBreak/>
              <w:t>evidence of residents transferred to hospital in acute situations were sighted. Whānau reported being kept well informed during the transfer of their relative.</w:t>
            </w:r>
          </w:p>
          <w:p w14:paraId="15FCF04B" w14:textId="77777777" w:rsidR="00000000" w:rsidRPr="00BE00C7" w:rsidRDefault="00000000" w:rsidP="00BE00C7">
            <w:pPr>
              <w:pStyle w:val="OutcomeDescription"/>
              <w:spacing w:before="120" w:after="120"/>
              <w:rPr>
                <w:rFonts w:cs="Arial"/>
                <w:lang w:eastAsia="en-NZ"/>
              </w:rPr>
            </w:pPr>
          </w:p>
        </w:tc>
      </w:tr>
      <w:tr w:rsidR="00801D17" w14:paraId="6E8ECF0E" w14:textId="77777777">
        <w:tc>
          <w:tcPr>
            <w:tcW w:w="0" w:type="auto"/>
          </w:tcPr>
          <w:p w14:paraId="142E89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8545E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7C1DBEF" w14:textId="77777777" w:rsidR="00000000" w:rsidRPr="00BE00C7" w:rsidRDefault="00000000" w:rsidP="00BE00C7">
            <w:pPr>
              <w:pStyle w:val="OutcomeDescription"/>
              <w:spacing w:before="120" w:after="120"/>
              <w:rPr>
                <w:rFonts w:cs="Arial"/>
                <w:lang w:eastAsia="en-NZ"/>
              </w:rPr>
            </w:pPr>
          </w:p>
        </w:tc>
        <w:tc>
          <w:tcPr>
            <w:tcW w:w="0" w:type="auto"/>
          </w:tcPr>
          <w:p w14:paraId="231F30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9B0FF2"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which includes both buildings, is publicly displayed. It expires on 1 July 2026.</w:t>
            </w:r>
          </w:p>
          <w:p w14:paraId="1DBFB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and that they meet legislative requirements. The maintenance personnel described the maintenance schedule, which was sighted. </w:t>
            </w:r>
          </w:p>
          <w:p w14:paraId="5E2E93A9" w14:textId="77777777" w:rsidR="00000000" w:rsidRPr="00BE00C7" w:rsidRDefault="00000000" w:rsidP="00BE00C7">
            <w:pPr>
              <w:pStyle w:val="OutcomeDescription"/>
              <w:spacing w:before="120" w:after="120"/>
              <w:rPr>
                <w:rFonts w:cs="Arial"/>
                <w:lang w:eastAsia="en-NZ"/>
              </w:rPr>
            </w:pPr>
            <w:r w:rsidRPr="00BE00C7">
              <w:rPr>
                <w:rFonts w:cs="Arial"/>
                <w:lang w:eastAsia="en-NZ"/>
              </w:rPr>
              <w:t>Equipment tagging and testing was current, as confirmed in interviews with the maintenance personnel, documentation and observation. Current calibration of biomedical records was sighted. Staff confirmed they know the processes they should follow if any repair or maintenance is required.</w:t>
            </w:r>
          </w:p>
          <w:p w14:paraId="3BE3B4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accessible to meet the mobility and equipment needs of people receiving services.  Personalised equipment was available for residents with disabilities to meet their needs. There is room to store mobility aids and wheelchairs. </w:t>
            </w:r>
          </w:p>
          <w:p w14:paraId="29803C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internal courtyard within both buildings was available for residents to use.  Spaces were culturally inclusive and suited the needs of the resident groups. </w:t>
            </w:r>
          </w:p>
          <w:p w14:paraId="379E07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number of areas where residents can relax, sit in smaller or larger groups for private conversations, or undertake activities. </w:t>
            </w:r>
          </w:p>
          <w:p w14:paraId="449326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dining areas and the lounge areas are spacious and enable easy access for residents and staff. Furniture is appropriate to the setting and residents’ needs. Bedrooms throughout the facility have a toilet and handbasin or full ensuites. </w:t>
            </w:r>
          </w:p>
          <w:p w14:paraId="5C4A03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adequate numbers of toilets and bathrooms of an appropriate design for residents. The number of toilet and bathroom facilities for visitors and staff is adequate. The fixtures, fittings, floors, and wall surfaces are constructed from materials that can be easily cleaned. Appropriately secured and approved handrails are provided, along with other equipment/accessories that are required to promote residents’ independence.</w:t>
            </w:r>
          </w:p>
          <w:p w14:paraId="1E7553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personal space is provided to allow residents and staff to move around within the bedrooms safely.  Rooms are personalised with furnishings, photos and other personal items displayed. Residents, whānau and staff reported the adequacy of bedrooms. </w:t>
            </w:r>
          </w:p>
          <w:p w14:paraId="161C43C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respect the residents’ spiritual and cultural requirements.</w:t>
            </w:r>
          </w:p>
          <w:p w14:paraId="555FEE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Heating is provided by underfloor heating.  Residents, whānau and staff were happy with the environment, including heating and ventilation, and privacy. Each area was warm and well-ventilated throughout the audit. </w:t>
            </w:r>
          </w:p>
          <w:p w14:paraId="5C531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reported, and documentation confirmed, that a cultural advisor who identified as Māori would be consulted and involved in the design of any new buildings.</w:t>
            </w:r>
          </w:p>
          <w:p w14:paraId="7BBBCC05" w14:textId="77777777" w:rsidR="00000000" w:rsidRPr="00BE00C7" w:rsidRDefault="00000000" w:rsidP="00BE00C7">
            <w:pPr>
              <w:pStyle w:val="OutcomeDescription"/>
              <w:spacing w:before="120" w:after="120"/>
              <w:rPr>
                <w:rFonts w:cs="Arial"/>
                <w:lang w:eastAsia="en-NZ"/>
              </w:rPr>
            </w:pPr>
          </w:p>
        </w:tc>
      </w:tr>
      <w:tr w:rsidR="00801D17" w14:paraId="632B24BC" w14:textId="77777777">
        <w:tc>
          <w:tcPr>
            <w:tcW w:w="0" w:type="auto"/>
          </w:tcPr>
          <w:p w14:paraId="77AA34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79A2E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0F7F058" w14:textId="77777777" w:rsidR="00000000" w:rsidRPr="00BE00C7" w:rsidRDefault="00000000" w:rsidP="00BE00C7">
            <w:pPr>
              <w:pStyle w:val="OutcomeDescription"/>
              <w:spacing w:before="120" w:after="120"/>
              <w:rPr>
                <w:rFonts w:cs="Arial"/>
                <w:lang w:eastAsia="en-NZ"/>
              </w:rPr>
            </w:pPr>
          </w:p>
        </w:tc>
        <w:tc>
          <w:tcPr>
            <w:tcW w:w="0" w:type="auto"/>
          </w:tcPr>
          <w:p w14:paraId="52CC51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508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31 August 1999.</w:t>
            </w:r>
          </w:p>
          <w:p w14:paraId="42D767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trial evacuation and training takes place six-monthly, with a record sent to Fire and Emergency New Zealand (FENZ). The most recent evacuation for residents in the main building was held on 19 June 2025. Residents in the building known as Acorn took part in an evacuation on 9 September 2025. The records were sighted.  </w:t>
            </w:r>
          </w:p>
          <w:p w14:paraId="5CA68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A wall-mounted flip chart provides guidance for staff on responding to civil emergency and disaster events. Emergency evacuation plans were displayed and known to staff. </w:t>
            </w:r>
          </w:p>
          <w:p w14:paraId="7B178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 programme includes fire and security training.  Staff </w:t>
            </w:r>
            <w:r w:rsidRPr="00BE00C7">
              <w:rPr>
                <w:rFonts w:cs="Arial"/>
                <w:lang w:eastAsia="en-NZ"/>
              </w:rPr>
              <w:lastRenderedPageBreak/>
              <w:t>files evidenced that staff are trained in emergency procedures.  Staff confirmed their awareness of the emergency procedures and attend regular fire drills. Fire extinguishers, call boxes, floor plans, sprinkler alarms, exit signs, and fire action notices were sighted.</w:t>
            </w:r>
          </w:p>
          <w:p w14:paraId="50413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attending fire safety training and records confirmed this. </w:t>
            </w:r>
          </w:p>
          <w:p w14:paraId="71EE49ED"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 first aid certificates were sighted in the support staff and RN files reviewed. The roster evidenced that a staff member on each shift held a current first aid certificate.</w:t>
            </w:r>
          </w:p>
          <w:p w14:paraId="5D970D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reported staff respond as promptly as possible to call bells. </w:t>
            </w:r>
          </w:p>
          <w:p w14:paraId="06F6392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and windows are locked at a predetermined time and staff undertake checks at night. Closed circuit surveillance cameras have been installed at the entrance of both buildings. Signage was in place.</w:t>
            </w:r>
          </w:p>
          <w:p w14:paraId="2EFBDA9F"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dry food, medical supplies, two BBQs and PPE were sighted. Emergency lighting is battery operated. Staff reported that a generator would be hired if necessary. Supplies were last checked on 2 September 2025. The maintenance personnel and BCM reported that there is sufficient water stored in ceiling holding tanks. Additional bottled water was sighted. This meets the National Emergency Management Agency recommendations for the region.  Residents are informed of the emergency and security arrangements at entry. Evidence that residents were reminded about fire safety was sighted in meeting minutes.</w:t>
            </w:r>
          </w:p>
          <w:p w14:paraId="0EFEE1DA" w14:textId="77777777" w:rsidR="00000000" w:rsidRPr="00BE00C7" w:rsidRDefault="00000000" w:rsidP="00BE00C7">
            <w:pPr>
              <w:pStyle w:val="OutcomeDescription"/>
              <w:spacing w:before="120" w:after="120"/>
              <w:rPr>
                <w:rFonts w:cs="Arial"/>
                <w:lang w:eastAsia="en-NZ"/>
              </w:rPr>
            </w:pPr>
          </w:p>
        </w:tc>
      </w:tr>
      <w:tr w:rsidR="00801D17" w14:paraId="3B43F4F5" w14:textId="77777777">
        <w:tc>
          <w:tcPr>
            <w:tcW w:w="0" w:type="auto"/>
          </w:tcPr>
          <w:p w14:paraId="092D37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6B74F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61790E7E" w14:textId="77777777" w:rsidR="00000000" w:rsidRPr="00BE00C7" w:rsidRDefault="00000000" w:rsidP="00BE00C7">
            <w:pPr>
              <w:pStyle w:val="OutcomeDescription"/>
              <w:spacing w:before="120" w:after="120"/>
              <w:rPr>
                <w:rFonts w:cs="Arial"/>
                <w:lang w:eastAsia="en-NZ"/>
              </w:rPr>
            </w:pPr>
          </w:p>
        </w:tc>
        <w:tc>
          <w:tcPr>
            <w:tcW w:w="0" w:type="auto"/>
          </w:tcPr>
          <w:p w14:paraId="7C2DE5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D48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7EAF4E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led by the Oceania director of nursing, who also leads the clinical governance team. The clinical governance group oversees </w:t>
            </w:r>
            <w:r w:rsidRPr="00BE00C7">
              <w:rPr>
                <w:rFonts w:cs="Arial"/>
                <w:lang w:eastAsia="en-NZ"/>
              </w:rPr>
              <w:lastRenderedPageBreak/>
              <w:t>all clinical issues within Oceania Healthcare.</w:t>
            </w:r>
          </w:p>
          <w:p w14:paraId="266F2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Oaks has IP and AMS programmes outlined in its policy documents. This is being supported at the governance level through clinically competent specialist personnel who make sure that IP and AMS are being appropriately managed at the facility level and to support facilities as required.</w:t>
            </w:r>
          </w:p>
          <w:p w14:paraId="107B532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AMS information is discussed at clinical governance meetings, and reported to the board at board meetings.</w:t>
            </w:r>
          </w:p>
          <w:p w14:paraId="6632AD2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discussed at the facility and is fed back to staff, residents and whānau as required. Minutes evidenced the reporting of issues and significant events.</w:t>
            </w:r>
          </w:p>
          <w:p w14:paraId="4128A54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responsible for the IP and AMS programmes at the facility.</w:t>
            </w:r>
          </w:p>
          <w:p w14:paraId="4F5969E9"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The BCM reported that the facility can access IP and AMS expertise through Oceania colleagues, Te Whatu Ora, nurse practitioner and GP, and outbreaks can be escalated through them when required.</w:t>
            </w:r>
          </w:p>
          <w:p w14:paraId="3440F6AC" w14:textId="77777777" w:rsidR="00000000" w:rsidRPr="00BE00C7" w:rsidRDefault="00000000" w:rsidP="00BE00C7">
            <w:pPr>
              <w:pStyle w:val="OutcomeDescription"/>
              <w:spacing w:before="120" w:after="120"/>
              <w:rPr>
                <w:rFonts w:cs="Arial"/>
                <w:lang w:eastAsia="en-NZ"/>
              </w:rPr>
            </w:pPr>
          </w:p>
        </w:tc>
      </w:tr>
      <w:tr w:rsidR="00801D17" w14:paraId="1CE0764D" w14:textId="77777777">
        <w:tc>
          <w:tcPr>
            <w:tcW w:w="0" w:type="auto"/>
          </w:tcPr>
          <w:p w14:paraId="391937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785CE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357E1E1" w14:textId="77777777" w:rsidR="00000000" w:rsidRPr="00BE00C7" w:rsidRDefault="00000000" w:rsidP="00BE00C7">
            <w:pPr>
              <w:pStyle w:val="OutcomeDescription"/>
              <w:spacing w:before="120" w:after="120"/>
              <w:rPr>
                <w:rFonts w:cs="Arial"/>
                <w:lang w:eastAsia="en-NZ"/>
              </w:rPr>
            </w:pPr>
          </w:p>
        </w:tc>
        <w:tc>
          <w:tcPr>
            <w:tcW w:w="0" w:type="auto"/>
          </w:tcPr>
          <w:p w14:paraId="5D812C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8EB0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stewardship programme in place that has been developed by those with IP expertise, is linked to the quality improvement programme, and has been approved by the Oceania governing body. Annual review of the programme, with reporting to governance, has occurred.</w:t>
            </w:r>
          </w:p>
          <w:p w14:paraId="60177B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w:t>
            </w:r>
          </w:p>
          <w:p w14:paraId="7FD837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w:t>
            </w:r>
            <w:r w:rsidRPr="00BE00C7">
              <w:rPr>
                <w:rFonts w:cs="Arial"/>
                <w:lang w:eastAsia="en-NZ"/>
              </w:rPr>
              <w:lastRenderedPageBreak/>
              <w:t>Cultural advice is accessed where appropriate.</w:t>
            </w:r>
          </w:p>
          <w:p w14:paraId="24E289E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these correctly. Residents and their whānau are educated about infection prevention in a manner that meets their needs. Educational resources are available in te reo Māori.</w:t>
            </w:r>
          </w:p>
          <w:p w14:paraId="21D0F3EE"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682AADD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485C6D78" w14:textId="77777777" w:rsidR="00000000" w:rsidRPr="00BE00C7" w:rsidRDefault="00000000" w:rsidP="00BE00C7">
            <w:pPr>
              <w:pStyle w:val="OutcomeDescription"/>
              <w:spacing w:before="120" w:after="120"/>
              <w:rPr>
                <w:rFonts w:cs="Arial"/>
                <w:lang w:eastAsia="en-NZ"/>
              </w:rPr>
            </w:pPr>
          </w:p>
        </w:tc>
      </w:tr>
      <w:tr w:rsidR="00801D17" w14:paraId="4FD849B3" w14:textId="77777777">
        <w:tc>
          <w:tcPr>
            <w:tcW w:w="0" w:type="auto"/>
          </w:tcPr>
          <w:p w14:paraId="6A273C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E45A3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0A0010F" w14:textId="77777777" w:rsidR="00000000" w:rsidRPr="00BE00C7" w:rsidRDefault="00000000" w:rsidP="00BE00C7">
            <w:pPr>
              <w:pStyle w:val="OutcomeDescription"/>
              <w:spacing w:before="120" w:after="120"/>
              <w:rPr>
                <w:rFonts w:cs="Arial"/>
                <w:lang w:eastAsia="en-NZ"/>
              </w:rPr>
            </w:pPr>
          </w:p>
        </w:tc>
        <w:tc>
          <w:tcPr>
            <w:tcW w:w="0" w:type="auto"/>
          </w:tcPr>
          <w:p w14:paraId="255576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A20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w:t>
            </w:r>
          </w:p>
          <w:p w14:paraId="14EC3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AMS programme has been approved by the Oceania governance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w:t>
            </w:r>
          </w:p>
          <w:p w14:paraId="45A7BAA4"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records of infections and prescribed antibiotic treatment were maintained. The monthly analysis of data includes antibiotic usage and identifies areas for improvement.</w:t>
            </w:r>
          </w:p>
          <w:p w14:paraId="4EAFF860" w14:textId="77777777" w:rsidR="00000000" w:rsidRPr="00BE00C7" w:rsidRDefault="00000000" w:rsidP="00BE00C7">
            <w:pPr>
              <w:pStyle w:val="OutcomeDescription"/>
              <w:spacing w:before="120" w:after="120"/>
              <w:rPr>
                <w:rFonts w:cs="Arial"/>
                <w:lang w:eastAsia="en-NZ"/>
              </w:rPr>
            </w:pPr>
          </w:p>
        </w:tc>
      </w:tr>
      <w:tr w:rsidR="00801D17" w14:paraId="71F2F025" w14:textId="77777777">
        <w:tc>
          <w:tcPr>
            <w:tcW w:w="0" w:type="auto"/>
          </w:tcPr>
          <w:p w14:paraId="379035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2545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998CD5E" w14:textId="77777777" w:rsidR="00000000" w:rsidRPr="00BE00C7" w:rsidRDefault="00000000" w:rsidP="00BE00C7">
            <w:pPr>
              <w:pStyle w:val="OutcomeDescription"/>
              <w:spacing w:before="120" w:after="120"/>
              <w:rPr>
                <w:rFonts w:cs="Arial"/>
                <w:lang w:eastAsia="en-NZ"/>
              </w:rPr>
            </w:pPr>
          </w:p>
        </w:tc>
        <w:tc>
          <w:tcPr>
            <w:tcW w:w="0" w:type="auto"/>
          </w:tcPr>
          <w:p w14:paraId="260B6D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825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Standardised definitions are used, and monthly surveillance data, including ethnicity </w:t>
            </w:r>
            <w:r w:rsidRPr="00BE00C7">
              <w:rPr>
                <w:rFonts w:cs="Arial"/>
                <w:lang w:eastAsia="en-NZ"/>
              </w:rPr>
              <w:lastRenderedPageBreak/>
              <w:t xml:space="preserve">data, is collated and analysed to identify any trends, possible causative factors, and required actions.  Benchmarking with other facilities in the group occurs. </w:t>
            </w:r>
          </w:p>
          <w:p w14:paraId="66F0A769"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the surveillance programme are reported to Oceania governing body, the facility management and shared with staff. Documentation from a 2024 outbreak was reviewed and demonstrated a thorough process for monitoring and follow-up.  Learnings from the event have now been incorporated into practice.</w:t>
            </w:r>
          </w:p>
          <w:p w14:paraId="39534D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 processes for culturally safe communication between staff and residents. Residents and whānau/EPOA interviewed were happy with the communication from staff in relation to health care-acquired infection.</w:t>
            </w:r>
          </w:p>
          <w:p w14:paraId="4BD97F3C" w14:textId="77777777" w:rsidR="00000000" w:rsidRPr="00BE00C7" w:rsidRDefault="00000000" w:rsidP="00BE00C7">
            <w:pPr>
              <w:pStyle w:val="OutcomeDescription"/>
              <w:spacing w:before="120" w:after="120"/>
              <w:rPr>
                <w:rFonts w:cs="Arial"/>
                <w:lang w:eastAsia="en-NZ"/>
              </w:rPr>
            </w:pPr>
          </w:p>
        </w:tc>
      </w:tr>
      <w:tr w:rsidR="00801D17" w14:paraId="1DAF14BD" w14:textId="77777777">
        <w:tc>
          <w:tcPr>
            <w:tcW w:w="0" w:type="auto"/>
          </w:tcPr>
          <w:p w14:paraId="0FF3A2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0C0C5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E5E5C23" w14:textId="77777777" w:rsidR="00000000" w:rsidRPr="00BE00C7" w:rsidRDefault="00000000" w:rsidP="00BE00C7">
            <w:pPr>
              <w:pStyle w:val="OutcomeDescription"/>
              <w:spacing w:before="120" w:after="120"/>
              <w:rPr>
                <w:rFonts w:cs="Arial"/>
                <w:lang w:eastAsia="en-NZ"/>
              </w:rPr>
            </w:pPr>
          </w:p>
        </w:tc>
        <w:tc>
          <w:tcPr>
            <w:tcW w:w="0" w:type="auto"/>
          </w:tcPr>
          <w:p w14:paraId="15018E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D3BB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10C98B4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cleaning, laundry, and the management of waste and infectious and hazardous substances.  Chemicals were stored safely. Staff involved had completed relevant training and were observed to carry out duties safely.</w:t>
            </w:r>
          </w:p>
          <w:p w14:paraId="1EF0FE6F"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is completed offsite at a nearby Oceania facility. This is well managed, and processes are in place to ensure the separation of clean and dirty laundry.</w:t>
            </w:r>
          </w:p>
          <w:p w14:paraId="1E5DA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are monitored for effectiveness. </w:t>
            </w:r>
          </w:p>
          <w:p w14:paraId="09066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personnel have oversight of the environmental testing and monitoring programme.  </w:t>
            </w:r>
          </w:p>
          <w:p w14:paraId="56EE3FA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whānau/EPOA reported that the laundry is managed very well, and the facility is kept clean and tidy. This was confirmed through observations.</w:t>
            </w:r>
          </w:p>
          <w:p w14:paraId="0D0BEDD1" w14:textId="77777777" w:rsidR="00000000" w:rsidRPr="00BE00C7" w:rsidRDefault="00000000" w:rsidP="00BE00C7">
            <w:pPr>
              <w:pStyle w:val="OutcomeDescription"/>
              <w:spacing w:before="120" w:after="120"/>
              <w:rPr>
                <w:rFonts w:cs="Arial"/>
                <w:lang w:eastAsia="en-NZ"/>
              </w:rPr>
            </w:pPr>
          </w:p>
        </w:tc>
      </w:tr>
      <w:tr w:rsidR="00801D17" w14:paraId="4344D25B" w14:textId="77777777">
        <w:tc>
          <w:tcPr>
            <w:tcW w:w="0" w:type="auto"/>
          </w:tcPr>
          <w:p w14:paraId="60BB57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E231A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C9E174" w14:textId="77777777" w:rsidR="00000000" w:rsidRPr="00BE00C7" w:rsidRDefault="00000000" w:rsidP="00BE00C7">
            <w:pPr>
              <w:pStyle w:val="OutcomeDescription"/>
              <w:spacing w:before="120" w:after="120"/>
              <w:rPr>
                <w:rFonts w:cs="Arial"/>
                <w:lang w:eastAsia="en-NZ"/>
              </w:rPr>
            </w:pPr>
          </w:p>
        </w:tc>
        <w:tc>
          <w:tcPr>
            <w:tcW w:w="0" w:type="auto"/>
          </w:tcPr>
          <w:p w14:paraId="22DB0B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4907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Healthcare has a focus of restraint elimination across all of its facilities. The board is fully supportive of this approach and confirmed </w:t>
            </w:r>
            <w:r w:rsidRPr="00BE00C7">
              <w:rPr>
                <w:rFonts w:cs="Arial"/>
                <w:lang w:eastAsia="en-NZ"/>
              </w:rPr>
              <w:lastRenderedPageBreak/>
              <w:t xml:space="preserve">that a full report on restraint use from all facilities, including The Oaks, is provided to the board annually. At the time of audit, no residents were observed to be using a restraint. This was confirmed by the BCM, CM and staff. </w:t>
            </w:r>
          </w:p>
          <w:p w14:paraId="34B49C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(RC) is a defined role undertaken by a senior RN who would provide support and oversight should restraint be required in the future. There is a job description that outlines the role, and the RC has had specific education around restraint and its use. </w:t>
            </w:r>
          </w:p>
          <w:p w14:paraId="0FD62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reported that the BCM, CM and RC would be involved in the purchase of equipment should it be needed.</w:t>
            </w:r>
          </w:p>
          <w:p w14:paraId="256B9FB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competencies for staff in least restrictive practice, safe restraint practice, alternative cultural-specific interventions, de-escalation techniques, and restraint monitoring had been completed. Restraint protocols are also covered in the orientation programme of the facility.</w:t>
            </w:r>
          </w:p>
          <w:p w14:paraId="2CD9F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Oaks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4167341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w:t>
            </w:r>
          </w:p>
          <w:p w14:paraId="2F46B39F"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in use since 2019, subsections 6.2 and 6.3 have not been audited.</w:t>
            </w:r>
          </w:p>
          <w:p w14:paraId="46659D00" w14:textId="77777777" w:rsidR="00000000" w:rsidRPr="00BE00C7" w:rsidRDefault="00000000" w:rsidP="00BE00C7">
            <w:pPr>
              <w:pStyle w:val="OutcomeDescription"/>
              <w:spacing w:before="120" w:after="120"/>
              <w:rPr>
                <w:rFonts w:cs="Arial"/>
                <w:lang w:eastAsia="en-NZ"/>
              </w:rPr>
            </w:pPr>
          </w:p>
        </w:tc>
      </w:tr>
    </w:tbl>
    <w:p w14:paraId="4246C03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F4962BD" w14:textId="77777777" w:rsidR="00000000" w:rsidRDefault="00000000">
      <w:pPr>
        <w:pStyle w:val="Heading1"/>
        <w:rPr>
          <w:rFonts w:cs="Arial"/>
        </w:rPr>
      </w:pPr>
      <w:r>
        <w:rPr>
          <w:rFonts w:cs="Arial"/>
        </w:rPr>
        <w:lastRenderedPageBreak/>
        <w:t>Specific results for criterion where corrective actions are required</w:t>
      </w:r>
    </w:p>
    <w:p w14:paraId="2D5DB53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EFCEC0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7F85AA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01D17" w14:paraId="79A446B3" w14:textId="77777777">
        <w:tc>
          <w:tcPr>
            <w:tcW w:w="0" w:type="auto"/>
          </w:tcPr>
          <w:p w14:paraId="1DB9BD6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E392DE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2A2A78B" w14:textId="77777777" w:rsidR="00000000" w:rsidRDefault="00000000">
      <w:pPr>
        <w:pStyle w:val="Heading1"/>
        <w:rPr>
          <w:rFonts w:cs="Arial"/>
        </w:rPr>
      </w:pPr>
      <w:r>
        <w:rPr>
          <w:rFonts w:cs="Arial"/>
        </w:rPr>
        <w:lastRenderedPageBreak/>
        <w:t>Specific results for criterion where a continuous improvement has been recorded</w:t>
      </w:r>
    </w:p>
    <w:p w14:paraId="15027B4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402F5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648FD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01D17" w14:paraId="598DF210" w14:textId="77777777">
        <w:tc>
          <w:tcPr>
            <w:tcW w:w="0" w:type="auto"/>
          </w:tcPr>
          <w:p w14:paraId="14F0162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8C363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F09A79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5E50" w14:textId="77777777" w:rsidR="004C6368" w:rsidRDefault="004C6368">
      <w:r>
        <w:separator/>
      </w:r>
    </w:p>
  </w:endnote>
  <w:endnote w:type="continuationSeparator" w:id="0">
    <w:p w14:paraId="44A5BF95" w14:textId="77777777" w:rsidR="004C6368" w:rsidRDefault="004C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F5E3" w14:textId="77777777" w:rsidR="00000000" w:rsidRDefault="00000000">
    <w:pPr>
      <w:pStyle w:val="Footer"/>
    </w:pPr>
  </w:p>
  <w:p w14:paraId="3E7FCB13" w14:textId="77777777" w:rsidR="00000000" w:rsidRDefault="00000000"/>
  <w:p w14:paraId="479E67E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F16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The Oaks Rest Home and Village</w:t>
    </w:r>
    <w:bookmarkEnd w:id="59"/>
    <w:r>
      <w:rPr>
        <w:rFonts w:cs="Arial"/>
        <w:sz w:val="16"/>
        <w:szCs w:val="20"/>
      </w:rPr>
      <w:tab/>
      <w:t xml:space="preserve">Date of Audit: </w:t>
    </w:r>
    <w:bookmarkStart w:id="60" w:name="AuditStartDate1"/>
    <w:r>
      <w:rPr>
        <w:rFonts w:cs="Arial"/>
        <w:sz w:val="16"/>
        <w:szCs w:val="20"/>
      </w:rPr>
      <w:t>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AED9B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A7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5E77" w14:textId="77777777" w:rsidR="004C6368" w:rsidRDefault="004C6368">
      <w:r>
        <w:separator/>
      </w:r>
    </w:p>
  </w:footnote>
  <w:footnote w:type="continuationSeparator" w:id="0">
    <w:p w14:paraId="32F74AD4" w14:textId="77777777" w:rsidR="004C6368" w:rsidRDefault="004C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ACA" w14:textId="77777777" w:rsidR="00000000" w:rsidRDefault="00000000">
    <w:pPr>
      <w:pStyle w:val="Header"/>
    </w:pPr>
  </w:p>
  <w:p w14:paraId="0AD95B8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87F0" w14:textId="77777777" w:rsidR="00000000" w:rsidRDefault="00000000">
    <w:pPr>
      <w:pStyle w:val="Header"/>
    </w:pPr>
  </w:p>
  <w:p w14:paraId="33B3DA4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8D2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AD035CE">
      <w:start w:val="1"/>
      <w:numFmt w:val="decimal"/>
      <w:lvlText w:val="%1."/>
      <w:lvlJc w:val="left"/>
      <w:pPr>
        <w:ind w:left="360" w:hanging="360"/>
      </w:pPr>
    </w:lvl>
    <w:lvl w:ilvl="1" w:tplc="AE2A1972" w:tentative="1">
      <w:start w:val="1"/>
      <w:numFmt w:val="lowerLetter"/>
      <w:lvlText w:val="%2."/>
      <w:lvlJc w:val="left"/>
      <w:pPr>
        <w:ind w:left="1080" w:hanging="360"/>
      </w:pPr>
    </w:lvl>
    <w:lvl w:ilvl="2" w:tplc="8FCAA282" w:tentative="1">
      <w:start w:val="1"/>
      <w:numFmt w:val="lowerRoman"/>
      <w:lvlText w:val="%3."/>
      <w:lvlJc w:val="right"/>
      <w:pPr>
        <w:ind w:left="1800" w:hanging="180"/>
      </w:pPr>
    </w:lvl>
    <w:lvl w:ilvl="3" w:tplc="DD661D9A" w:tentative="1">
      <w:start w:val="1"/>
      <w:numFmt w:val="decimal"/>
      <w:lvlText w:val="%4."/>
      <w:lvlJc w:val="left"/>
      <w:pPr>
        <w:ind w:left="2520" w:hanging="360"/>
      </w:pPr>
    </w:lvl>
    <w:lvl w:ilvl="4" w:tplc="F83EEA5E" w:tentative="1">
      <w:start w:val="1"/>
      <w:numFmt w:val="lowerLetter"/>
      <w:lvlText w:val="%5."/>
      <w:lvlJc w:val="left"/>
      <w:pPr>
        <w:ind w:left="3240" w:hanging="360"/>
      </w:pPr>
    </w:lvl>
    <w:lvl w:ilvl="5" w:tplc="B2C48372" w:tentative="1">
      <w:start w:val="1"/>
      <w:numFmt w:val="lowerRoman"/>
      <w:lvlText w:val="%6."/>
      <w:lvlJc w:val="right"/>
      <w:pPr>
        <w:ind w:left="3960" w:hanging="180"/>
      </w:pPr>
    </w:lvl>
    <w:lvl w:ilvl="6" w:tplc="297027C6" w:tentative="1">
      <w:start w:val="1"/>
      <w:numFmt w:val="decimal"/>
      <w:lvlText w:val="%7."/>
      <w:lvlJc w:val="left"/>
      <w:pPr>
        <w:ind w:left="4680" w:hanging="360"/>
      </w:pPr>
    </w:lvl>
    <w:lvl w:ilvl="7" w:tplc="632E503A" w:tentative="1">
      <w:start w:val="1"/>
      <w:numFmt w:val="lowerLetter"/>
      <w:lvlText w:val="%8."/>
      <w:lvlJc w:val="left"/>
      <w:pPr>
        <w:ind w:left="5400" w:hanging="360"/>
      </w:pPr>
    </w:lvl>
    <w:lvl w:ilvl="8" w:tplc="467421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AEE8746">
      <w:start w:val="1"/>
      <w:numFmt w:val="bullet"/>
      <w:lvlText w:val=""/>
      <w:lvlJc w:val="left"/>
      <w:pPr>
        <w:ind w:left="720" w:hanging="360"/>
      </w:pPr>
      <w:rPr>
        <w:rFonts w:ascii="Symbol" w:hAnsi="Symbol" w:hint="default"/>
      </w:rPr>
    </w:lvl>
    <w:lvl w:ilvl="1" w:tplc="FD287C84" w:tentative="1">
      <w:start w:val="1"/>
      <w:numFmt w:val="bullet"/>
      <w:lvlText w:val="o"/>
      <w:lvlJc w:val="left"/>
      <w:pPr>
        <w:ind w:left="1440" w:hanging="360"/>
      </w:pPr>
      <w:rPr>
        <w:rFonts w:ascii="Courier New" w:hAnsi="Courier New" w:cs="Courier New" w:hint="default"/>
      </w:rPr>
    </w:lvl>
    <w:lvl w:ilvl="2" w:tplc="32540956" w:tentative="1">
      <w:start w:val="1"/>
      <w:numFmt w:val="bullet"/>
      <w:lvlText w:val=""/>
      <w:lvlJc w:val="left"/>
      <w:pPr>
        <w:ind w:left="2160" w:hanging="360"/>
      </w:pPr>
      <w:rPr>
        <w:rFonts w:ascii="Wingdings" w:hAnsi="Wingdings" w:hint="default"/>
      </w:rPr>
    </w:lvl>
    <w:lvl w:ilvl="3" w:tplc="A62206F2" w:tentative="1">
      <w:start w:val="1"/>
      <w:numFmt w:val="bullet"/>
      <w:lvlText w:val=""/>
      <w:lvlJc w:val="left"/>
      <w:pPr>
        <w:ind w:left="2880" w:hanging="360"/>
      </w:pPr>
      <w:rPr>
        <w:rFonts w:ascii="Symbol" w:hAnsi="Symbol" w:hint="default"/>
      </w:rPr>
    </w:lvl>
    <w:lvl w:ilvl="4" w:tplc="AB903F04" w:tentative="1">
      <w:start w:val="1"/>
      <w:numFmt w:val="bullet"/>
      <w:lvlText w:val="o"/>
      <w:lvlJc w:val="left"/>
      <w:pPr>
        <w:ind w:left="3600" w:hanging="360"/>
      </w:pPr>
      <w:rPr>
        <w:rFonts w:ascii="Courier New" w:hAnsi="Courier New" w:cs="Courier New" w:hint="default"/>
      </w:rPr>
    </w:lvl>
    <w:lvl w:ilvl="5" w:tplc="F2A0A586" w:tentative="1">
      <w:start w:val="1"/>
      <w:numFmt w:val="bullet"/>
      <w:lvlText w:val=""/>
      <w:lvlJc w:val="left"/>
      <w:pPr>
        <w:ind w:left="4320" w:hanging="360"/>
      </w:pPr>
      <w:rPr>
        <w:rFonts w:ascii="Wingdings" w:hAnsi="Wingdings" w:hint="default"/>
      </w:rPr>
    </w:lvl>
    <w:lvl w:ilvl="6" w:tplc="8F86A5F6" w:tentative="1">
      <w:start w:val="1"/>
      <w:numFmt w:val="bullet"/>
      <w:lvlText w:val=""/>
      <w:lvlJc w:val="left"/>
      <w:pPr>
        <w:ind w:left="5040" w:hanging="360"/>
      </w:pPr>
      <w:rPr>
        <w:rFonts w:ascii="Symbol" w:hAnsi="Symbol" w:hint="default"/>
      </w:rPr>
    </w:lvl>
    <w:lvl w:ilvl="7" w:tplc="6A26A780" w:tentative="1">
      <w:start w:val="1"/>
      <w:numFmt w:val="bullet"/>
      <w:lvlText w:val="o"/>
      <w:lvlJc w:val="left"/>
      <w:pPr>
        <w:ind w:left="5760" w:hanging="360"/>
      </w:pPr>
      <w:rPr>
        <w:rFonts w:ascii="Courier New" w:hAnsi="Courier New" w:cs="Courier New" w:hint="default"/>
      </w:rPr>
    </w:lvl>
    <w:lvl w:ilvl="8" w:tplc="67AE14EC" w:tentative="1">
      <w:start w:val="1"/>
      <w:numFmt w:val="bullet"/>
      <w:lvlText w:val=""/>
      <w:lvlJc w:val="left"/>
      <w:pPr>
        <w:ind w:left="6480" w:hanging="360"/>
      </w:pPr>
      <w:rPr>
        <w:rFonts w:ascii="Wingdings" w:hAnsi="Wingdings" w:hint="default"/>
      </w:rPr>
    </w:lvl>
  </w:abstractNum>
  <w:num w:numId="1" w16cid:durableId="1928077001">
    <w:abstractNumId w:val="1"/>
  </w:num>
  <w:num w:numId="2" w16cid:durableId="129545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7"/>
    <w:rsid w:val="00471FC3"/>
    <w:rsid w:val="004C6368"/>
    <w:rsid w:val="00801D17"/>
    <w:rsid w:val="008437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E9C1"/>
  <w15:docId w15:val="{B70E8223-63AB-4F6C-88BC-BFCA22F0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10657</Words>
  <Characters>60746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2025-10-30T00:51:00Z</dcterms:created>
  <dcterms:modified xsi:type="dcterms:W3CDTF">2025-10-30T00:51:00Z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