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5438" w14:textId="77777777" w:rsidR="00000000" w:rsidRDefault="00000000">
      <w:pPr>
        <w:pStyle w:val="Heading1"/>
        <w:rPr>
          <w:rFonts w:cs="Arial"/>
        </w:rPr>
      </w:pPr>
      <w:bookmarkStart w:id="0" w:name="PRMS_RIName"/>
      <w:r>
        <w:rPr>
          <w:rFonts w:cs="Arial"/>
        </w:rPr>
        <w:t>Kaylex Care Limited - Eastcare Residential Home</w:t>
      </w:r>
      <w:bookmarkEnd w:id="0"/>
    </w:p>
    <w:p w14:paraId="7E65A4A8" w14:textId="77777777" w:rsidR="00000000" w:rsidRDefault="00000000">
      <w:pPr>
        <w:pStyle w:val="Heading2"/>
        <w:spacing w:after="0"/>
        <w:rPr>
          <w:rFonts w:cs="Arial"/>
        </w:rPr>
      </w:pPr>
      <w:r>
        <w:rPr>
          <w:rFonts w:cs="Arial"/>
        </w:rPr>
        <w:t>Introduction</w:t>
      </w:r>
    </w:p>
    <w:p w14:paraId="1C6AC9B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7C8BDD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B284EA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45D48A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9BA4575" w14:textId="77777777" w:rsidR="00000000" w:rsidRDefault="00000000">
      <w:pPr>
        <w:spacing w:before="240" w:after="240"/>
        <w:rPr>
          <w:rFonts w:cs="Arial"/>
          <w:lang w:eastAsia="en-NZ"/>
        </w:rPr>
      </w:pPr>
      <w:r>
        <w:rPr>
          <w:rFonts w:cs="Arial"/>
          <w:lang w:eastAsia="en-NZ"/>
        </w:rPr>
        <w:t>The specifics of this audit included:</w:t>
      </w:r>
    </w:p>
    <w:p w14:paraId="1A0751D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5DBE27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Kaylex Care Limited</w:t>
      </w:r>
      <w:bookmarkEnd w:id="4"/>
    </w:p>
    <w:p w14:paraId="7F8B2FD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Eastcare Residential Home</w:t>
      </w:r>
      <w:bookmarkEnd w:id="5"/>
    </w:p>
    <w:p w14:paraId="19B731A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23F9D3A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September 2025</w:t>
      </w:r>
      <w:bookmarkEnd w:id="7"/>
      <w:r w:rsidRPr="009418D4">
        <w:rPr>
          <w:rFonts w:cs="Arial"/>
        </w:rPr>
        <w:tab/>
        <w:t xml:space="preserve">End date: </w:t>
      </w:r>
      <w:bookmarkStart w:id="8" w:name="AuditEndDate"/>
      <w:r>
        <w:rPr>
          <w:rFonts w:cs="Arial"/>
        </w:rPr>
        <w:t>18 September 2025</w:t>
      </w:r>
      <w:bookmarkEnd w:id="8"/>
    </w:p>
    <w:p w14:paraId="423A6A2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607B0B0" w14:textId="77777777" w:rsidR="0027759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34</w:t>
      </w:r>
      <w:bookmarkEnd w:id="10"/>
    </w:p>
    <w:p w14:paraId="00122B3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4102682" w14:textId="77777777" w:rsidR="00000000" w:rsidRDefault="00000000">
      <w:pPr>
        <w:pStyle w:val="Heading1"/>
        <w:rPr>
          <w:rFonts w:cs="Arial"/>
        </w:rPr>
      </w:pPr>
      <w:r>
        <w:rPr>
          <w:rFonts w:cs="Arial"/>
        </w:rPr>
        <w:lastRenderedPageBreak/>
        <w:t>Executive summary of the audit</w:t>
      </w:r>
    </w:p>
    <w:p w14:paraId="0AA2210C" w14:textId="77777777" w:rsidR="00000000" w:rsidRDefault="00000000">
      <w:pPr>
        <w:pStyle w:val="Heading2"/>
        <w:rPr>
          <w:rFonts w:cs="Arial"/>
        </w:rPr>
      </w:pPr>
      <w:r>
        <w:rPr>
          <w:rFonts w:cs="Arial"/>
        </w:rPr>
        <w:t>Introduction</w:t>
      </w:r>
    </w:p>
    <w:p w14:paraId="08DA85F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2529FA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6C3058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2B9148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154F69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384517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6357FC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D73897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46E454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77595" w14:paraId="201C7DD6" w14:textId="77777777">
        <w:trPr>
          <w:cantSplit/>
          <w:tblHeader/>
        </w:trPr>
        <w:tc>
          <w:tcPr>
            <w:tcW w:w="1260" w:type="dxa"/>
            <w:tcBorders>
              <w:bottom w:val="single" w:sz="4" w:space="0" w:color="000000"/>
            </w:tcBorders>
            <w:vAlign w:val="center"/>
          </w:tcPr>
          <w:p w14:paraId="25643F3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1D9B79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865AFF7" w14:textId="77777777" w:rsidR="00000000" w:rsidRDefault="00000000">
            <w:pPr>
              <w:spacing w:before="60" w:after="60"/>
              <w:rPr>
                <w:rFonts w:eastAsia="Calibri"/>
                <w:b/>
                <w:szCs w:val="24"/>
              </w:rPr>
            </w:pPr>
            <w:r>
              <w:rPr>
                <w:rFonts w:eastAsia="Calibri"/>
                <w:b/>
                <w:szCs w:val="24"/>
              </w:rPr>
              <w:t>Definition</w:t>
            </w:r>
          </w:p>
        </w:tc>
      </w:tr>
      <w:tr w:rsidR="00277595" w14:paraId="694BE9D7" w14:textId="77777777">
        <w:trPr>
          <w:cantSplit/>
          <w:trHeight w:val="964"/>
        </w:trPr>
        <w:tc>
          <w:tcPr>
            <w:tcW w:w="1260" w:type="dxa"/>
            <w:tcBorders>
              <w:bottom w:val="single" w:sz="4" w:space="0" w:color="000000"/>
            </w:tcBorders>
            <w:shd w:val="clear" w:color="0066FF" w:fill="0000FF"/>
            <w:vAlign w:val="center"/>
          </w:tcPr>
          <w:p w14:paraId="00142BD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0E1F02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6C6F25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77595" w14:paraId="7E3EBF9D" w14:textId="77777777">
        <w:trPr>
          <w:cantSplit/>
          <w:trHeight w:val="964"/>
        </w:trPr>
        <w:tc>
          <w:tcPr>
            <w:tcW w:w="1260" w:type="dxa"/>
            <w:shd w:val="clear" w:color="33CC33" w:fill="00FF00"/>
            <w:vAlign w:val="center"/>
          </w:tcPr>
          <w:p w14:paraId="2056CF13" w14:textId="77777777" w:rsidR="00000000" w:rsidRDefault="00000000">
            <w:pPr>
              <w:spacing w:before="60" w:after="60"/>
              <w:rPr>
                <w:rFonts w:eastAsia="Calibri"/>
                <w:szCs w:val="24"/>
              </w:rPr>
            </w:pPr>
          </w:p>
        </w:tc>
        <w:tc>
          <w:tcPr>
            <w:tcW w:w="7095" w:type="dxa"/>
            <w:shd w:val="clear" w:color="auto" w:fill="auto"/>
            <w:vAlign w:val="center"/>
          </w:tcPr>
          <w:p w14:paraId="3D52C9F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C1A0BA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77595" w14:paraId="567FC863" w14:textId="77777777">
        <w:trPr>
          <w:cantSplit/>
          <w:trHeight w:val="964"/>
        </w:trPr>
        <w:tc>
          <w:tcPr>
            <w:tcW w:w="1260" w:type="dxa"/>
            <w:tcBorders>
              <w:bottom w:val="single" w:sz="4" w:space="0" w:color="000000"/>
            </w:tcBorders>
            <w:shd w:val="clear" w:color="auto" w:fill="FFFF00"/>
            <w:vAlign w:val="center"/>
          </w:tcPr>
          <w:p w14:paraId="4849ED16" w14:textId="77777777" w:rsidR="00000000" w:rsidRDefault="00000000">
            <w:pPr>
              <w:spacing w:before="60" w:after="60"/>
              <w:rPr>
                <w:rFonts w:eastAsia="Calibri"/>
                <w:szCs w:val="24"/>
              </w:rPr>
            </w:pPr>
          </w:p>
        </w:tc>
        <w:tc>
          <w:tcPr>
            <w:tcW w:w="7095" w:type="dxa"/>
            <w:shd w:val="clear" w:color="auto" w:fill="auto"/>
            <w:vAlign w:val="center"/>
          </w:tcPr>
          <w:p w14:paraId="571932F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CC6177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77595" w14:paraId="1D83B297" w14:textId="77777777">
        <w:trPr>
          <w:cantSplit/>
          <w:trHeight w:val="964"/>
        </w:trPr>
        <w:tc>
          <w:tcPr>
            <w:tcW w:w="1260" w:type="dxa"/>
            <w:tcBorders>
              <w:bottom w:val="single" w:sz="4" w:space="0" w:color="000000"/>
            </w:tcBorders>
            <w:shd w:val="clear" w:color="auto" w:fill="FFC800"/>
            <w:vAlign w:val="center"/>
          </w:tcPr>
          <w:p w14:paraId="7F375DC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A16412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2CEAB0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77595" w14:paraId="484582F7" w14:textId="77777777">
        <w:trPr>
          <w:cantSplit/>
          <w:trHeight w:val="964"/>
        </w:trPr>
        <w:tc>
          <w:tcPr>
            <w:tcW w:w="1260" w:type="dxa"/>
            <w:shd w:val="clear" w:color="auto" w:fill="FF0000"/>
            <w:vAlign w:val="center"/>
          </w:tcPr>
          <w:p w14:paraId="6067012D" w14:textId="77777777" w:rsidR="00000000" w:rsidRDefault="00000000">
            <w:pPr>
              <w:spacing w:before="60" w:after="60"/>
              <w:rPr>
                <w:rFonts w:eastAsia="Calibri"/>
                <w:szCs w:val="24"/>
              </w:rPr>
            </w:pPr>
          </w:p>
        </w:tc>
        <w:tc>
          <w:tcPr>
            <w:tcW w:w="7095" w:type="dxa"/>
            <w:shd w:val="clear" w:color="auto" w:fill="auto"/>
            <w:vAlign w:val="center"/>
          </w:tcPr>
          <w:p w14:paraId="6AA50FA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955B67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DBE1D1E" w14:textId="77777777" w:rsidR="00000000" w:rsidRDefault="00000000">
      <w:pPr>
        <w:pStyle w:val="Heading2"/>
        <w:spacing w:after="0"/>
        <w:rPr>
          <w:rFonts w:cs="Arial"/>
        </w:rPr>
      </w:pPr>
      <w:r>
        <w:rPr>
          <w:rFonts w:cs="Arial"/>
        </w:rPr>
        <w:t>General overview of the audit</w:t>
      </w:r>
    </w:p>
    <w:p w14:paraId="716FC423" w14:textId="77777777" w:rsidR="00000000" w:rsidRDefault="00000000">
      <w:pPr>
        <w:spacing w:before="240" w:line="276" w:lineRule="auto"/>
        <w:rPr>
          <w:rFonts w:eastAsia="Calibri"/>
        </w:rPr>
      </w:pPr>
      <w:bookmarkStart w:id="13" w:name="GeneralOverview"/>
      <w:r w:rsidRPr="00A4268A">
        <w:rPr>
          <w:rFonts w:eastAsia="Calibri"/>
        </w:rPr>
        <w:t>Eastcare Residential Home (Eastcare) provides rest home and dementia levels of care for up to 47 residents. On the days of the audit, there were 34 residents. The service is owned and operated by Kaylex Care Limited.</w:t>
      </w:r>
    </w:p>
    <w:p w14:paraId="67C4746A" w14:textId="77777777" w:rsidR="00277595" w:rsidRPr="00A4268A" w:rsidRDefault="00000000">
      <w:pPr>
        <w:spacing w:before="240" w:line="276" w:lineRule="auto"/>
        <w:rPr>
          <w:rFonts w:eastAsia="Calibri"/>
        </w:rPr>
      </w:pPr>
      <w:r w:rsidRPr="00A4268A">
        <w:rPr>
          <w:rFonts w:eastAsia="Calibri"/>
        </w:rPr>
        <w:t xml:space="preserve">Significant changes to the service and facilities since the previous audit include: </w:t>
      </w:r>
    </w:p>
    <w:p w14:paraId="76B2F087" w14:textId="77777777" w:rsidR="00277595" w:rsidRPr="00A4268A" w:rsidRDefault="00000000">
      <w:pPr>
        <w:spacing w:before="240" w:line="276" w:lineRule="auto"/>
        <w:rPr>
          <w:rFonts w:eastAsia="Calibri"/>
        </w:rPr>
      </w:pPr>
      <w:r w:rsidRPr="00A4268A">
        <w:rPr>
          <w:rFonts w:eastAsia="Calibri"/>
        </w:rPr>
        <w:t>•</w:t>
      </w:r>
      <w:r w:rsidRPr="00A4268A">
        <w:rPr>
          <w:rFonts w:eastAsia="Calibri"/>
        </w:rPr>
        <w:tab/>
        <w:t>The appointment of a full-time permanent facility manager in June 2025.</w:t>
      </w:r>
    </w:p>
    <w:p w14:paraId="49C26C12" w14:textId="77777777" w:rsidR="00277595" w:rsidRPr="00A4268A" w:rsidRDefault="00000000">
      <w:pPr>
        <w:spacing w:before="240" w:line="276" w:lineRule="auto"/>
        <w:rPr>
          <w:rFonts w:eastAsia="Calibri"/>
        </w:rPr>
      </w:pPr>
      <w:r w:rsidRPr="00A4268A">
        <w:rPr>
          <w:rFonts w:eastAsia="Calibri"/>
        </w:rPr>
        <w:t>•</w:t>
      </w:r>
      <w:r w:rsidRPr="00A4268A">
        <w:rPr>
          <w:rFonts w:eastAsia="Calibri"/>
        </w:rPr>
        <w:tab/>
        <w:t xml:space="preserve"> Agreement with a new provider of general practitioner (GP) and nurse practitioner (NP) medical services.</w:t>
      </w:r>
    </w:p>
    <w:p w14:paraId="42B8C049" w14:textId="77777777" w:rsidR="00277595" w:rsidRPr="00A4268A" w:rsidRDefault="00000000">
      <w:pPr>
        <w:spacing w:before="240" w:line="276" w:lineRule="auto"/>
        <w:rPr>
          <w:rFonts w:eastAsia="Calibri"/>
        </w:rPr>
      </w:pPr>
      <w:r w:rsidRPr="00A4268A">
        <w:rPr>
          <w:rFonts w:eastAsia="Calibri"/>
        </w:rPr>
        <w:t xml:space="preserve">This unannounced surveillance audit considered policies and procedures related to the areas being audited, review of resident and staff files, observations, and interviews with residents, family members, the facility manager (FM) the general manager (GM),registered nurses and health care staff, and a nurse practitioner. Feedback from residents, family, staff, and the nurse practitioner was generally positive. </w:t>
      </w:r>
    </w:p>
    <w:p w14:paraId="44B590E1" w14:textId="77777777" w:rsidR="00277595" w:rsidRPr="00A4268A" w:rsidRDefault="00000000">
      <w:pPr>
        <w:spacing w:before="240" w:line="276" w:lineRule="auto"/>
        <w:rPr>
          <w:rFonts w:eastAsia="Calibri"/>
        </w:rPr>
      </w:pPr>
      <w:r w:rsidRPr="00A4268A">
        <w:rPr>
          <w:rFonts w:eastAsia="Calibri"/>
        </w:rPr>
        <w:t>Progress against forty-one (41) corrective actions identified at the February 2025 certification audit was included. There was sufficient evidence to close thirty-five (35) of these corrective actions. Six of the previous corrective actions were assessed as ongoing. These are in areas related to:</w:t>
      </w:r>
    </w:p>
    <w:p w14:paraId="0483D1D9" w14:textId="77777777" w:rsidR="00277595" w:rsidRPr="00A4268A" w:rsidRDefault="00000000">
      <w:pPr>
        <w:spacing w:before="240" w:line="276" w:lineRule="auto"/>
        <w:rPr>
          <w:rFonts w:eastAsia="Calibri"/>
        </w:rPr>
      </w:pPr>
      <w:r w:rsidRPr="00A4268A">
        <w:rPr>
          <w:rFonts w:eastAsia="Calibri"/>
        </w:rPr>
        <w:t>•</w:t>
      </w:r>
      <w:r w:rsidRPr="00A4268A">
        <w:rPr>
          <w:rFonts w:eastAsia="Calibri"/>
        </w:rPr>
        <w:tab/>
        <w:t xml:space="preserve">A lack of Māori-focused health care plans. </w:t>
      </w:r>
    </w:p>
    <w:p w14:paraId="50161798" w14:textId="77777777" w:rsidR="00277595" w:rsidRPr="00A4268A" w:rsidRDefault="00000000">
      <w:pPr>
        <w:spacing w:before="240" w:line="276" w:lineRule="auto"/>
        <w:rPr>
          <w:rFonts w:eastAsia="Calibri"/>
        </w:rPr>
      </w:pPr>
      <w:r w:rsidRPr="00A4268A">
        <w:rPr>
          <w:rFonts w:eastAsia="Calibri"/>
        </w:rPr>
        <w:lastRenderedPageBreak/>
        <w:t>•</w:t>
      </w:r>
      <w:r w:rsidRPr="00A4268A">
        <w:rPr>
          <w:rFonts w:eastAsia="Calibri"/>
        </w:rPr>
        <w:tab/>
        <w:t xml:space="preserve">No evidence of progress against quality outcomes being evaluated.  </w:t>
      </w:r>
    </w:p>
    <w:p w14:paraId="7A941109" w14:textId="77777777" w:rsidR="00277595" w:rsidRPr="00A4268A" w:rsidRDefault="00000000">
      <w:pPr>
        <w:spacing w:before="240" w:line="276" w:lineRule="auto"/>
        <w:rPr>
          <w:rFonts w:eastAsia="Calibri"/>
        </w:rPr>
      </w:pPr>
      <w:r w:rsidRPr="00A4268A">
        <w:rPr>
          <w:rFonts w:eastAsia="Calibri"/>
        </w:rPr>
        <w:t>•</w:t>
      </w:r>
      <w:r w:rsidRPr="00A4268A">
        <w:rPr>
          <w:rFonts w:eastAsia="Calibri"/>
        </w:rPr>
        <w:tab/>
        <w:t>Strengths, goals and aspirations, and early warning signs of physical deterioration or mental health decompensation not being identified and documented in resident care records.</w:t>
      </w:r>
    </w:p>
    <w:p w14:paraId="1D5E78EA" w14:textId="77777777" w:rsidR="00277595" w:rsidRPr="00A4268A" w:rsidRDefault="00000000">
      <w:pPr>
        <w:spacing w:before="240" w:line="276" w:lineRule="auto"/>
        <w:rPr>
          <w:rFonts w:eastAsia="Calibri"/>
        </w:rPr>
      </w:pPr>
      <w:r w:rsidRPr="00A4268A">
        <w:rPr>
          <w:rFonts w:eastAsia="Calibri"/>
        </w:rPr>
        <w:t>•</w:t>
      </w:r>
      <w:r w:rsidRPr="00A4268A">
        <w:rPr>
          <w:rFonts w:eastAsia="Calibri"/>
        </w:rPr>
        <w:tab/>
        <w:t>Māori constructs of oranga not evident in care records.</w:t>
      </w:r>
    </w:p>
    <w:p w14:paraId="4C515930" w14:textId="77777777" w:rsidR="00277595" w:rsidRPr="00A4268A" w:rsidRDefault="00000000">
      <w:pPr>
        <w:spacing w:before="240" w:line="276" w:lineRule="auto"/>
        <w:rPr>
          <w:rFonts w:eastAsia="Calibri"/>
        </w:rPr>
      </w:pPr>
      <w:r w:rsidRPr="00A4268A">
        <w:rPr>
          <w:rFonts w:eastAsia="Calibri"/>
        </w:rPr>
        <w:t>•</w:t>
      </w:r>
      <w:r w:rsidRPr="00A4268A">
        <w:rPr>
          <w:rFonts w:eastAsia="Calibri"/>
        </w:rPr>
        <w:tab/>
        <w:t xml:space="preserve">The activities coordinator’s work not being overseen by a qualified person. </w:t>
      </w:r>
    </w:p>
    <w:p w14:paraId="67D75868" w14:textId="77777777" w:rsidR="00277595" w:rsidRPr="00A4268A" w:rsidRDefault="00000000">
      <w:pPr>
        <w:spacing w:before="240" w:line="276" w:lineRule="auto"/>
        <w:rPr>
          <w:rFonts w:eastAsia="Calibri"/>
        </w:rPr>
      </w:pPr>
      <w:r w:rsidRPr="00A4268A">
        <w:rPr>
          <w:rFonts w:eastAsia="Calibri"/>
        </w:rPr>
        <w:t>•</w:t>
      </w:r>
      <w:r w:rsidRPr="00A4268A">
        <w:rPr>
          <w:rFonts w:eastAsia="Calibri"/>
        </w:rPr>
        <w:tab/>
        <w:t xml:space="preserve">Aspects of the external environment. </w:t>
      </w:r>
    </w:p>
    <w:p w14:paraId="4B67830B" w14:textId="77777777" w:rsidR="00277595" w:rsidRPr="00A4268A" w:rsidRDefault="00000000">
      <w:pPr>
        <w:spacing w:before="240" w:line="276" w:lineRule="auto"/>
        <w:rPr>
          <w:rFonts w:eastAsia="Calibri"/>
        </w:rPr>
      </w:pPr>
      <w:r w:rsidRPr="00A4268A">
        <w:rPr>
          <w:rFonts w:eastAsia="Calibri"/>
        </w:rPr>
        <w:t>There were no new improvements identified as a result of this audit.</w:t>
      </w:r>
    </w:p>
    <w:bookmarkEnd w:id="13"/>
    <w:p w14:paraId="5D1B2119" w14:textId="77777777" w:rsidR="00277595" w:rsidRPr="00A4268A" w:rsidRDefault="00277595">
      <w:pPr>
        <w:spacing w:before="240" w:line="276" w:lineRule="auto"/>
        <w:rPr>
          <w:rFonts w:eastAsia="Calibri"/>
        </w:rPr>
      </w:pPr>
    </w:p>
    <w:p w14:paraId="74D1AFB2"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77595" w14:paraId="0FED5888" w14:textId="77777777" w:rsidTr="00A4268A">
        <w:trPr>
          <w:cantSplit/>
        </w:trPr>
        <w:tc>
          <w:tcPr>
            <w:tcW w:w="10206" w:type="dxa"/>
            <w:vAlign w:val="center"/>
          </w:tcPr>
          <w:p w14:paraId="2B4E23E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FC4C9B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C800"/>
            <w:vAlign w:val="center"/>
          </w:tcPr>
          <w:p w14:paraId="6B7B0EB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AEFE33C"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medium or high risk and/or unattained and of low risk.</w:t>
            </w:r>
          </w:p>
        </w:tc>
      </w:tr>
    </w:tbl>
    <w:p w14:paraId="1F6A03E5" w14:textId="77777777" w:rsidR="00000000" w:rsidRDefault="00000000">
      <w:pPr>
        <w:spacing w:before="240" w:line="276" w:lineRule="auto"/>
        <w:rPr>
          <w:rFonts w:eastAsia="Calibri"/>
        </w:rPr>
      </w:pPr>
      <w:bookmarkStart w:id="16" w:name="ConsumerRights"/>
      <w:r w:rsidRPr="00A4268A">
        <w:rPr>
          <w:rFonts w:eastAsia="Calibri"/>
        </w:rPr>
        <w:t>Staff demonstrated an understanding of residents' rights and obligations.  Eastcare works collaboratively with internal and external Māori supports to encourage a Māori worldview of health in service delivery. Māori were provided with equitable and effective services based on Te Tiriti o Waitangi and the principles of mana motuhake, and this was confirmed by Māori residents and staff interviewed. There were no Pacific residents on site at the time of the audit; however, systems and processes were in place to enable Pacific peoples to be provided with services that are culturally safe and recognise Pacific worldviews.</w:t>
      </w:r>
    </w:p>
    <w:p w14:paraId="41241B4B" w14:textId="77777777" w:rsidR="00277595" w:rsidRPr="00A4268A" w:rsidRDefault="00000000">
      <w:pPr>
        <w:spacing w:before="240" w:line="276" w:lineRule="auto"/>
        <w:rPr>
          <w:rFonts w:eastAsia="Calibri"/>
        </w:rPr>
      </w:pPr>
      <w:r w:rsidRPr="00A4268A">
        <w:rPr>
          <w:rFonts w:eastAsia="Calibri"/>
        </w:rPr>
        <w:lastRenderedPageBreak/>
        <w:t>Residents and their family/whānau were informed of their rights according to the Code of Health and Disability Services Consumers’ Rights (the Code), and these were upheld. Residents were safe from abuse and were receiving services in a manner that respected their dignity, privacy, and independence. The service provided services and support to people in a way that was inclusive and respected their identity and their experiences. Care plans accommodated the choices of residents and/or their whānau. There was evidence that residents and their family/whānau were being kept well informed.</w:t>
      </w:r>
    </w:p>
    <w:p w14:paraId="2137E171" w14:textId="77777777" w:rsidR="00277595" w:rsidRPr="00A4268A" w:rsidRDefault="00000000">
      <w:pPr>
        <w:spacing w:before="240" w:line="276" w:lineRule="auto"/>
        <w:rPr>
          <w:rFonts w:eastAsia="Calibri"/>
        </w:rPr>
      </w:pPr>
      <w:r w:rsidRPr="00A4268A">
        <w:rPr>
          <w:rFonts w:eastAsia="Calibri"/>
        </w:rPr>
        <w:t>Residents and their family/whānau received information in an easy-to-understand format and were included when making decisions about care and treatment. Whānau and legal representatives participated in decision-making that complied with the law. Advance directives were followed wherever possible.</w:t>
      </w:r>
    </w:p>
    <w:p w14:paraId="77D073AE" w14:textId="77777777" w:rsidR="00277595" w:rsidRPr="00A4268A" w:rsidRDefault="00000000">
      <w:pPr>
        <w:spacing w:before="240" w:line="276" w:lineRule="auto"/>
        <w:rPr>
          <w:rFonts w:eastAsia="Calibri"/>
        </w:rPr>
      </w:pPr>
      <w:r w:rsidRPr="00A4268A">
        <w:rPr>
          <w:rFonts w:eastAsia="Calibri"/>
        </w:rPr>
        <w:t>Complaints were resolved promptly and effectively in collaboration with all parties involved. There had been a small number of complaints received since the previous audit in February 2025.</w:t>
      </w:r>
    </w:p>
    <w:bookmarkEnd w:id="16"/>
    <w:p w14:paraId="12F2CCEE" w14:textId="77777777" w:rsidR="00277595" w:rsidRPr="00A4268A" w:rsidRDefault="00277595">
      <w:pPr>
        <w:spacing w:before="240" w:line="276" w:lineRule="auto"/>
        <w:rPr>
          <w:rFonts w:eastAsia="Calibri"/>
        </w:rPr>
      </w:pPr>
    </w:p>
    <w:p w14:paraId="07AC7D8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77595" w14:paraId="3D5EAD38" w14:textId="77777777" w:rsidTr="00A4268A">
        <w:trPr>
          <w:cantSplit/>
        </w:trPr>
        <w:tc>
          <w:tcPr>
            <w:tcW w:w="10206" w:type="dxa"/>
            <w:vAlign w:val="center"/>
          </w:tcPr>
          <w:p w14:paraId="7F58B7A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98A551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AEE2719"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74280D97" w14:textId="77777777" w:rsidR="00000000" w:rsidRDefault="00000000">
      <w:pPr>
        <w:spacing w:before="240" w:line="276" w:lineRule="auto"/>
        <w:rPr>
          <w:rFonts w:eastAsia="Calibri"/>
        </w:rPr>
      </w:pPr>
      <w:bookmarkStart w:id="19" w:name="OrganisationalManagement"/>
      <w:r w:rsidRPr="00A4268A">
        <w:rPr>
          <w:rFonts w:eastAsia="Calibri"/>
        </w:rPr>
        <w:t>The service is owned and operated by a family (two directors and a general manager), who provide governance and are accountable for delivering a high-quality service). This includes honouring Te Tiriti and reducing barriers to improve outcomes for Māori and people with disabilities.</w:t>
      </w:r>
    </w:p>
    <w:p w14:paraId="3F9E484D" w14:textId="77777777" w:rsidR="00277595"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w:t>
      </w:r>
    </w:p>
    <w:p w14:paraId="364881EC" w14:textId="77777777" w:rsidR="00277595" w:rsidRPr="00A4268A" w:rsidRDefault="00000000">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are identified and mitigated.  </w:t>
      </w:r>
    </w:p>
    <w:p w14:paraId="16AD0D4F" w14:textId="77777777" w:rsidR="00277595"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07E4499F" w14:textId="77777777" w:rsidR="00277595" w:rsidRPr="00A4268A" w:rsidRDefault="00000000">
      <w:pPr>
        <w:spacing w:before="240" w:line="276" w:lineRule="auto"/>
        <w:rPr>
          <w:rFonts w:eastAsia="Calibri"/>
        </w:rPr>
      </w:pPr>
      <w:r w:rsidRPr="00A4268A">
        <w:rPr>
          <w:rFonts w:eastAsia="Calibri"/>
        </w:rPr>
        <w:t xml:space="preserve">Staff skill mix meets the cultural and clinical needs of residents.  Staff are appointed, orientated and managed using current good practice. A systematic approach to identify and deliver ongoing learning supports safe, equitable service delivery. </w:t>
      </w:r>
    </w:p>
    <w:p w14:paraId="5BE91BE5" w14:textId="77777777" w:rsidR="00277595" w:rsidRPr="00A4268A" w:rsidRDefault="00000000">
      <w:pPr>
        <w:spacing w:before="240" w:line="276" w:lineRule="auto"/>
        <w:rPr>
          <w:rFonts w:eastAsia="Calibri"/>
        </w:rPr>
      </w:pPr>
      <w:r w:rsidRPr="00A4268A">
        <w:rPr>
          <w:rFonts w:eastAsia="Calibri"/>
        </w:rPr>
        <w:t xml:space="preserve">Residents’ information is accurately recorded, and not accessible to unauthorised people.  </w:t>
      </w:r>
    </w:p>
    <w:bookmarkEnd w:id="19"/>
    <w:p w14:paraId="18E016CE" w14:textId="77777777" w:rsidR="00277595" w:rsidRPr="00A4268A" w:rsidRDefault="00277595">
      <w:pPr>
        <w:spacing w:before="240" w:line="276" w:lineRule="auto"/>
        <w:rPr>
          <w:rFonts w:eastAsia="Calibri"/>
        </w:rPr>
      </w:pPr>
    </w:p>
    <w:p w14:paraId="67D7A4E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77595" w14:paraId="7328AA7B" w14:textId="77777777" w:rsidTr="00A4268A">
        <w:trPr>
          <w:cantSplit/>
        </w:trPr>
        <w:tc>
          <w:tcPr>
            <w:tcW w:w="10206" w:type="dxa"/>
            <w:vAlign w:val="center"/>
          </w:tcPr>
          <w:p w14:paraId="56DE9B2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4F3AB9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30BB4ED"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A212E5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residents were admitted to Eastcare, a person-centred and whānau-centred approach was adopted. </w:t>
      </w:r>
    </w:p>
    <w:p w14:paraId="65FBA189" w14:textId="77777777" w:rsidR="00277595" w:rsidRPr="00A4268A" w:rsidRDefault="00000000" w:rsidP="00621629">
      <w:pPr>
        <w:spacing w:before="240" w:line="276" w:lineRule="auto"/>
        <w:rPr>
          <w:rFonts w:eastAsia="Calibri"/>
        </w:rPr>
      </w:pPr>
      <w:r w:rsidRPr="00A4268A">
        <w:rPr>
          <w:rFonts w:eastAsia="Calibri"/>
        </w:rPr>
        <w:t xml:space="preserve">The service worked in partnership with the residents and their whānau to assess, plan and evaluate care. Care plans were individualised, based on comprehensive information.  Files reviewed demonstrated that care was evaluated on a regular and timely basis. </w:t>
      </w:r>
    </w:p>
    <w:p w14:paraId="0170EE33" w14:textId="77777777" w:rsidR="00277595" w:rsidRPr="00A4268A" w:rsidRDefault="00000000" w:rsidP="00621629">
      <w:pPr>
        <w:spacing w:before="240" w:line="276" w:lineRule="auto"/>
        <w:rPr>
          <w:rFonts w:eastAsia="Calibri"/>
        </w:rPr>
      </w:pPr>
      <w:r w:rsidRPr="00A4268A">
        <w:rPr>
          <w:rFonts w:eastAsia="Calibri"/>
        </w:rPr>
        <w:lastRenderedPageBreak/>
        <w:t xml:space="preserve">Residents were supported to participate in meaningful community and social activities suitable to their age and stage of life. </w:t>
      </w:r>
    </w:p>
    <w:p w14:paraId="646EBD71" w14:textId="77777777" w:rsidR="00277595"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07668A9F" w14:textId="77777777" w:rsidR="00277595" w:rsidRPr="00A4268A" w:rsidRDefault="00000000" w:rsidP="00621629">
      <w:pPr>
        <w:spacing w:before="240" w:line="276" w:lineRule="auto"/>
        <w:rPr>
          <w:rFonts w:eastAsia="Calibri"/>
        </w:rPr>
      </w:pPr>
      <w:r w:rsidRPr="00A4268A">
        <w:rPr>
          <w:rFonts w:eastAsia="Calibri"/>
        </w:rPr>
        <w:t xml:space="preserve">The food service was safely managed and met the nutritional needs of the residents, with special cultural needs catered for. </w:t>
      </w:r>
    </w:p>
    <w:p w14:paraId="03E0AA4A" w14:textId="77777777" w:rsidR="00277595" w:rsidRPr="00A4268A" w:rsidRDefault="00000000"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5CF19905" w14:textId="77777777" w:rsidR="00277595" w:rsidRPr="00A4268A" w:rsidRDefault="00277595" w:rsidP="00621629">
      <w:pPr>
        <w:spacing w:before="240" w:line="276" w:lineRule="auto"/>
        <w:rPr>
          <w:rFonts w:eastAsia="Calibri"/>
        </w:rPr>
      </w:pPr>
    </w:p>
    <w:p w14:paraId="3B88413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77595" w14:paraId="5A1B813C" w14:textId="77777777" w:rsidTr="00A4268A">
        <w:trPr>
          <w:cantSplit/>
        </w:trPr>
        <w:tc>
          <w:tcPr>
            <w:tcW w:w="10206" w:type="dxa"/>
            <w:vAlign w:val="center"/>
          </w:tcPr>
          <w:p w14:paraId="753B94A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9C1CBA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AAF173D"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6C39C139" w14:textId="77777777" w:rsidR="00000000" w:rsidRDefault="00000000">
      <w:pPr>
        <w:spacing w:before="240" w:line="276" w:lineRule="auto"/>
        <w:rPr>
          <w:rFonts w:eastAsia="Calibri"/>
        </w:rPr>
      </w:pPr>
      <w:bookmarkStart w:id="25" w:name="SafeAndAppropriateEnvironment"/>
      <w:r w:rsidRPr="00A4268A">
        <w:rPr>
          <w:rFonts w:eastAsia="Calibri"/>
        </w:rPr>
        <w:t xml:space="preserve">The interior of the facility meets the needs of residents and was clean and well maintained. There was a current building warrant of fitness.  Electrical equipment is tested as required. External areas have been improved to better meet the needs of the people who live there. </w:t>
      </w:r>
    </w:p>
    <w:p w14:paraId="7EB68D28" w14:textId="77777777" w:rsidR="00277595"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Security is maintained.</w:t>
      </w:r>
    </w:p>
    <w:bookmarkEnd w:id="25"/>
    <w:p w14:paraId="3C5235A3" w14:textId="77777777" w:rsidR="00277595" w:rsidRPr="00A4268A" w:rsidRDefault="00277595">
      <w:pPr>
        <w:spacing w:before="240" w:line="276" w:lineRule="auto"/>
        <w:rPr>
          <w:rFonts w:eastAsia="Calibri"/>
        </w:rPr>
      </w:pPr>
    </w:p>
    <w:p w14:paraId="38E07CAA"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77595" w14:paraId="4FA1240A" w14:textId="77777777" w:rsidTr="00A4268A">
        <w:trPr>
          <w:cantSplit/>
        </w:trPr>
        <w:tc>
          <w:tcPr>
            <w:tcW w:w="10206" w:type="dxa"/>
            <w:vAlign w:val="center"/>
          </w:tcPr>
          <w:p w14:paraId="171B666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134D67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15350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3F0782F" w14:textId="77777777" w:rsidR="00000000" w:rsidRDefault="00000000">
      <w:pPr>
        <w:spacing w:before="240" w:line="276" w:lineRule="auto"/>
        <w:rPr>
          <w:rFonts w:eastAsia="Calibri"/>
        </w:rPr>
      </w:pPr>
      <w:bookmarkStart w:id="28" w:name="RestraintMinimisationAndSafePractice"/>
      <w:r w:rsidRPr="00A4268A">
        <w:rPr>
          <w:rFonts w:eastAsia="Calibri"/>
        </w:rPr>
        <w:t>The facility manager and the infection control coordinator at Eastcare ensured the safety of residents and staff through a planned infection prevention (IP) and antimicrobial stewardship (AMS) programme that was appropriate to the size and complexity of the service.</w:t>
      </w:r>
    </w:p>
    <w:p w14:paraId="6B3F9A22" w14:textId="77777777" w:rsidR="00277595" w:rsidRPr="00A4268A" w:rsidRDefault="00000000">
      <w:pPr>
        <w:spacing w:before="240" w:line="276" w:lineRule="auto"/>
        <w:rPr>
          <w:rFonts w:eastAsia="Calibri"/>
        </w:rPr>
      </w:pPr>
      <w:r w:rsidRPr="00A4268A">
        <w:rPr>
          <w:rFonts w:eastAsia="Calibri"/>
        </w:rPr>
        <w:t>It was adequately resourced. The experienced and trained infection control coordinator led the programme and was engaged in procurement processes.</w:t>
      </w:r>
    </w:p>
    <w:p w14:paraId="0208FC52" w14:textId="77777777" w:rsidR="00277595" w:rsidRPr="00A4268A" w:rsidRDefault="00000000">
      <w:pPr>
        <w:spacing w:before="240" w:line="276" w:lineRule="auto"/>
        <w:rPr>
          <w:rFonts w:eastAsia="Calibri"/>
        </w:rPr>
      </w:pPr>
      <w:r w:rsidRPr="00A4268A">
        <w:rPr>
          <w:rFonts w:eastAsia="Calibri"/>
        </w:rPr>
        <w:t>Aged care-specific infection surveillance was undertaken, with follow-up action taken as required.</w:t>
      </w:r>
    </w:p>
    <w:bookmarkEnd w:id="28"/>
    <w:p w14:paraId="2DC493E8" w14:textId="77777777" w:rsidR="00277595" w:rsidRPr="00A4268A" w:rsidRDefault="00277595">
      <w:pPr>
        <w:spacing w:before="240" w:line="276" w:lineRule="auto"/>
        <w:rPr>
          <w:rFonts w:eastAsia="Calibri"/>
        </w:rPr>
      </w:pPr>
    </w:p>
    <w:p w14:paraId="696AF50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77595" w14:paraId="3E9243EC" w14:textId="77777777" w:rsidTr="00A4268A">
        <w:trPr>
          <w:cantSplit/>
        </w:trPr>
        <w:tc>
          <w:tcPr>
            <w:tcW w:w="10206" w:type="dxa"/>
            <w:vAlign w:val="center"/>
          </w:tcPr>
          <w:p w14:paraId="47465AB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113FF0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72B2E0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C448C1B"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directors and policies and procedures.  There were no residents using restraints at the time of audit.  </w:t>
      </w:r>
    </w:p>
    <w:p w14:paraId="3CBF9358" w14:textId="77777777" w:rsidR="00277595" w:rsidRPr="00A4268A" w:rsidRDefault="00000000">
      <w:pPr>
        <w:spacing w:before="240" w:line="276" w:lineRule="auto"/>
        <w:rPr>
          <w:rFonts w:eastAsia="Calibri"/>
        </w:rPr>
      </w:pPr>
      <w:r w:rsidRPr="00A4268A">
        <w:rPr>
          <w:rFonts w:eastAsia="Calibri"/>
        </w:rPr>
        <w:lastRenderedPageBreak/>
        <w:t xml:space="preserve">Staff demonstrated a sound knowledge and understanding of providing the least restrictive practice, de-escalation techniques, and alternative interventions.  </w:t>
      </w:r>
    </w:p>
    <w:bookmarkEnd w:id="31"/>
    <w:p w14:paraId="1C845EE7" w14:textId="77777777" w:rsidR="00277595" w:rsidRPr="00A4268A" w:rsidRDefault="00277595">
      <w:pPr>
        <w:spacing w:before="240" w:line="276" w:lineRule="auto"/>
        <w:rPr>
          <w:rFonts w:eastAsia="Calibri"/>
        </w:rPr>
      </w:pPr>
    </w:p>
    <w:p w14:paraId="1D3985C8" w14:textId="77777777" w:rsidR="00000000" w:rsidRDefault="00000000" w:rsidP="000E6E02">
      <w:pPr>
        <w:pStyle w:val="Heading2"/>
        <w:spacing w:before="0"/>
        <w:rPr>
          <w:rFonts w:cs="Arial"/>
        </w:rPr>
      </w:pPr>
      <w:r>
        <w:rPr>
          <w:rFonts w:cs="Arial"/>
        </w:rPr>
        <w:t>Summary of attainment</w:t>
      </w:r>
    </w:p>
    <w:p w14:paraId="42CE168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77595" w14:paraId="7186F431" w14:textId="77777777">
        <w:tc>
          <w:tcPr>
            <w:tcW w:w="1384" w:type="dxa"/>
            <w:vAlign w:val="center"/>
          </w:tcPr>
          <w:p w14:paraId="7743472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B0E9F80" w14:textId="77777777" w:rsidR="00000000" w:rsidRDefault="00000000">
            <w:pPr>
              <w:keepNext/>
              <w:spacing w:before="60" w:after="60"/>
              <w:jc w:val="center"/>
              <w:rPr>
                <w:rFonts w:cs="Arial"/>
                <w:b/>
                <w:sz w:val="20"/>
                <w:szCs w:val="20"/>
              </w:rPr>
            </w:pPr>
            <w:r>
              <w:rPr>
                <w:rFonts w:cs="Arial"/>
                <w:b/>
                <w:sz w:val="20"/>
                <w:szCs w:val="20"/>
              </w:rPr>
              <w:t>Continuous Improvement</w:t>
            </w:r>
          </w:p>
          <w:p w14:paraId="2B09F20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795D79F" w14:textId="77777777" w:rsidR="00000000" w:rsidRDefault="00000000">
            <w:pPr>
              <w:keepNext/>
              <w:spacing w:before="60" w:after="60"/>
              <w:jc w:val="center"/>
              <w:rPr>
                <w:rFonts w:cs="Arial"/>
                <w:b/>
                <w:sz w:val="20"/>
                <w:szCs w:val="20"/>
              </w:rPr>
            </w:pPr>
            <w:r>
              <w:rPr>
                <w:rFonts w:cs="Arial"/>
                <w:b/>
                <w:sz w:val="20"/>
                <w:szCs w:val="20"/>
              </w:rPr>
              <w:t>Fully Attained</w:t>
            </w:r>
          </w:p>
          <w:p w14:paraId="0A7DBEA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5073ED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201BC5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7A2CBA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B6B265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8AB010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352EAB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F04514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3AE7A2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7917CC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36D41EC" w14:textId="77777777" w:rsidR="00000000" w:rsidRDefault="00000000">
            <w:pPr>
              <w:keepNext/>
              <w:spacing w:before="60" w:after="60"/>
              <w:jc w:val="center"/>
              <w:rPr>
                <w:rFonts w:cs="Arial"/>
                <w:b/>
                <w:sz w:val="20"/>
                <w:szCs w:val="20"/>
              </w:rPr>
            </w:pPr>
            <w:r>
              <w:rPr>
                <w:rFonts w:cs="Arial"/>
                <w:b/>
                <w:sz w:val="20"/>
                <w:szCs w:val="20"/>
              </w:rPr>
              <w:t>(PA Critical)</w:t>
            </w:r>
          </w:p>
        </w:tc>
      </w:tr>
      <w:tr w:rsidR="00277595" w14:paraId="19B05073" w14:textId="77777777">
        <w:tc>
          <w:tcPr>
            <w:tcW w:w="1384" w:type="dxa"/>
            <w:vAlign w:val="center"/>
          </w:tcPr>
          <w:p w14:paraId="6152E67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461892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CD7700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1FF2056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2C6FFB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74BDBA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443671E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7BC9BC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77595" w14:paraId="56196A67" w14:textId="77777777">
        <w:tc>
          <w:tcPr>
            <w:tcW w:w="1384" w:type="dxa"/>
            <w:vAlign w:val="center"/>
          </w:tcPr>
          <w:p w14:paraId="1C0AFFB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D00718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50F6F4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68</w:t>
            </w:r>
            <w:bookmarkEnd w:id="40"/>
          </w:p>
        </w:tc>
        <w:tc>
          <w:tcPr>
            <w:tcW w:w="1843" w:type="dxa"/>
            <w:vAlign w:val="center"/>
          </w:tcPr>
          <w:p w14:paraId="7C2BE12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A69C5D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06D7FBA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26DE567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AA7E56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813C92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77595" w14:paraId="58D5FAE3" w14:textId="77777777">
        <w:tc>
          <w:tcPr>
            <w:tcW w:w="1384" w:type="dxa"/>
            <w:vAlign w:val="center"/>
          </w:tcPr>
          <w:p w14:paraId="1A18F84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AF948C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868FE3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EED3F40" w14:textId="77777777" w:rsidR="00000000" w:rsidRDefault="00000000">
            <w:pPr>
              <w:keepNext/>
              <w:spacing w:before="60" w:after="60"/>
              <w:jc w:val="center"/>
              <w:rPr>
                <w:rFonts w:cs="Arial"/>
                <w:b/>
                <w:sz w:val="20"/>
                <w:szCs w:val="20"/>
              </w:rPr>
            </w:pPr>
            <w:r>
              <w:rPr>
                <w:rFonts w:cs="Arial"/>
                <w:b/>
                <w:sz w:val="20"/>
                <w:szCs w:val="20"/>
              </w:rPr>
              <w:t>Unattained Low Risk</w:t>
            </w:r>
          </w:p>
          <w:p w14:paraId="7EA047B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5EC7D5D" w14:textId="77777777" w:rsidR="00000000" w:rsidRDefault="00000000">
            <w:pPr>
              <w:keepNext/>
              <w:spacing w:before="60" w:after="60"/>
              <w:jc w:val="center"/>
              <w:rPr>
                <w:rFonts w:cs="Arial"/>
                <w:b/>
                <w:sz w:val="20"/>
                <w:szCs w:val="20"/>
              </w:rPr>
            </w:pPr>
            <w:r>
              <w:rPr>
                <w:rFonts w:cs="Arial"/>
                <w:b/>
                <w:sz w:val="20"/>
                <w:szCs w:val="20"/>
              </w:rPr>
              <w:t>Unattained Moderate Risk</w:t>
            </w:r>
          </w:p>
          <w:p w14:paraId="3C924E0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3C90676" w14:textId="77777777" w:rsidR="00000000" w:rsidRDefault="00000000">
            <w:pPr>
              <w:keepNext/>
              <w:spacing w:before="60" w:after="60"/>
              <w:jc w:val="center"/>
              <w:rPr>
                <w:rFonts w:cs="Arial"/>
                <w:b/>
                <w:sz w:val="20"/>
                <w:szCs w:val="20"/>
              </w:rPr>
            </w:pPr>
            <w:r>
              <w:rPr>
                <w:rFonts w:cs="Arial"/>
                <w:b/>
                <w:sz w:val="20"/>
                <w:szCs w:val="20"/>
              </w:rPr>
              <w:t>Unattained High Risk</w:t>
            </w:r>
          </w:p>
          <w:p w14:paraId="6209D07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D8FE2F0" w14:textId="77777777" w:rsidR="00000000" w:rsidRDefault="00000000">
            <w:pPr>
              <w:keepNext/>
              <w:spacing w:before="60" w:after="60"/>
              <w:jc w:val="center"/>
              <w:rPr>
                <w:rFonts w:cs="Arial"/>
                <w:b/>
                <w:sz w:val="20"/>
                <w:szCs w:val="20"/>
              </w:rPr>
            </w:pPr>
            <w:r>
              <w:rPr>
                <w:rFonts w:cs="Arial"/>
                <w:b/>
                <w:sz w:val="20"/>
                <w:szCs w:val="20"/>
              </w:rPr>
              <w:t>Unattained Critical Risk</w:t>
            </w:r>
          </w:p>
          <w:p w14:paraId="0401EC61" w14:textId="77777777" w:rsidR="00000000" w:rsidRDefault="00000000">
            <w:pPr>
              <w:keepNext/>
              <w:spacing w:before="60" w:after="60"/>
              <w:jc w:val="center"/>
              <w:rPr>
                <w:rFonts w:cs="Arial"/>
                <w:b/>
                <w:sz w:val="20"/>
                <w:szCs w:val="20"/>
              </w:rPr>
            </w:pPr>
            <w:r>
              <w:rPr>
                <w:rFonts w:cs="Arial"/>
                <w:b/>
                <w:sz w:val="20"/>
                <w:szCs w:val="20"/>
              </w:rPr>
              <w:t>(UA Critical)</w:t>
            </w:r>
          </w:p>
        </w:tc>
      </w:tr>
      <w:tr w:rsidR="00277595" w14:paraId="5684A456" w14:textId="77777777">
        <w:tc>
          <w:tcPr>
            <w:tcW w:w="1384" w:type="dxa"/>
            <w:vAlign w:val="center"/>
          </w:tcPr>
          <w:p w14:paraId="2406B26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FF6EE6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24250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8AE62C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5112EB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F39C69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77595" w14:paraId="0ED960CD" w14:textId="77777777">
        <w:tc>
          <w:tcPr>
            <w:tcW w:w="1384" w:type="dxa"/>
            <w:vAlign w:val="center"/>
          </w:tcPr>
          <w:p w14:paraId="39A15F6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ED56B9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C8DB87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3EB0FB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BC7A35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4D15C9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4635371"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184EE0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3ABF2B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68BE3A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1"/>
        <w:gridCol w:w="1368"/>
        <w:gridCol w:w="6819"/>
      </w:tblGrid>
      <w:tr w:rsidR="00277595" w14:paraId="5124F1A6" w14:textId="77777777">
        <w:tc>
          <w:tcPr>
            <w:tcW w:w="0" w:type="auto"/>
          </w:tcPr>
          <w:p w14:paraId="3FA835F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32BDB9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94F26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77595" w14:paraId="6B54054B" w14:textId="77777777">
        <w:tc>
          <w:tcPr>
            <w:tcW w:w="0" w:type="auto"/>
          </w:tcPr>
          <w:p w14:paraId="1157540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E3F91D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7CBDF1E" w14:textId="77777777" w:rsidR="00000000" w:rsidRPr="00BE00C7" w:rsidRDefault="00000000" w:rsidP="00BE00C7">
            <w:pPr>
              <w:pStyle w:val="OutcomeDescription"/>
              <w:spacing w:before="120" w:after="120"/>
              <w:rPr>
                <w:rFonts w:cs="Arial"/>
                <w:lang w:eastAsia="en-NZ"/>
              </w:rPr>
            </w:pPr>
          </w:p>
        </w:tc>
        <w:tc>
          <w:tcPr>
            <w:tcW w:w="0" w:type="auto"/>
          </w:tcPr>
          <w:p w14:paraId="733B6A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65FA5F" w14:textId="77777777" w:rsidR="00000000" w:rsidRPr="00BE00C7" w:rsidRDefault="00000000" w:rsidP="00BE00C7">
            <w:pPr>
              <w:pStyle w:val="OutcomeDescription"/>
              <w:spacing w:before="120" w:after="120"/>
              <w:rPr>
                <w:rFonts w:cs="Arial"/>
                <w:lang w:eastAsia="en-NZ"/>
              </w:rPr>
            </w:pPr>
            <w:r w:rsidRPr="00BE00C7">
              <w:rPr>
                <w:rFonts w:cs="Arial"/>
                <w:lang w:eastAsia="en-NZ"/>
              </w:rPr>
              <w:t>Eastcare has policies, procedures and processes to embed and enact Te Tiriti o Waitangi in all aspects of its work.  Mana motuhake is respected. On the days of audit, 12% of residents and 16% of staff identified as Māori.  Residents and whānau interviewed reported that staff respected their right to Māori self-determination, and they felt culturally safe.</w:t>
            </w:r>
          </w:p>
          <w:p w14:paraId="6842F23D" w14:textId="77777777" w:rsidR="00000000" w:rsidRPr="00BE00C7" w:rsidRDefault="00000000" w:rsidP="00BE00C7">
            <w:pPr>
              <w:pStyle w:val="OutcomeDescription"/>
              <w:spacing w:before="120" w:after="120"/>
              <w:rPr>
                <w:rFonts w:cs="Arial"/>
                <w:lang w:eastAsia="en-NZ"/>
              </w:rPr>
            </w:pPr>
          </w:p>
        </w:tc>
      </w:tr>
      <w:tr w:rsidR="00277595" w14:paraId="12876788" w14:textId="77777777">
        <w:tc>
          <w:tcPr>
            <w:tcW w:w="0" w:type="auto"/>
          </w:tcPr>
          <w:p w14:paraId="115C07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28970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DA222C1" w14:textId="77777777" w:rsidR="00000000" w:rsidRPr="00BE00C7" w:rsidRDefault="00000000" w:rsidP="00BE00C7">
            <w:pPr>
              <w:pStyle w:val="OutcomeDescription"/>
              <w:spacing w:before="120" w:after="120"/>
              <w:rPr>
                <w:rFonts w:cs="Arial"/>
                <w:lang w:eastAsia="en-NZ"/>
              </w:rPr>
            </w:pPr>
          </w:p>
        </w:tc>
        <w:tc>
          <w:tcPr>
            <w:tcW w:w="0" w:type="auto"/>
          </w:tcPr>
          <w:p w14:paraId="101C11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E63DA1" w14:textId="77777777" w:rsidR="00000000" w:rsidRPr="00BE00C7" w:rsidRDefault="00000000" w:rsidP="00BE00C7">
            <w:pPr>
              <w:pStyle w:val="OutcomeDescription"/>
              <w:spacing w:before="120" w:after="120"/>
              <w:rPr>
                <w:rFonts w:cs="Arial"/>
                <w:lang w:eastAsia="en-NZ"/>
              </w:rPr>
            </w:pPr>
            <w:r w:rsidRPr="00BE00C7">
              <w:rPr>
                <w:rFonts w:cs="Arial"/>
                <w:lang w:eastAsia="en-NZ"/>
              </w:rPr>
              <w:t>Eastcare provides services that are underpinned by Pacific worldviews.</w:t>
            </w:r>
          </w:p>
          <w:p w14:paraId="5ED704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only Pacific resident could not be interviewed as they were in public hospital at the time of audit. Pacific staff interviewed stated that Pacific residents’ cultural and spiritual beliefs were embraced.</w:t>
            </w:r>
          </w:p>
          <w:p w14:paraId="79C1953E" w14:textId="77777777" w:rsidR="00000000" w:rsidRPr="00BE00C7" w:rsidRDefault="00000000" w:rsidP="00BE00C7">
            <w:pPr>
              <w:pStyle w:val="OutcomeDescription"/>
              <w:spacing w:before="120" w:after="120"/>
              <w:rPr>
                <w:rFonts w:cs="Arial"/>
                <w:lang w:eastAsia="en-NZ"/>
              </w:rPr>
            </w:pPr>
          </w:p>
        </w:tc>
      </w:tr>
      <w:tr w:rsidR="00277595" w14:paraId="594E6275" w14:textId="77777777">
        <w:tc>
          <w:tcPr>
            <w:tcW w:w="0" w:type="auto"/>
          </w:tcPr>
          <w:p w14:paraId="6F9B97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F1229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6DE84EB" w14:textId="77777777" w:rsidR="00000000" w:rsidRPr="00BE00C7" w:rsidRDefault="00000000" w:rsidP="00BE00C7">
            <w:pPr>
              <w:pStyle w:val="OutcomeDescription"/>
              <w:spacing w:before="120" w:after="120"/>
              <w:rPr>
                <w:rFonts w:cs="Arial"/>
                <w:lang w:eastAsia="en-NZ"/>
              </w:rPr>
            </w:pPr>
          </w:p>
        </w:tc>
        <w:tc>
          <w:tcPr>
            <w:tcW w:w="0" w:type="auto"/>
          </w:tcPr>
          <w:p w14:paraId="119E0A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1250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was displayed in te reo Māori and English on a poster throughout the facility, with brochures in both languages at the entrance. Brochures on the Nationwide Health and Disability Advocacy Service (Advocacy Service) were also available. A residents’ notice board displays the contact details for an advocacy agency that could assist if there were any concerns. Staff knew how to access the Code in other languages should this be required.  Residents' meetings were held monthly, and residents verified this had enabled opportunities for discussion and clarification of their rights. A representative from the Advocacy Service attended the residents’ meeting in March 2025, and emails verified an agreement to attend the meetings every six months. Interviews with residents identified that they felt well supported. This addressed the previous certification audit finding which identified that not all residents were informed of their rights, nor had opportunities for discussion and clarification regarding this. Residents had also described situations in which they had not been supported by staff nor offered access to independent advocacy services.</w:t>
            </w:r>
          </w:p>
          <w:p w14:paraId="14AA881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and the availability of the Advocacy Service and were seen supporting residents of Eastcare in accordance with their wishes.</w:t>
            </w:r>
          </w:p>
          <w:p w14:paraId="6D3304DC" w14:textId="77777777" w:rsidR="00000000" w:rsidRPr="00BE00C7" w:rsidRDefault="00000000" w:rsidP="00BE00C7">
            <w:pPr>
              <w:pStyle w:val="OutcomeDescription"/>
              <w:spacing w:before="120" w:after="120"/>
              <w:rPr>
                <w:rFonts w:cs="Arial"/>
                <w:lang w:eastAsia="en-NZ"/>
              </w:rPr>
            </w:pPr>
          </w:p>
        </w:tc>
      </w:tr>
      <w:tr w:rsidR="00277595" w14:paraId="0A07527B" w14:textId="77777777">
        <w:tc>
          <w:tcPr>
            <w:tcW w:w="0" w:type="auto"/>
          </w:tcPr>
          <w:p w14:paraId="2F240A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4A575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AA6C1DA" w14:textId="77777777" w:rsidR="00000000" w:rsidRPr="00BE00C7" w:rsidRDefault="00000000" w:rsidP="00BE00C7">
            <w:pPr>
              <w:pStyle w:val="OutcomeDescription"/>
              <w:spacing w:before="120" w:after="120"/>
              <w:rPr>
                <w:rFonts w:cs="Arial"/>
                <w:lang w:eastAsia="en-NZ"/>
              </w:rPr>
            </w:pPr>
          </w:p>
        </w:tc>
        <w:tc>
          <w:tcPr>
            <w:tcW w:w="0" w:type="auto"/>
          </w:tcPr>
          <w:p w14:paraId="5A678E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D786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Eastcare supported residents in a manner that was inclusive and respected their identity and experiences. Residents and their family/whānau, including people with disabilities, confirmed that they received services in a manner that had regard for their dignity, gender, privacy, sexual orientation, spirituality, choices, and independence.  </w:t>
            </w:r>
          </w:p>
          <w:p w14:paraId="544D49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identified that not all staff had been provided training in Te Tiriti o Waitangi. This has been addressed. All staff at Eastcare had completed the cultural training offered by an external provider and understood what Te Tiriti o Waitangi meant to their practice, with te reo Māori and tikanga Māori being promoted. Māori signage was included around the facility in te reo. The staff could speak and learn te reo Māori, with the assistance of staff members and residents who identified as Māori. </w:t>
            </w:r>
            <w:r w:rsidRPr="00BE00C7">
              <w:rPr>
                <w:rFonts w:cs="Arial"/>
                <w:lang w:eastAsia="en-NZ"/>
              </w:rPr>
              <w:lastRenderedPageBreak/>
              <w:t>Māori Language Week was being celebrated.</w:t>
            </w:r>
          </w:p>
          <w:p w14:paraId="34004943" w14:textId="77777777" w:rsidR="00000000" w:rsidRPr="00BE00C7" w:rsidRDefault="00000000" w:rsidP="00BE00C7">
            <w:pPr>
              <w:pStyle w:val="OutcomeDescription"/>
              <w:spacing w:before="120" w:after="120"/>
              <w:rPr>
                <w:rFonts w:cs="Arial"/>
                <w:lang w:eastAsia="en-NZ"/>
              </w:rPr>
            </w:pPr>
          </w:p>
        </w:tc>
      </w:tr>
      <w:tr w:rsidR="00277595" w14:paraId="302326B2" w14:textId="77777777">
        <w:tc>
          <w:tcPr>
            <w:tcW w:w="0" w:type="auto"/>
          </w:tcPr>
          <w:p w14:paraId="55F3E2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847C3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4154C0F" w14:textId="77777777" w:rsidR="00000000" w:rsidRPr="00BE00C7" w:rsidRDefault="00000000" w:rsidP="00BE00C7">
            <w:pPr>
              <w:pStyle w:val="OutcomeDescription"/>
              <w:spacing w:before="120" w:after="120"/>
              <w:rPr>
                <w:rFonts w:cs="Arial"/>
                <w:lang w:eastAsia="en-NZ"/>
              </w:rPr>
            </w:pPr>
          </w:p>
        </w:tc>
        <w:tc>
          <w:tcPr>
            <w:tcW w:w="0" w:type="auto"/>
          </w:tcPr>
          <w:p w14:paraId="0013C67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1B0EB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Employment practices at Eastcare included reference checking and police vetting. Policies and procedures outlined safeguards in place to protect people from discrimination; coercion; harassment; physical, sexual, or other exploitation; abuse; or neglect. Workers followed a code of conduct.  </w:t>
            </w:r>
          </w:p>
          <w:p w14:paraId="4B583E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practice. Policies and procedures were in place that focused on abolishing institutional and systemic racism, and there was a willingness to address racism and do something about it. Residents reported that their property was respected, and finances protected. Professional boundaries were maintained.  </w:t>
            </w:r>
          </w:p>
          <w:p w14:paraId="137362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identified that Māori-focused health plans were not being used for residents who identified as Māori. There was also no evidence of a strengths-based and holistic model of care being used to ensure wellbeing outcomes for Māori. This finding remains in place. A review of seven files found that residents who identified as Māori had no documentation, including a Māori-focused health plan, that ensured well-being outcomes for Māori were documented.</w:t>
            </w:r>
          </w:p>
          <w:p w14:paraId="4C889E06" w14:textId="77777777" w:rsidR="00000000" w:rsidRPr="00BE00C7" w:rsidRDefault="00000000" w:rsidP="00BE00C7">
            <w:pPr>
              <w:pStyle w:val="OutcomeDescription"/>
              <w:spacing w:before="120" w:after="120"/>
              <w:rPr>
                <w:rFonts w:cs="Arial"/>
                <w:lang w:eastAsia="en-NZ"/>
              </w:rPr>
            </w:pPr>
          </w:p>
        </w:tc>
      </w:tr>
      <w:tr w:rsidR="00277595" w14:paraId="6296078A" w14:textId="77777777">
        <w:tc>
          <w:tcPr>
            <w:tcW w:w="0" w:type="auto"/>
          </w:tcPr>
          <w:p w14:paraId="4F903E5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6BB3D0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C5EB385" w14:textId="77777777" w:rsidR="00000000" w:rsidRPr="00BE00C7" w:rsidRDefault="00000000" w:rsidP="00BE00C7">
            <w:pPr>
              <w:pStyle w:val="OutcomeDescription"/>
              <w:spacing w:before="120" w:after="120"/>
              <w:rPr>
                <w:rFonts w:cs="Arial"/>
                <w:lang w:eastAsia="en-NZ"/>
              </w:rPr>
            </w:pPr>
          </w:p>
        </w:tc>
        <w:tc>
          <w:tcPr>
            <w:tcW w:w="0" w:type="auto"/>
          </w:tcPr>
          <w:p w14:paraId="0819EE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D30D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identified that residents did not feel respected and listened to. This has been addressed. Residents (8) and their family/whānau (4) at Eastcare reported that communication was open and effective, and they felt listened to.  The family of one resident made mention that this had not occurred in the past but had noted an improvement since the new manager started in June 2025. Information was provided in an easy-to-understand format. A weekly newsletter was being sent out to family and was on display on the residents’ notice board. Residents’ meeting minutes included comments and actions regarding residents’ requests being addressed. A complaint received in June 2025 regarding food had been addressed, and the results of a subsequent resident satisfaction survey in August 2025 verified a high degree of satisfaction with the food service now being provided. This was verified at audit by resident interviews. Resident and whānau meetings at Eastcare were held each </w:t>
            </w:r>
            <w:r w:rsidRPr="00BE00C7">
              <w:rPr>
                <w:rFonts w:cs="Arial"/>
                <w:lang w:eastAsia="en-NZ"/>
              </w:rPr>
              <w:lastRenderedPageBreak/>
              <w:t xml:space="preserve">month, in addition to regular contacts with family/whānau by emails, phone calls, and an open-door policy of the facility manager (FM). A notification on the notice boards advised when the next resident and whānau meeting would be held. </w:t>
            </w:r>
          </w:p>
          <w:p w14:paraId="6CC2D9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staff reported that the Facility Manager (FM) responded promptly to any suggestions or concerns. </w:t>
            </w:r>
          </w:p>
          <w:p w14:paraId="0A2DA539"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were communicated to residents and their family/whānau in a timely manner. Incident reports evidenced that family/whānau were informed of any events/incidents. Documentation supported evidence of ongoing contact with family/whānau or enduring powers of attorney (EPOAs).</w:t>
            </w:r>
          </w:p>
          <w:p w14:paraId="14282166" w14:textId="77777777" w:rsidR="00000000" w:rsidRPr="00BE00C7" w:rsidRDefault="00000000" w:rsidP="00BE00C7">
            <w:pPr>
              <w:pStyle w:val="OutcomeDescription"/>
              <w:spacing w:before="120" w:after="120"/>
              <w:rPr>
                <w:rFonts w:cs="Arial"/>
                <w:lang w:eastAsia="en-NZ"/>
              </w:rPr>
            </w:pPr>
          </w:p>
        </w:tc>
      </w:tr>
      <w:tr w:rsidR="00277595" w14:paraId="23E0AEF1" w14:textId="77777777">
        <w:tc>
          <w:tcPr>
            <w:tcW w:w="0" w:type="auto"/>
          </w:tcPr>
          <w:p w14:paraId="30AC2F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8B63A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1E3F12C" w14:textId="77777777" w:rsidR="00000000" w:rsidRPr="00BE00C7" w:rsidRDefault="00000000" w:rsidP="00BE00C7">
            <w:pPr>
              <w:pStyle w:val="OutcomeDescription"/>
              <w:spacing w:before="120" w:after="120"/>
              <w:rPr>
                <w:rFonts w:cs="Arial"/>
                <w:lang w:eastAsia="en-NZ"/>
              </w:rPr>
            </w:pPr>
          </w:p>
        </w:tc>
        <w:tc>
          <w:tcPr>
            <w:tcW w:w="0" w:type="auto"/>
          </w:tcPr>
          <w:p w14:paraId="00A810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96B7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at Eastcare and/or their legal representatives were provided with the information necessary to make informed decisions. They were included when the plan of care was formulated, and in the six-monthly evaluation. They felt empowered to actively participate in decision-making. Any issues brought up at the residents’ meeting are responded to at the next meeting, so residents knew their concerns will be addressed. The nursing and care staff interviewed understood the principles and practice of informed consent. </w:t>
            </w:r>
          </w:p>
          <w:p w14:paraId="130743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of EPOA requirements, and processes for residents unable to consent, were documented, as relevant, in the resident’s record. Files reviewed of residents in the secure unit had either an activated EPOA in place, a court-appointed welfare guardian, or documentation that evidenced the process had been commenced for a welfare guardian to be appointed. All residents in the secure unit had documentation to verify that a specialist had authorised the resident's placement in a secure unit. Interviews with the RNs evidenced understanding of the enactment of EPOAs. </w:t>
            </w:r>
          </w:p>
          <w:p w14:paraId="18B1F9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was sighted of supported decision-making, being fully informed, the opportunity to choose, and support when a resident had a choice of treatment options available to them. </w:t>
            </w:r>
          </w:p>
          <w:p w14:paraId="7EC31B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addresses the finding at the previous audit, which identified residents that were not given time, opportunity, or support with their decision-making. </w:t>
            </w:r>
            <w:r w:rsidRPr="00BE00C7">
              <w:rPr>
                <w:rFonts w:cs="Arial"/>
                <w:lang w:eastAsia="en-NZ"/>
              </w:rPr>
              <w:lastRenderedPageBreak/>
              <w:t>The RNs did not understand enactment of EPOAs, and four resident records reviewed had no evidence of EPOAs.</w:t>
            </w:r>
          </w:p>
          <w:p w14:paraId="1DFD9242" w14:textId="77777777" w:rsidR="00000000" w:rsidRPr="00BE00C7" w:rsidRDefault="00000000" w:rsidP="00BE00C7">
            <w:pPr>
              <w:pStyle w:val="OutcomeDescription"/>
              <w:spacing w:before="120" w:after="120"/>
              <w:rPr>
                <w:rFonts w:cs="Arial"/>
                <w:lang w:eastAsia="en-NZ"/>
              </w:rPr>
            </w:pPr>
          </w:p>
        </w:tc>
      </w:tr>
      <w:tr w:rsidR="00277595" w14:paraId="1F46900C" w14:textId="77777777">
        <w:tc>
          <w:tcPr>
            <w:tcW w:w="0" w:type="auto"/>
          </w:tcPr>
          <w:p w14:paraId="7DA419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B7469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BF76770" w14:textId="77777777" w:rsidR="00000000" w:rsidRPr="00BE00C7" w:rsidRDefault="00000000" w:rsidP="00BE00C7">
            <w:pPr>
              <w:pStyle w:val="OutcomeDescription"/>
              <w:spacing w:before="120" w:after="120"/>
              <w:rPr>
                <w:rFonts w:cs="Arial"/>
                <w:lang w:eastAsia="en-NZ"/>
              </w:rPr>
            </w:pPr>
          </w:p>
        </w:tc>
        <w:tc>
          <w:tcPr>
            <w:tcW w:w="0" w:type="auto"/>
          </w:tcPr>
          <w:p w14:paraId="3D4818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E812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0F1878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marked improvement in the way complaints received are managed.  Two complaints from family members of previous residents were received by the Office of the Health and Disability Commissioner (HDC) in June 2025.  Requests from HDC for more information had been provided by the facility manager. A complaint from a respite resident related to evening meals was received in July 2025. The matter was acknowledged immediately in writing and then investigated. Changes have been made to the evening meal service as a result. The complainant was informed of the service improvement and confirmed their satisfaction, which resolved the complaint.  The previous corrective actions in criteria 1.8.1, 1.8.3, and 1.8.5 have been addressed and are now closed. </w:t>
            </w:r>
          </w:p>
          <w:p w14:paraId="38D6A5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assures the process works equitably for Māori by offering access to Māori advocates/support people when required.</w:t>
            </w:r>
          </w:p>
          <w:p w14:paraId="1D9604E5" w14:textId="77777777" w:rsidR="00000000" w:rsidRPr="00BE00C7" w:rsidRDefault="00000000" w:rsidP="00BE00C7">
            <w:pPr>
              <w:pStyle w:val="OutcomeDescription"/>
              <w:spacing w:before="120" w:after="120"/>
              <w:rPr>
                <w:rFonts w:cs="Arial"/>
                <w:lang w:eastAsia="en-NZ"/>
              </w:rPr>
            </w:pPr>
          </w:p>
        </w:tc>
      </w:tr>
      <w:tr w:rsidR="00277595" w14:paraId="449783C4" w14:textId="77777777">
        <w:tc>
          <w:tcPr>
            <w:tcW w:w="0" w:type="auto"/>
          </w:tcPr>
          <w:p w14:paraId="7110E1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FA598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EC5EE46" w14:textId="77777777" w:rsidR="00000000" w:rsidRPr="00BE00C7" w:rsidRDefault="00000000" w:rsidP="00BE00C7">
            <w:pPr>
              <w:pStyle w:val="OutcomeDescription"/>
              <w:spacing w:before="120" w:after="120"/>
              <w:rPr>
                <w:rFonts w:cs="Arial"/>
                <w:lang w:eastAsia="en-NZ"/>
              </w:rPr>
            </w:pPr>
          </w:p>
        </w:tc>
        <w:tc>
          <w:tcPr>
            <w:tcW w:w="0" w:type="auto"/>
          </w:tcPr>
          <w:p w14:paraId="0A52FA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5934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owners assume accountability for delivering a high-quality service to users of the services and their whānau. This was demonstrated in a telephone interview with the general manager (GM).  Compliance with legislative, contractual and regulatory requirements is overseen by the leadership team and directors, with external advice sought as required. A commitment to the quality and risk management system was confirmed by interviews and documentation sighted. The GM stated they felt well informed on progress and risks.</w:t>
            </w:r>
          </w:p>
          <w:p w14:paraId="752D41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previous improvement required under criterion 2.1.2, related to the development of a current business plan, has been addressed. The purpose, values, direction, scope and goals are now defined in a 2025–2026 business, quality and risk plan. Monitoring and reviewing of organisational performance, such as occupancy, quality and risk matters, changes in staff </w:t>
            </w:r>
            <w:r w:rsidRPr="00BE00C7">
              <w:rPr>
                <w:rFonts w:cs="Arial"/>
                <w:lang w:eastAsia="en-NZ"/>
              </w:rPr>
              <w:lastRenderedPageBreak/>
              <w:t xml:space="preserve">and their performance, complaints or compliments, and any other service delivery issues occur through monthly (or more frequent) written and verbal reporting to the GM. </w:t>
            </w:r>
          </w:p>
          <w:p w14:paraId="64306F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now an experienced and suitably qualified person managing the service. A new facility manager, who is a registered nurse with a current annual practising certificate (APC) and eight years’ experience managing a similar aged care facility (rest home and dementia), commenced employment in June 2025. The previous improvement required in criterion 2.1.3 is now resolved. </w:t>
            </w:r>
          </w:p>
          <w:p w14:paraId="313E43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is appropriate to the size and complexity of the organisation. Reporting and monitoring of resident safety and clinical measures occur through a multidisciplinary team approach. This includes the general practitioner (GP), nurse practitioner (NP), the two clinical nurse leaders (CNLs), the facility manager (FM), and other health professionals such as pharmacists, mental health for older people services, psychiatrists, infection prevention specialists, and wound and behaviour specialists.</w:t>
            </w:r>
          </w:p>
          <w:p w14:paraId="3CBE9C87" w14:textId="77777777" w:rsidR="00000000" w:rsidRPr="00BE00C7" w:rsidRDefault="00000000" w:rsidP="00BE00C7">
            <w:pPr>
              <w:pStyle w:val="OutcomeDescription"/>
              <w:spacing w:before="120" w:after="120"/>
              <w:rPr>
                <w:rFonts w:cs="Arial"/>
                <w:lang w:eastAsia="en-NZ"/>
              </w:rPr>
            </w:pPr>
            <w:r w:rsidRPr="00BE00C7">
              <w:rPr>
                <w:rFonts w:cs="Arial"/>
                <w:lang w:eastAsia="en-NZ"/>
              </w:rPr>
              <w:t>Eastcare Residential Home holds an Aged Residential Care (ARRC) contract with Health New Zealand – Te Whatu Ora for providing long-term residential rest home and dementia level of care and respite/short-stay care to a maximum of 47 beds. The agreement includes provision for care under the Long-Term Support – Chronic Health Conditions (LTS-CHC) scheme.  The service also has an agreement to provide day services for people with dementia. One person was attending the day programme from 9am to 3pm Monday to Friday.</w:t>
            </w:r>
          </w:p>
          <w:p w14:paraId="7787AA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days of audit, there were 34 beds occupied. Nineteen (19) residents were receiving dementia-level care in two separate wings. There were ten residents in Tui Wing (which has a capacity for 17) and nine residents in Korimako (with a capacity of 15). </w:t>
            </w:r>
          </w:p>
          <w:p w14:paraId="2AAC96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Fifteen (15) residents were occupying beds in Pukeko, the rest home area. One short-term/respite resident was under 65 years of age.  One resident was receiving hospital-level care in the rest home wing.  A Notification of Hospital Resident in a Rest Home Area (NOHRRA) was submitted and approved in June 2024. There was evidence of three-monthly updates reported to Health New Zealand-Te Whatu Ora. </w:t>
            </w:r>
          </w:p>
          <w:p w14:paraId="3A0568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boarders on site; however, an upstairs apartment, which is accessed externally, is rented under a tenancy agreement with the owners. </w:t>
            </w:r>
            <w:r w:rsidRPr="00BE00C7">
              <w:rPr>
                <w:rFonts w:cs="Arial"/>
                <w:lang w:eastAsia="en-NZ"/>
              </w:rPr>
              <w:lastRenderedPageBreak/>
              <w:t>The tenant has no interactions with staff or residents.</w:t>
            </w:r>
          </w:p>
          <w:p w14:paraId="7C9393BC" w14:textId="77777777" w:rsidR="00000000" w:rsidRPr="00BE00C7" w:rsidRDefault="00000000" w:rsidP="00BE00C7">
            <w:pPr>
              <w:pStyle w:val="OutcomeDescription"/>
              <w:spacing w:before="120" w:after="120"/>
              <w:rPr>
                <w:rFonts w:cs="Arial"/>
                <w:lang w:eastAsia="en-NZ"/>
              </w:rPr>
            </w:pPr>
          </w:p>
        </w:tc>
      </w:tr>
      <w:tr w:rsidR="00277595" w14:paraId="3BDC196F" w14:textId="77777777">
        <w:tc>
          <w:tcPr>
            <w:tcW w:w="0" w:type="auto"/>
          </w:tcPr>
          <w:p w14:paraId="03A6C2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F7CDF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48BBC68" w14:textId="77777777" w:rsidR="00000000" w:rsidRPr="00BE00C7" w:rsidRDefault="00000000" w:rsidP="00BE00C7">
            <w:pPr>
              <w:pStyle w:val="OutcomeDescription"/>
              <w:spacing w:before="120" w:after="120"/>
              <w:rPr>
                <w:rFonts w:cs="Arial"/>
                <w:lang w:eastAsia="en-NZ"/>
              </w:rPr>
            </w:pPr>
          </w:p>
        </w:tc>
        <w:tc>
          <w:tcPr>
            <w:tcW w:w="0" w:type="auto"/>
          </w:tcPr>
          <w:p w14:paraId="5FC7DEE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1BF77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implemented a sector-specific quality and risk system that reflects the principles of continuous quality improvement. This includes policies and procedures, reporting and analysis of incident data, management of complaints, internal audit activities, regular staff, resident and relative satisfaction surveys, and clinical events including infections. When gaps are identified, relevant corrective actions are developed and implemented to address the shortfalls from which outcomes are monitored. Satisfaction surveys of relatives and staff undertaken in the August 2025 audit revealed no areas of concern. The feedback received from nine of 33 relatives surveyed was positive. The 2025 survey of staff had a high return rate (27/38). Results showed an increase in job satisfaction, confidence in the new manager and satisfaction with training opportunities. There was no negative feedback.   The FM described the processes for the identification, documentation, monitoring, review and reporting of risks, including health and safety risks, and development of mitigation strategies. The previous corrective action in criterion 2.2.2 related to implementation of quality and risk-based systems has been addressed and is closed.</w:t>
            </w:r>
          </w:p>
          <w:p w14:paraId="79591236"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and risk data is shared with staff and the general manager through regular meetings and written reports. For example, this includes identified trends in incident types, infections, complaints and compliments received, and results from internal audits. A business/quality/risk plan is in place with time-framed goals; however, there is no evidence that progress towards these goals or the achievement of quality outcomes is being evaluated. The previous corrective action in criterion 2.2.3 remains open.</w:t>
            </w:r>
          </w:p>
          <w:p w14:paraId="691CAD3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Policy. A sample of incidents forms reviewed showed these were fully completed, incidents were investigated, action plans developed, and actions followed up in a timely manner.  Trending of incident data is now occurring. Changes, such as an increase or decrease in different types of events, were readily identified by comparing month-by-month data. This information was used to inform discussions at fortnightly registered nurse meetings and monthly quality, health and safety, and infection prevention meetings. The previous corrective action in criterion 2.2.5 is now closed.</w:t>
            </w:r>
          </w:p>
          <w:p w14:paraId="0C2DB3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FM understood and has complied with essential notification reporting requirements. Section 31 notification reports have been submitted for the change in manager (March and June 2025) and an assault between residents in June 2025. There have been no reports to the Health Quality &amp; Safety Commission Te Tāhū Hauora, no police investigations, coroner’s inquests, issues-based audits or any other notifications, for example, to public health since the previous audit. The previous corrective action in criterion 2.2.6 is now closed.</w:t>
            </w:r>
          </w:p>
          <w:p w14:paraId="504764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aims to improve outcomes and achieve equity for Māori and tāngata whaikaha by identifying and reducing barriers to access, collecting ethnicity data, analysing entry and discharge from the home, monitoring services delivered to Māori, and seeking their feedback. The previous corrective action in criterion 2.2.8 has been addressed and is now closed.</w:t>
            </w:r>
          </w:p>
          <w:p w14:paraId="5DD47D69" w14:textId="77777777" w:rsidR="00000000" w:rsidRPr="00BE00C7" w:rsidRDefault="00000000" w:rsidP="00BE00C7">
            <w:pPr>
              <w:pStyle w:val="OutcomeDescription"/>
              <w:spacing w:before="120" w:after="120"/>
              <w:rPr>
                <w:rFonts w:cs="Arial"/>
                <w:lang w:eastAsia="en-NZ"/>
              </w:rPr>
            </w:pPr>
          </w:p>
        </w:tc>
      </w:tr>
      <w:tr w:rsidR="00277595" w14:paraId="3FE07FA8" w14:textId="77777777">
        <w:tc>
          <w:tcPr>
            <w:tcW w:w="0" w:type="auto"/>
          </w:tcPr>
          <w:p w14:paraId="05C88D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9EBD0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69CAE19" w14:textId="77777777" w:rsidR="00000000" w:rsidRPr="00BE00C7" w:rsidRDefault="00000000" w:rsidP="00BE00C7">
            <w:pPr>
              <w:pStyle w:val="OutcomeDescription"/>
              <w:spacing w:before="120" w:after="120"/>
              <w:rPr>
                <w:rFonts w:cs="Arial"/>
                <w:lang w:eastAsia="en-NZ"/>
              </w:rPr>
            </w:pPr>
          </w:p>
        </w:tc>
        <w:tc>
          <w:tcPr>
            <w:tcW w:w="0" w:type="auto"/>
          </w:tcPr>
          <w:p w14:paraId="23CFD7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9536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Staff allocation in each wing was reviewed and changed immediately following the previous audit in February 2025. There are now two health care assistants (HCAs) in both dementia wings in the morning and the afternoon, and one HCA allocated to the rest home wing. There are three staff on night shift, one allocated to each wing. The FM adjusts staffing levels to meet the changing needs of residents.  A multidisciplinary team (MDT) approach ensures all aspects of service delivery are met.  There are two full-time employed registered nurses (RNs) who now alternate different rosters (Monday to Friday and Sunday to Thursday), and one activities person onsite from 8.30 am to 4.30 pm Monday to Friday.  There are sufficient staff hours allocated for food, cleaning and laundry services, and a maintenance person who is employed for 30 hours per week but is currently on reduced hours post an injury.  Those providing care reported that there were adequate staff to complete the work allocated to them.  Residents and whānau interviewed supported this. All staff members have a current first aid certificate.  The previous corrective action in criterion 2.3.1 related to staffing cover has been addressed and is closed.</w:t>
            </w:r>
          </w:p>
          <w:p w14:paraId="324B0F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Qualifications Authority (NZQA) education programme to meet the </w:t>
            </w:r>
            <w:r w:rsidRPr="00BE00C7">
              <w:rPr>
                <w:rFonts w:cs="Arial"/>
                <w:lang w:eastAsia="en-NZ"/>
              </w:rPr>
              <w:lastRenderedPageBreak/>
              <w:t xml:space="preserve">requirements of the provider’s Age-Related Residential Care (ARRC) agreement with the funder. Of the 26 HCAs employed, 14 have completed Level 4 of the National Certificate in Health and Wellbeing, nine are at Level 3, and three new staff are yet to engage. </w:t>
            </w:r>
          </w:p>
          <w:p w14:paraId="04959E37" w14:textId="77777777" w:rsidR="00000000" w:rsidRPr="00BE00C7" w:rsidRDefault="00000000" w:rsidP="00BE00C7">
            <w:pPr>
              <w:pStyle w:val="OutcomeDescription"/>
              <w:spacing w:before="120" w:after="120"/>
              <w:rPr>
                <w:rFonts w:cs="Arial"/>
                <w:lang w:eastAsia="en-NZ"/>
              </w:rPr>
            </w:pPr>
            <w:r w:rsidRPr="00BE00C7">
              <w:rPr>
                <w:rFonts w:cs="Arial"/>
                <w:lang w:eastAsia="en-NZ"/>
              </w:rPr>
              <w:t>Fourteen staff have completed the Limited Credit Programme (LCP) dementia unit standards required for working in dementia care environments. Five are in training, two are enrolled, and five are yet to enrol. Staff rosters reviewed confirmed that the staff working in the dementia wings have either completed or are progressing dementia education as required by the ARRC contract. The previous corrective action in criterion 2.3.2 related to staffing qualifications and expertise has been addressed and is closed.</w:t>
            </w:r>
          </w:p>
          <w:p w14:paraId="7AE356C7" w14:textId="77777777" w:rsidR="00000000" w:rsidRPr="00BE00C7" w:rsidRDefault="00000000" w:rsidP="00BE00C7">
            <w:pPr>
              <w:pStyle w:val="OutcomeDescription"/>
              <w:spacing w:before="120" w:after="120"/>
              <w:rPr>
                <w:rFonts w:cs="Arial"/>
                <w:lang w:eastAsia="en-NZ"/>
              </w:rPr>
            </w:pPr>
            <w:r w:rsidRPr="00BE00C7">
              <w:rPr>
                <w:rFonts w:cs="Arial"/>
                <w:lang w:eastAsia="en-NZ"/>
              </w:rPr>
              <w:t>A new system for recording and tracking each staff member’s attendance at training/education has been implemented. Education is planned on an annual basis and includes mandatory training and ongoing identification and assessment of the competencies required in each role. Records reviewed demonstrated completion of the required training and competency assessments. Staff stated they felt well supported with professional development opportunities.  The previous corrective actions in criteria 2.3.3 and 2.3.4 regarding systems and management of staff training and competencies have been addressed and closed.</w:t>
            </w:r>
          </w:p>
          <w:p w14:paraId="7E8516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training programme now supports equitable service delivery and the ability to maximise the participation of people using the service and their whānau.  There was evidence that residents and their whānau are encouraged to participate in the planning and review of their care. Regular (weekly) newsletters are distributed to residents and whānau. A family/whānau day was convened in July/August, and regular monthly resident meetings are now occurring. The previous corrective action in criterion 2.3.5 has been addressed and closed.   </w:t>
            </w:r>
          </w:p>
          <w:p w14:paraId="52B6DF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High-quality Māori health information is now embedded in policy and used to support the staff training and development programmes, policy development, and care delivery. The new FM, who identifies as Māori, has strong connections to local iwi, hapu and Māori agencies for accessing resources. They are providing specific education to staff on equity and Māori models of care which are suited to the resident groups and the local area.  The previous corrective actions in criteria 2.3.6 and 2.3.7 have been </w:t>
            </w:r>
            <w:r w:rsidRPr="00BE00C7">
              <w:rPr>
                <w:rFonts w:cs="Arial"/>
                <w:lang w:eastAsia="en-NZ"/>
              </w:rPr>
              <w:lastRenderedPageBreak/>
              <w:t>addressed and are closed.</w:t>
            </w:r>
          </w:p>
          <w:p w14:paraId="4CB46701" w14:textId="77777777" w:rsidR="00000000" w:rsidRPr="00BE00C7" w:rsidRDefault="00000000" w:rsidP="00BE00C7">
            <w:pPr>
              <w:pStyle w:val="OutcomeDescription"/>
              <w:spacing w:before="120" w:after="120"/>
              <w:rPr>
                <w:rFonts w:cs="Arial"/>
                <w:lang w:eastAsia="en-NZ"/>
              </w:rPr>
            </w:pPr>
          </w:p>
        </w:tc>
      </w:tr>
      <w:tr w:rsidR="00277595" w14:paraId="361389D8" w14:textId="77777777">
        <w:tc>
          <w:tcPr>
            <w:tcW w:w="0" w:type="auto"/>
          </w:tcPr>
          <w:p w14:paraId="228E38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51108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98D7AF9" w14:textId="77777777" w:rsidR="00000000" w:rsidRPr="00BE00C7" w:rsidRDefault="00000000" w:rsidP="00BE00C7">
            <w:pPr>
              <w:pStyle w:val="OutcomeDescription"/>
              <w:spacing w:before="120" w:after="120"/>
              <w:rPr>
                <w:rFonts w:cs="Arial"/>
                <w:lang w:eastAsia="en-NZ"/>
              </w:rPr>
            </w:pPr>
          </w:p>
        </w:tc>
        <w:tc>
          <w:tcPr>
            <w:tcW w:w="0" w:type="auto"/>
          </w:tcPr>
          <w:p w14:paraId="03B36B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3EBD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that reflect good employment practice and adhere to legislation are now consistently implemented. </w:t>
            </w:r>
          </w:p>
          <w:p w14:paraId="22FCAA7E"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six (6) staff files contained signed employment agreements, and individual job descriptions that defined the skills, qualifications and attributes for each role. The previous corrective action in criterion 2.4.2 related to job descriptions for senior care staff has been addressed and is closed.</w:t>
            </w:r>
          </w:p>
          <w:p w14:paraId="52256C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qualifications and registration had been validated prior to employment. </w:t>
            </w:r>
          </w:p>
          <w:p w14:paraId="00C71EF0" w14:textId="77777777" w:rsidR="00000000" w:rsidRPr="00BE00C7" w:rsidRDefault="00000000" w:rsidP="00BE00C7">
            <w:pPr>
              <w:pStyle w:val="OutcomeDescription"/>
              <w:spacing w:before="120" w:after="120"/>
              <w:rPr>
                <w:rFonts w:cs="Arial"/>
                <w:lang w:eastAsia="en-NZ"/>
              </w:rPr>
            </w:pPr>
            <w:r w:rsidRPr="00BE00C7">
              <w:rPr>
                <w:rFonts w:cs="Arial"/>
                <w:lang w:eastAsia="en-NZ"/>
              </w:rPr>
              <w:t>New 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A schedule for each staff member’s performance appraisal has been created by the FM.</w:t>
            </w:r>
          </w:p>
          <w:p w14:paraId="71FA9ADA" w14:textId="77777777" w:rsidR="00000000" w:rsidRPr="00BE00C7" w:rsidRDefault="00000000" w:rsidP="00BE00C7">
            <w:pPr>
              <w:pStyle w:val="OutcomeDescription"/>
              <w:spacing w:before="120" w:after="120"/>
              <w:rPr>
                <w:rFonts w:cs="Arial"/>
                <w:lang w:eastAsia="en-NZ"/>
              </w:rPr>
            </w:pPr>
          </w:p>
        </w:tc>
      </w:tr>
      <w:tr w:rsidR="00277595" w14:paraId="59D39B44" w14:textId="77777777">
        <w:tc>
          <w:tcPr>
            <w:tcW w:w="0" w:type="auto"/>
          </w:tcPr>
          <w:p w14:paraId="269BF10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477A26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426ECD5" w14:textId="77777777" w:rsidR="00000000" w:rsidRPr="00BE00C7" w:rsidRDefault="00000000" w:rsidP="00BE00C7">
            <w:pPr>
              <w:pStyle w:val="OutcomeDescription"/>
              <w:spacing w:before="120" w:after="120"/>
              <w:rPr>
                <w:rFonts w:cs="Arial"/>
                <w:lang w:eastAsia="en-NZ"/>
              </w:rPr>
            </w:pPr>
          </w:p>
        </w:tc>
        <w:tc>
          <w:tcPr>
            <w:tcW w:w="0" w:type="auto"/>
          </w:tcPr>
          <w:p w14:paraId="545884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EEEC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up to date, integrated and legible, and met current documentation standards. Consent was sighted for data collection. Data collected included ethnicity data. </w:t>
            </w:r>
          </w:p>
          <w:p w14:paraId="02FA9E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Consumer health information is primarily held electronically, and password protected. Any paper-based records were held securely in the nurse's office and only available to authorised users. Archived records have been relocated and sorted and are now accessible and securely stored in a locked area within the facility. These are held for the required time before being destroyed. The previous corrective action under criterion 2.5.2 is closed.   </w:t>
            </w:r>
          </w:p>
          <w:p w14:paraId="639EDB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Eastcare is not responsible for the National Health Index registration of </w:t>
            </w:r>
            <w:r w:rsidRPr="00BE00C7">
              <w:rPr>
                <w:rFonts w:cs="Arial"/>
                <w:lang w:eastAsia="en-NZ"/>
              </w:rPr>
              <w:lastRenderedPageBreak/>
              <w:t>people receiving services.</w:t>
            </w:r>
          </w:p>
          <w:p w14:paraId="605C8E80" w14:textId="77777777" w:rsidR="00000000" w:rsidRPr="00BE00C7" w:rsidRDefault="00000000" w:rsidP="00BE00C7">
            <w:pPr>
              <w:pStyle w:val="OutcomeDescription"/>
              <w:spacing w:before="120" w:after="120"/>
              <w:rPr>
                <w:rFonts w:cs="Arial"/>
                <w:lang w:eastAsia="en-NZ"/>
              </w:rPr>
            </w:pPr>
          </w:p>
        </w:tc>
      </w:tr>
      <w:tr w:rsidR="00277595" w14:paraId="2C348347" w14:textId="77777777">
        <w:tc>
          <w:tcPr>
            <w:tcW w:w="0" w:type="auto"/>
          </w:tcPr>
          <w:p w14:paraId="25F866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58424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97F72FC" w14:textId="77777777" w:rsidR="00000000" w:rsidRPr="00BE00C7" w:rsidRDefault="00000000" w:rsidP="00BE00C7">
            <w:pPr>
              <w:pStyle w:val="OutcomeDescription"/>
              <w:spacing w:before="120" w:after="120"/>
              <w:rPr>
                <w:rFonts w:cs="Arial"/>
                <w:lang w:eastAsia="en-NZ"/>
              </w:rPr>
            </w:pPr>
          </w:p>
        </w:tc>
        <w:tc>
          <w:tcPr>
            <w:tcW w:w="0" w:type="auto"/>
          </w:tcPr>
          <w:p w14:paraId="296B169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C4EB8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at Eastcare worked in partnership with the resident and their family/whānau to support the resident’s wellbeing. Seven residents’ files were reviewed: one hospital file of a resident with a dispensation (sighted) to remain at Eastcare, two rest home resident’s files, and four files of residents who were receiving care in the secure unit. These files included residents who had had an acute event requiring transfer to an acute facility, a resident who had had a recent unwitnessed fall, residents with diabetes, residents with a catheter, residents with behaviours that were a challenge, residents with a wound, and residents with a number of co-morbidities.  </w:t>
            </w:r>
          </w:p>
          <w:p w14:paraId="430A28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files reviewed verified that a RN developed a plan that identified the care the resident required, within 24 hours of admission.  Assessments were based on a range of clinical assessments and included resident and whānau input (as applicable). Plans, however, did not include a Māori health plan for residents who identified as Māori.  RNs had completed Ngā paerewa training, and staff had received cultural competency training to enable their understanding of the Māori constructs of oranga. However, the care plan did not include documentation regarding the process required to support the resident and whānau to achieve their pae ora outcomes. In addition to this, the medical conditions of some residents were not always documented, including the associated nursing interventions required to monitor these conditions. These findings were part of a previous corrective action and remain in place and require to be addressed. In addition, residents in the secure unit had no 24-hour care plans in place that identified previous lifestyle patterns and routines. This requires attention. The previous audit also found there was no follow-up of the residents' wellbeing following transfer to a public hospital, there was no involvement of the resident when planning the resident’s care, changes were not documented, and planned reviews of the care plan were not within acceptable timeframes. These areas have been addressed, and for this reason the risk level identified at the previous audit has been reduced. </w:t>
            </w:r>
          </w:p>
          <w:p w14:paraId="77B325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and documentation confirmed that residents and whānau were involved in care planning. Where whānau did not visit, contact was made by email or telephone. Whānau were contacted if an incident occurred or the </w:t>
            </w:r>
            <w:r w:rsidRPr="00BE00C7">
              <w:rPr>
                <w:rFonts w:cs="Arial"/>
                <w:lang w:eastAsia="en-NZ"/>
              </w:rPr>
              <w:lastRenderedPageBreak/>
              <w:t>resident was unwell and were also phoned following a GP or NP visit. All interRAI assessments and care plans were reviewed and updated within the required timeframes or as the resident’s needs changed.</w:t>
            </w:r>
          </w:p>
          <w:p w14:paraId="2EB193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Timeframes for the initial assessment, GP/NP input, initial care plan, long-term care plan, short-term care plans, and review/evaluation met contractual requirements. Policies and processes were in place to ensure tāngata whaikaha and whānau participated in Eastcare’s service development, supported service delivery that promotes choice and control, and removed barriers to accessing information. This was verified through documentation review, sampling of residents’ records, interviews, and observation. </w:t>
            </w:r>
          </w:p>
          <w:p w14:paraId="6D813C66" w14:textId="77777777" w:rsidR="00000000" w:rsidRPr="00BE00C7" w:rsidRDefault="00000000" w:rsidP="00BE00C7">
            <w:pPr>
              <w:pStyle w:val="OutcomeDescription"/>
              <w:spacing w:before="120" w:after="120"/>
              <w:rPr>
                <w:rFonts w:cs="Arial"/>
                <w:lang w:eastAsia="en-NZ"/>
              </w:rPr>
            </w:pPr>
            <w:r w:rsidRPr="00BE00C7">
              <w:rPr>
                <w:rFonts w:cs="Arial"/>
                <w:lang w:eastAsia="en-NZ"/>
              </w:rPr>
              <w:t>Although the management of specific medical conditions was not well documented, evidence was sighted of systematic monitoring and regular evaluation of residents’ responses to planned care. Where progress was different from that expected, changes were made to the care provided in collaboration with the resident and/or whānau. Residents (8) and whānau (4/5) confirmed active involvement in the process. One resident’s whānau, as mentioned in subsection 1.6, had stated that communication was not good in the past, but the new manager had made improvements to this. Residents who had unwitnessed falls were assessed by the RN and monitored neurologically within the required timeframes. Specialists’ input had been sought for wound care advice, urological advice, and behavioural issues, when required. Recommendations on discharge plans had been implemented. A NP interviewed stated they were happy with the care provided, though they had only been attending Eastcare for the past month. The NP found the RN’s assessment skills to be sound. The NP was contacted appropriately and could rely on the information the RNs provided. All requests for monitoring were carried out.</w:t>
            </w:r>
          </w:p>
          <w:p w14:paraId="56D67BE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three whānau of other residents expressed a high degree of satisfaction with the care provided at Eastcare. The residents and their whānau were actively involved in planning the residents’ care and any ongoing discussions. Whānau of residents who identified as Māori were complimentary of the cultural support provided, and the responsiveness of staff to residents’ needs. As mentioned in subsection 1.6, one resident’s whānau had previously expressed some areas of dissatisfaction, which were seen to have improved.</w:t>
            </w:r>
          </w:p>
          <w:p w14:paraId="5139A9D0" w14:textId="77777777" w:rsidR="00000000" w:rsidRPr="00BE00C7" w:rsidRDefault="00000000" w:rsidP="00672023">
            <w:pPr>
              <w:pStyle w:val="OutcomeDescription"/>
              <w:spacing w:before="120" w:after="120"/>
              <w:rPr>
                <w:rFonts w:cs="Arial"/>
                <w:lang w:eastAsia="en-NZ"/>
              </w:rPr>
            </w:pPr>
          </w:p>
        </w:tc>
      </w:tr>
      <w:tr w:rsidR="00277595" w14:paraId="2EF1CF0C" w14:textId="77777777">
        <w:tc>
          <w:tcPr>
            <w:tcW w:w="0" w:type="auto"/>
          </w:tcPr>
          <w:p w14:paraId="759D18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6B476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430CB01" w14:textId="77777777" w:rsidR="00000000" w:rsidRPr="00BE00C7" w:rsidRDefault="00000000" w:rsidP="00BE00C7">
            <w:pPr>
              <w:pStyle w:val="OutcomeDescription"/>
              <w:spacing w:before="120" w:after="120"/>
              <w:rPr>
                <w:rFonts w:cs="Arial"/>
                <w:lang w:eastAsia="en-NZ"/>
              </w:rPr>
            </w:pPr>
          </w:p>
        </w:tc>
        <w:tc>
          <w:tcPr>
            <w:tcW w:w="0" w:type="auto"/>
          </w:tcPr>
          <w:p w14:paraId="0EE8CC2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3ED49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identified that there was no qualified or experienced activities assessor to identify residents’ individual interests and activity preferences of residents in the secure unit. Residents were not supported to access their local community. This has been partially addressed.  For this reason, the risk level has been lowered. Residents now have access to their local community; however, the activities programme provided in the secure unit continues to not be overseen by someone with experience.   </w:t>
            </w:r>
          </w:p>
          <w:p w14:paraId="111D9F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coordinator (AC) at Eastcare provides an activities programme that supports residents in maintaining and developing their interests, tailored to their ages and stages of life.  Residents were enabled to attend community activities of their choice at least weekly. Resident meetings included opportunities for residents to provide input into where they would like to go. During the meeting observed on the day of the audit, residents were seen participating in discussions and offering suggestions. These suggestions were added to the activities calendar. Recent outings included visits to a local café, nearby parks, a community group, and the lake.</w:t>
            </w:r>
          </w:p>
          <w:p w14:paraId="3887CAB2"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identified the residents' present interests and considered the person’s identity. There was no 24-hour care plan that identified the residents’ previous interests and lifestyle patterns, for residents in the secure unit (refer criterion 3.2.3).  The activities programme for residents in the secure unit is provided by a designated staff member; however, the programme is not overseen by someone with recognised skills in social, diversional, or motivational activities. This area continues to require improvement. Individual and group activities reflected residents’ current interests and usual patterns of life and included normal community activities. Opportunities for Māori and whānau to participate in te ao Māori were facilitated.</w:t>
            </w:r>
          </w:p>
          <w:p w14:paraId="4C77DEF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participated in evaluating and improving the programme. Those interviewed confirmed they found that the programme met their needs.</w:t>
            </w:r>
          </w:p>
          <w:p w14:paraId="2DB25EF6" w14:textId="77777777" w:rsidR="00000000" w:rsidRPr="00BE00C7" w:rsidRDefault="00000000" w:rsidP="00BE00C7">
            <w:pPr>
              <w:pStyle w:val="OutcomeDescription"/>
              <w:spacing w:before="120" w:after="120"/>
              <w:rPr>
                <w:rFonts w:cs="Arial"/>
                <w:lang w:eastAsia="en-NZ"/>
              </w:rPr>
            </w:pPr>
          </w:p>
        </w:tc>
      </w:tr>
      <w:tr w:rsidR="00277595" w14:paraId="465CCEF8" w14:textId="77777777">
        <w:tc>
          <w:tcPr>
            <w:tcW w:w="0" w:type="auto"/>
          </w:tcPr>
          <w:p w14:paraId="0DA0C4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B9A2F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50FBF51" w14:textId="77777777" w:rsidR="00000000" w:rsidRPr="00BE00C7" w:rsidRDefault="00000000" w:rsidP="00BE00C7">
            <w:pPr>
              <w:pStyle w:val="OutcomeDescription"/>
              <w:spacing w:before="120" w:after="120"/>
              <w:rPr>
                <w:rFonts w:cs="Arial"/>
                <w:lang w:eastAsia="en-NZ"/>
              </w:rPr>
            </w:pPr>
          </w:p>
        </w:tc>
        <w:tc>
          <w:tcPr>
            <w:tcW w:w="0" w:type="auto"/>
          </w:tcPr>
          <w:p w14:paraId="182B39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4225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w:t>
            </w:r>
            <w:r w:rsidRPr="00BE00C7">
              <w:rPr>
                <w:rFonts w:cs="Arial"/>
                <w:lang w:eastAsia="en-NZ"/>
              </w:rPr>
              <w:lastRenderedPageBreak/>
              <w:t xml:space="preserve">Medicines Care Guide for Residential Aged Care. A safe system for medicine management using an electronic system was seen on the day of the audit. All staff who administer medicines were competent to perform the function they managed. There was a process in place to identify, record, and document residents’ medication sensitivities, and the action required for adverse events.  </w:t>
            </w:r>
          </w:p>
          <w:p w14:paraId="7DAA3F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supplied to the facility from a contracted pharmacy. Medication reconciliation occurred. All medications sighted were within current use-by dates. </w:t>
            </w:r>
          </w:p>
          <w:p w14:paraId="074453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were completed. The medicines stored were within the recommended temperature range. There were no vaccines stored on site. </w:t>
            </w:r>
          </w:p>
          <w:p w14:paraId="6343CA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The required three-monthly GP/NP review was recorded on the medicine chart. Standing orders were not used at Eastcare. </w:t>
            </w:r>
          </w:p>
          <w:p w14:paraId="3AB61C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at Eastcare self-administering medications at the time of audit; however, processes were in place for self-administration of medication to be managed safely.</w:t>
            </w:r>
          </w:p>
          <w:p w14:paraId="77745E91" w14:textId="77777777" w:rsidR="00000000" w:rsidRPr="00BE00C7" w:rsidRDefault="00000000" w:rsidP="00BE00C7">
            <w:pPr>
              <w:pStyle w:val="OutcomeDescription"/>
              <w:spacing w:before="120" w:after="120"/>
              <w:rPr>
                <w:rFonts w:cs="Arial"/>
                <w:lang w:eastAsia="en-NZ"/>
              </w:rPr>
            </w:pPr>
          </w:p>
        </w:tc>
      </w:tr>
      <w:tr w:rsidR="00277595" w14:paraId="3BF85B80" w14:textId="77777777">
        <w:tc>
          <w:tcPr>
            <w:tcW w:w="0" w:type="auto"/>
          </w:tcPr>
          <w:p w14:paraId="717CE8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FE95E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6E187B0" w14:textId="77777777" w:rsidR="00000000" w:rsidRPr="00BE00C7" w:rsidRDefault="00000000" w:rsidP="00BE00C7">
            <w:pPr>
              <w:pStyle w:val="OutcomeDescription"/>
              <w:spacing w:before="120" w:after="120"/>
              <w:rPr>
                <w:rFonts w:cs="Arial"/>
                <w:lang w:eastAsia="en-NZ"/>
              </w:rPr>
            </w:pPr>
          </w:p>
        </w:tc>
        <w:tc>
          <w:tcPr>
            <w:tcW w:w="0" w:type="auto"/>
          </w:tcPr>
          <w:p w14:paraId="651F1B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7FBE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Eastcare operated with an approved food safety plan and registration. A verification audit of the food control plan (FCP) was undertaken in January 2025. Ten corrective actions were identified, and these had been addressed.  The plan was verified for 12 months and is due for re-audit on 23 January 2026.  A previous audit identified some aspects of food storage did not comply with the FCP.  These included fridges in the secure unit having unnamed and undated food, dry stocks in the kitchen not being rotated, and some products in the kitchen not being dated. These areas have been addressed, and all areas were compliant.   </w:t>
            </w:r>
          </w:p>
          <w:p w14:paraId="40BA09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Their personal food preferences, any special diets, and modified texture requirements were accommodated in the daily meal plan. All residents had opportunities to request meals of their choice, and the kitchen would address this. </w:t>
            </w:r>
          </w:p>
          <w:p w14:paraId="3C134C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observations, and documentation verified residents were </w:t>
            </w:r>
            <w:r w:rsidRPr="00BE00C7">
              <w:rPr>
                <w:rFonts w:cs="Arial"/>
                <w:lang w:eastAsia="en-NZ"/>
              </w:rPr>
              <w:lastRenderedPageBreak/>
              <w:t xml:space="preserve">satisfied with the meals provided. Evidence of residents’ satisfaction with meals was verified by resident and family/whānau interviews, satisfaction surveys, and resident and family/whānau meeting minutes. This was supported on the day of the audit when residents responded favourably regarding the meals provided on these days. </w:t>
            </w:r>
          </w:p>
          <w:p w14:paraId="4B7D060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secure unit have access to food at any time over the 24-hour period.</w:t>
            </w:r>
          </w:p>
          <w:p w14:paraId="165E553A" w14:textId="77777777" w:rsidR="00000000" w:rsidRPr="00BE00C7" w:rsidRDefault="00000000" w:rsidP="00BE00C7">
            <w:pPr>
              <w:pStyle w:val="OutcomeDescription"/>
              <w:spacing w:before="120" w:after="120"/>
              <w:rPr>
                <w:rFonts w:cs="Arial"/>
                <w:lang w:eastAsia="en-NZ"/>
              </w:rPr>
            </w:pPr>
          </w:p>
        </w:tc>
      </w:tr>
      <w:tr w:rsidR="00277595" w14:paraId="23DBA43D" w14:textId="77777777">
        <w:tc>
          <w:tcPr>
            <w:tcW w:w="0" w:type="auto"/>
          </w:tcPr>
          <w:p w14:paraId="41DB17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D26B5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117C2BF" w14:textId="77777777" w:rsidR="00000000" w:rsidRPr="00BE00C7" w:rsidRDefault="00000000" w:rsidP="00BE00C7">
            <w:pPr>
              <w:pStyle w:val="OutcomeDescription"/>
              <w:spacing w:before="120" w:after="120"/>
              <w:rPr>
                <w:rFonts w:cs="Arial"/>
                <w:lang w:eastAsia="en-NZ"/>
              </w:rPr>
            </w:pPr>
          </w:p>
        </w:tc>
        <w:tc>
          <w:tcPr>
            <w:tcW w:w="0" w:type="auto"/>
          </w:tcPr>
          <w:p w14:paraId="2796E9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79BB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identified that the transfer of a resident to the public hospital was not carried out in accordance with the instructions of the operations manager who was in charge. There was a lack of follow-up and communication with the receiving service within 24 hours of transfer. This has been addressed.</w:t>
            </w:r>
          </w:p>
          <w:p w14:paraId="500F802C"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verified transfer or discharge from Eastcare was planned and managed safely to cover current needs and mitigate risk. A discharge/transfer plan was developed with coordination between services and in collaboration with the resident and whānau. Follow-up communication occurred, and this was observed occurring on the day of audit.</w:t>
            </w:r>
          </w:p>
          <w:p w14:paraId="7DB5005B" w14:textId="77777777" w:rsidR="00000000" w:rsidRPr="00BE00C7" w:rsidRDefault="00000000" w:rsidP="00BE00C7">
            <w:pPr>
              <w:pStyle w:val="OutcomeDescription"/>
              <w:spacing w:before="120" w:after="120"/>
              <w:rPr>
                <w:rFonts w:cs="Arial"/>
                <w:lang w:eastAsia="en-NZ"/>
              </w:rPr>
            </w:pPr>
          </w:p>
        </w:tc>
      </w:tr>
      <w:tr w:rsidR="00277595" w14:paraId="4C922600" w14:textId="77777777">
        <w:tc>
          <w:tcPr>
            <w:tcW w:w="0" w:type="auto"/>
          </w:tcPr>
          <w:p w14:paraId="3C3871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C6094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01CD68D" w14:textId="77777777" w:rsidR="00000000" w:rsidRPr="00BE00C7" w:rsidRDefault="00000000" w:rsidP="00BE00C7">
            <w:pPr>
              <w:pStyle w:val="OutcomeDescription"/>
              <w:spacing w:before="120" w:after="120"/>
              <w:rPr>
                <w:rFonts w:cs="Arial"/>
                <w:lang w:eastAsia="en-NZ"/>
              </w:rPr>
            </w:pPr>
          </w:p>
        </w:tc>
        <w:tc>
          <w:tcPr>
            <w:tcW w:w="0" w:type="auto"/>
          </w:tcPr>
          <w:p w14:paraId="6D5F7D3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352B3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Systems are in place that aim to ensure the physical environment and facilities (internal and external) are fit for their purpose, well-maintained, and that they meet legislative requirements.  The part-time employed (30 hours per week) maintenance person had recently returned to work on reduced hours following an injury, and they stated they were still trying to catch up on planned maintenance. There was a current building warrant of fitness, which expires in December 2025. Testing and tagging of electrical equipment occurred on 18 July 2025, and medical equipment including electric beds and one hoist were tested in April 2025. The environment is inclusive of peoples’ cultures and supports cultural practices.  </w:t>
            </w:r>
          </w:p>
          <w:p w14:paraId="16C93A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Improvements had been made to provide a safer external environment. A trellis was fitted to increase the height of fences outside Tui Wing, and all bench seating was moved away from the fence line. All </w:t>
            </w:r>
            <w:r w:rsidRPr="00BE00C7">
              <w:rPr>
                <w:rFonts w:cs="Arial"/>
                <w:lang w:eastAsia="en-NZ"/>
              </w:rPr>
              <w:lastRenderedPageBreak/>
              <w:t xml:space="preserve">damaged/deteriorated external furniture has been removed. The lock on the emergency egress gate has been replaced with a system that allows ready access. There were no noxious/poisonous weeds in the gardens.  These parts of the previous corrective action in criterion 4.1.2 have been addressed and are closed. </w:t>
            </w:r>
          </w:p>
          <w:p w14:paraId="40CCCDF2" w14:textId="77777777" w:rsidR="00000000" w:rsidRPr="00BE00C7" w:rsidRDefault="00000000" w:rsidP="00BE00C7">
            <w:pPr>
              <w:pStyle w:val="OutcomeDescription"/>
              <w:spacing w:before="120" w:after="120"/>
              <w:rPr>
                <w:rFonts w:cs="Arial"/>
                <w:lang w:eastAsia="en-NZ"/>
              </w:rPr>
            </w:pPr>
            <w:r w:rsidRPr="00BE00C7">
              <w:rPr>
                <w:rFonts w:cs="Arial"/>
                <w:lang w:eastAsia="en-NZ"/>
              </w:rPr>
              <w:t>Some aspects of the external areas still require improvement. There is an ongoing low risk corrective action in criterion 4.1.2.  Improvements have been made with the internal environment. Fragrance dispensers are now installed, and night staff are steam cleaning the armchairs and carpets. There were no odours in any parts of the home, including Tui dementia wing.  The internal temperature was comfortable, and an adequate supply of portable fans had been purchased for use in the summer. Residents and whānau were happy with the environment, including heating and ventilation, natural light, privacy, and maintenance.  The previous corrective action in criterion 4.1.6 related to odour and temperatures has been addressed and is closed.</w:t>
            </w:r>
          </w:p>
          <w:p w14:paraId="0C0590D6" w14:textId="77777777" w:rsidR="00000000" w:rsidRPr="00BE00C7" w:rsidRDefault="00000000" w:rsidP="00BE00C7">
            <w:pPr>
              <w:pStyle w:val="OutcomeDescription"/>
              <w:spacing w:before="120" w:after="120"/>
              <w:rPr>
                <w:rFonts w:cs="Arial"/>
                <w:lang w:eastAsia="en-NZ"/>
              </w:rPr>
            </w:pPr>
          </w:p>
        </w:tc>
      </w:tr>
      <w:tr w:rsidR="00277595" w14:paraId="6675EBAA" w14:textId="77777777">
        <w:tc>
          <w:tcPr>
            <w:tcW w:w="0" w:type="auto"/>
          </w:tcPr>
          <w:p w14:paraId="1DC8BA0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389635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589931C" w14:textId="77777777" w:rsidR="00000000" w:rsidRPr="00BE00C7" w:rsidRDefault="00000000" w:rsidP="00BE00C7">
            <w:pPr>
              <w:pStyle w:val="OutcomeDescription"/>
              <w:spacing w:before="120" w:after="120"/>
              <w:rPr>
                <w:rFonts w:cs="Arial"/>
                <w:lang w:eastAsia="en-NZ"/>
              </w:rPr>
            </w:pPr>
          </w:p>
        </w:tc>
        <w:tc>
          <w:tcPr>
            <w:tcW w:w="0" w:type="auto"/>
          </w:tcPr>
          <w:p w14:paraId="39DD9C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B944F8"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External doors and windows are locked at dusk. There is closed-circuit television (CCTV) monitoring in the dementia wings, which residents and whānau have been made aware of.  There have been no security events in the past six months. All staff were seen to be wearing name tags on the days of audit. The previous corrective action in criterion 4.2.6 related to staff not wearing identification has been rectified and is closed.</w:t>
            </w:r>
          </w:p>
          <w:p w14:paraId="2F979D2F" w14:textId="77777777" w:rsidR="00000000" w:rsidRPr="00BE00C7" w:rsidRDefault="00000000" w:rsidP="00BE00C7">
            <w:pPr>
              <w:pStyle w:val="OutcomeDescription"/>
              <w:spacing w:before="120" w:after="120"/>
              <w:rPr>
                <w:rFonts w:cs="Arial"/>
                <w:lang w:eastAsia="en-NZ"/>
              </w:rPr>
            </w:pPr>
          </w:p>
        </w:tc>
      </w:tr>
      <w:tr w:rsidR="00277595" w14:paraId="7E010EFD" w14:textId="77777777">
        <w:tc>
          <w:tcPr>
            <w:tcW w:w="0" w:type="auto"/>
          </w:tcPr>
          <w:p w14:paraId="54DEBF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067B2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w:t>
            </w:r>
            <w:r w:rsidRPr="00BE00C7">
              <w:rPr>
                <w:rFonts w:cs="Arial"/>
                <w:lang w:eastAsia="en-NZ"/>
              </w:rPr>
              <w:lastRenderedPageBreak/>
              <w:t>and we participate in national and regional IP and AMS programmes and respond to relevant issues of national and regional concern.</w:t>
            </w:r>
          </w:p>
          <w:p w14:paraId="25464B17" w14:textId="77777777" w:rsidR="00000000" w:rsidRPr="00BE00C7" w:rsidRDefault="00000000" w:rsidP="00BE00C7">
            <w:pPr>
              <w:pStyle w:val="OutcomeDescription"/>
              <w:spacing w:before="120" w:after="120"/>
              <w:rPr>
                <w:rFonts w:cs="Arial"/>
                <w:lang w:eastAsia="en-NZ"/>
              </w:rPr>
            </w:pPr>
          </w:p>
        </w:tc>
        <w:tc>
          <w:tcPr>
            <w:tcW w:w="0" w:type="auto"/>
          </w:tcPr>
          <w:p w14:paraId="14BB73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5145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at Eastcare were appropriate to the size and complexity of the service, had been approved by the governing body, were linked to the quality improvement system, and were being reviewed and reported on yearly. Eastcare has IP and AMS outlined in its policy documents. The infection control coordinator at Eastcare has access to specialist advise and training through a membership with an external ICP advisory company.  This addresses a previous finding whereby there were no formal links to </w:t>
            </w:r>
            <w:r w:rsidRPr="00BE00C7">
              <w:rPr>
                <w:rFonts w:cs="Arial"/>
                <w:lang w:eastAsia="en-NZ"/>
              </w:rPr>
              <w:lastRenderedPageBreak/>
              <w:t>access IP and AMS advice. Infection prevention and AMS information is discussed at the facility level and reported to the governing body.</w:t>
            </w:r>
          </w:p>
          <w:p w14:paraId="26F0C6A2" w14:textId="77777777" w:rsidR="00000000" w:rsidRPr="00BE00C7" w:rsidRDefault="00000000" w:rsidP="00BE00C7">
            <w:pPr>
              <w:pStyle w:val="OutcomeDescription"/>
              <w:spacing w:before="120" w:after="120"/>
              <w:rPr>
                <w:rFonts w:cs="Arial"/>
                <w:lang w:eastAsia="en-NZ"/>
              </w:rPr>
            </w:pPr>
          </w:p>
        </w:tc>
      </w:tr>
      <w:tr w:rsidR="00277595" w14:paraId="0A4AE4AB" w14:textId="77777777">
        <w:tc>
          <w:tcPr>
            <w:tcW w:w="0" w:type="auto"/>
          </w:tcPr>
          <w:p w14:paraId="09A8ED7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0AA6A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4C6CD9D" w14:textId="77777777" w:rsidR="00000000" w:rsidRPr="00BE00C7" w:rsidRDefault="00000000" w:rsidP="00BE00C7">
            <w:pPr>
              <w:pStyle w:val="OutcomeDescription"/>
              <w:spacing w:before="120" w:after="120"/>
              <w:rPr>
                <w:rFonts w:cs="Arial"/>
                <w:lang w:eastAsia="en-NZ"/>
              </w:rPr>
            </w:pPr>
          </w:p>
        </w:tc>
        <w:tc>
          <w:tcPr>
            <w:tcW w:w="0" w:type="auto"/>
          </w:tcPr>
          <w:p w14:paraId="29CAB5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A036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identified that the current job description for IP personnel does not include responsibility for AMS. The IP personnel have not undertaken training in IP or AMS. IP personnel were not participating in partnership with Māori to provide culturally safe IP practice. These areas have been addressed.</w:t>
            </w:r>
          </w:p>
          <w:p w14:paraId="7D66F6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(ICC) at Eastcare was responsible for overseeing and implementing the IP and AMS programmes with reporting lines to the FM. The IP and AMS programmes were linked to the quality improvement programme that was reviewed and reported on annually. The ICC had appropriate skills, knowledge, and qualifications for the role, and confirmed access to the necessary resources and support provided by the external advisory company. Online training occurs monthly, and evidence verifies attendance. Their advice had been sought when making decisions around procurement relevant to care delivery, facility changes, and policies. </w:t>
            </w:r>
          </w:p>
          <w:p w14:paraId="721A3A6E"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advice at Eastcare was accessed through those staff who identified as Māori, and the cultural advisors. Staff who identified as Māori and speak te reo Māori can provide ICC infection advice in te reo Māori if needed for Māori accessing services. Educational resources available in te reo Māori were accessible and understandable for Māori accessing services. Staff were familiar with policies through education during orientation, and ongoing education, and were observed following these correctly.</w:t>
            </w:r>
          </w:p>
          <w:p w14:paraId="73407163" w14:textId="77777777" w:rsidR="00000000" w:rsidRPr="00BE00C7" w:rsidRDefault="00000000" w:rsidP="00BE00C7">
            <w:pPr>
              <w:pStyle w:val="OutcomeDescription"/>
              <w:spacing w:before="120" w:after="120"/>
              <w:rPr>
                <w:rFonts w:cs="Arial"/>
                <w:lang w:eastAsia="en-NZ"/>
              </w:rPr>
            </w:pPr>
          </w:p>
        </w:tc>
      </w:tr>
      <w:tr w:rsidR="00277595" w14:paraId="0F79B192" w14:textId="77777777">
        <w:tc>
          <w:tcPr>
            <w:tcW w:w="0" w:type="auto"/>
          </w:tcPr>
          <w:p w14:paraId="763337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5EFCE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prescribing and implement an AMS programme that is </w:t>
            </w:r>
            <w:r w:rsidRPr="00BE00C7">
              <w:rPr>
                <w:rFonts w:cs="Arial"/>
                <w:lang w:eastAsia="en-NZ"/>
              </w:rPr>
              <w:lastRenderedPageBreak/>
              <w:t>appropriate to the needs, size, and scope of our services.</w:t>
            </w:r>
          </w:p>
          <w:p w14:paraId="7BCAF188" w14:textId="77777777" w:rsidR="00000000" w:rsidRPr="00BE00C7" w:rsidRDefault="00000000" w:rsidP="00BE00C7">
            <w:pPr>
              <w:pStyle w:val="OutcomeDescription"/>
              <w:spacing w:before="120" w:after="120"/>
              <w:rPr>
                <w:rFonts w:cs="Arial"/>
                <w:lang w:eastAsia="en-NZ"/>
              </w:rPr>
            </w:pPr>
          </w:p>
        </w:tc>
        <w:tc>
          <w:tcPr>
            <w:tcW w:w="0" w:type="auto"/>
          </w:tcPr>
          <w:p w14:paraId="33A0F5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E8BD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found there was no evidence of an evaluation to assess the effectiveness of the AMS programme. This has been addressed.</w:t>
            </w:r>
          </w:p>
          <w:p w14:paraId="3BB0CD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Eastcare has a documented antimicrobial stewardship (AMS) programme in place that is committed to promoting the responsible use of antimicrobials. The AMS programme has been developed using the evidence-based expertise of an external advisory company and has been approved by the governing body. The effectiveness of the AMS programme had been evaluated by monitoring the quality and quantity of antimicrobial use. </w:t>
            </w:r>
            <w:r w:rsidRPr="00BE00C7">
              <w:rPr>
                <w:rFonts w:cs="Arial"/>
                <w:lang w:eastAsia="en-NZ"/>
              </w:rPr>
              <w:lastRenderedPageBreak/>
              <w:t>Evidence was sighted of a reduction in the use of antibiotics and the identification of ongoing areas for improvement.</w:t>
            </w:r>
          </w:p>
          <w:p w14:paraId="08CBDA13" w14:textId="77777777" w:rsidR="00000000" w:rsidRPr="00BE00C7" w:rsidRDefault="00000000" w:rsidP="00BE00C7">
            <w:pPr>
              <w:pStyle w:val="OutcomeDescription"/>
              <w:spacing w:before="120" w:after="120"/>
              <w:rPr>
                <w:rFonts w:cs="Arial"/>
                <w:lang w:eastAsia="en-NZ"/>
              </w:rPr>
            </w:pPr>
          </w:p>
        </w:tc>
      </w:tr>
      <w:tr w:rsidR="00277595" w14:paraId="4959D46F" w14:textId="77777777">
        <w:tc>
          <w:tcPr>
            <w:tcW w:w="0" w:type="auto"/>
          </w:tcPr>
          <w:p w14:paraId="4A9DD7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44EE8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24328D3" w14:textId="77777777" w:rsidR="00000000" w:rsidRPr="00BE00C7" w:rsidRDefault="00000000" w:rsidP="00BE00C7">
            <w:pPr>
              <w:pStyle w:val="OutcomeDescription"/>
              <w:spacing w:before="120" w:after="120"/>
              <w:rPr>
                <w:rFonts w:cs="Arial"/>
                <w:lang w:eastAsia="en-NZ"/>
              </w:rPr>
            </w:pPr>
          </w:p>
        </w:tc>
        <w:tc>
          <w:tcPr>
            <w:tcW w:w="0" w:type="auto"/>
          </w:tcPr>
          <w:p w14:paraId="6581E6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7FBF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Eastcare undertook surveillance of infections appropriate to that recommended for long-term care facilities, and this was in line with priorities defined in the infection control programme. Eastcare used standardised surveillance definitions to identify and classify infection events that relate to the type of infection under surveillance.  </w:t>
            </w:r>
          </w:p>
          <w:p w14:paraId="16EE2C50"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was collated and analysed to identify any trends, possible causative factors, and required actions. Results of the surveillance programme were reported to management and the governing body and shared with staff. Surveillance data does include ethnicity data.  This addresses the finding at the previous audit that identified there was no evidence that the results of surveillance were being used to change practice, maximise quality of care, and minimise the risks and adverse effects from antibiotic use and antimicrobial resistance.</w:t>
            </w:r>
          </w:p>
          <w:p w14:paraId="4A26B0CF" w14:textId="77777777" w:rsidR="00000000" w:rsidRPr="00BE00C7" w:rsidRDefault="00000000" w:rsidP="00BE00C7">
            <w:pPr>
              <w:pStyle w:val="OutcomeDescription"/>
              <w:spacing w:before="120" w:after="120"/>
              <w:rPr>
                <w:rFonts w:cs="Arial"/>
                <w:lang w:eastAsia="en-NZ"/>
              </w:rPr>
            </w:pPr>
          </w:p>
        </w:tc>
      </w:tr>
      <w:tr w:rsidR="00277595" w14:paraId="641D5B6F" w14:textId="77777777">
        <w:tc>
          <w:tcPr>
            <w:tcW w:w="0" w:type="auto"/>
          </w:tcPr>
          <w:p w14:paraId="16377A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97645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962A564" w14:textId="77777777" w:rsidR="00000000" w:rsidRPr="00BE00C7" w:rsidRDefault="00000000" w:rsidP="00BE00C7">
            <w:pPr>
              <w:pStyle w:val="OutcomeDescription"/>
              <w:spacing w:before="120" w:after="120"/>
              <w:rPr>
                <w:rFonts w:cs="Arial"/>
                <w:lang w:eastAsia="en-NZ"/>
              </w:rPr>
            </w:pPr>
          </w:p>
        </w:tc>
        <w:tc>
          <w:tcPr>
            <w:tcW w:w="0" w:type="auto"/>
          </w:tcPr>
          <w:p w14:paraId="586FEE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1ACA9A"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and philosophy of the service. Interview with the GM demonstrated commitment to this, which is supported by the FM and regional operations manager at a service delivery level.  At the time of audit, there was no restraint in use, and this has been the case for more than ten years. Any use of restraint is reported to the directors and the GM.</w:t>
            </w:r>
          </w:p>
          <w:p w14:paraId="73DB4B36"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Staff have been trained in the least restrictive practice, safe restraint practice, alternative cultural-specific interventions, and de-escalation techniques.</w:t>
            </w:r>
          </w:p>
          <w:p w14:paraId="3EE14B95" w14:textId="77777777" w:rsidR="00000000" w:rsidRPr="00BE00C7" w:rsidRDefault="00000000" w:rsidP="00BE00C7">
            <w:pPr>
              <w:pStyle w:val="OutcomeDescription"/>
              <w:spacing w:before="120" w:after="120"/>
              <w:rPr>
                <w:rFonts w:cs="Arial"/>
                <w:lang w:eastAsia="en-NZ"/>
              </w:rPr>
            </w:pPr>
          </w:p>
        </w:tc>
      </w:tr>
    </w:tbl>
    <w:p w14:paraId="5549960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30D692E" w14:textId="77777777" w:rsidR="00000000" w:rsidRDefault="00000000">
      <w:pPr>
        <w:pStyle w:val="Heading1"/>
        <w:rPr>
          <w:rFonts w:cs="Arial"/>
        </w:rPr>
      </w:pPr>
      <w:r>
        <w:rPr>
          <w:rFonts w:cs="Arial"/>
        </w:rPr>
        <w:lastRenderedPageBreak/>
        <w:t>Specific results for criterion where corrective actions are required</w:t>
      </w:r>
    </w:p>
    <w:p w14:paraId="3488CCF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F2D30D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3B6E58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1302"/>
        <w:gridCol w:w="3443"/>
        <w:gridCol w:w="3422"/>
        <w:gridCol w:w="2727"/>
      </w:tblGrid>
      <w:tr w:rsidR="00277595" w14:paraId="527AC32B" w14:textId="77777777">
        <w:tc>
          <w:tcPr>
            <w:tcW w:w="0" w:type="auto"/>
          </w:tcPr>
          <w:p w14:paraId="1A8F00B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B1A720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9617D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91D791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ABAFCA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77595" w14:paraId="4E94FE7B" w14:textId="77777777">
        <w:tc>
          <w:tcPr>
            <w:tcW w:w="0" w:type="auto"/>
          </w:tcPr>
          <w:p w14:paraId="4A9E2D2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1.5.6</w:t>
            </w:r>
          </w:p>
          <w:p w14:paraId="3137E80C"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prioritise a strengths-based and holistic model ensuring wellbeing outcomes for Māori.</w:t>
            </w:r>
          </w:p>
        </w:tc>
        <w:tc>
          <w:tcPr>
            <w:tcW w:w="0" w:type="auto"/>
          </w:tcPr>
          <w:p w14:paraId="48CDDFE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D12E4E7"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seven care plans identified that the care plans of residents who identified as Māori (3) had no Māori-focused health plan in place that identified a strengths-based holistic service that supported the resident to achieve their best outcomes -</w:t>
            </w:r>
          </w:p>
          <w:p w14:paraId="78E438CC" w14:textId="77777777" w:rsidR="00000000" w:rsidRPr="00BE00C7" w:rsidRDefault="00000000" w:rsidP="00BE00C7">
            <w:pPr>
              <w:pStyle w:val="OutcomeDescription"/>
              <w:spacing w:before="120" w:after="120"/>
              <w:rPr>
                <w:rFonts w:cs="Arial"/>
                <w:lang w:eastAsia="en-NZ"/>
              </w:rPr>
            </w:pPr>
          </w:p>
        </w:tc>
        <w:tc>
          <w:tcPr>
            <w:tcW w:w="0" w:type="auto"/>
          </w:tcPr>
          <w:p w14:paraId="6663E3DE"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Māori-focused health plans were not being used for residents who identify as Māori. There was no evidence of a strengths-based and holistic model of care to enable well-being outcomes for Māori.</w:t>
            </w:r>
          </w:p>
          <w:p w14:paraId="21299BEF" w14:textId="77777777" w:rsidR="00000000" w:rsidRPr="00BE00C7" w:rsidRDefault="00000000" w:rsidP="00BE00C7">
            <w:pPr>
              <w:pStyle w:val="OutcomeDescription"/>
              <w:spacing w:before="120" w:after="120"/>
              <w:rPr>
                <w:rFonts w:cs="Arial"/>
                <w:lang w:eastAsia="en-NZ"/>
              </w:rPr>
            </w:pPr>
          </w:p>
        </w:tc>
        <w:tc>
          <w:tcPr>
            <w:tcW w:w="0" w:type="auto"/>
          </w:tcPr>
          <w:p w14:paraId="544FE2F6"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Māori-focused health plans are in place to guide practice, and to support Māori to receive the care and support they need.</w:t>
            </w:r>
          </w:p>
          <w:p w14:paraId="17C2C79E" w14:textId="77777777" w:rsidR="00000000" w:rsidRPr="00BE00C7" w:rsidRDefault="00000000" w:rsidP="00BE00C7">
            <w:pPr>
              <w:pStyle w:val="OutcomeDescription"/>
              <w:spacing w:before="120" w:after="120"/>
              <w:rPr>
                <w:rFonts w:cs="Arial"/>
                <w:lang w:eastAsia="en-NZ"/>
              </w:rPr>
            </w:pPr>
          </w:p>
          <w:p w14:paraId="2670C07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77595" w14:paraId="55F16792" w14:textId="77777777">
        <w:tc>
          <w:tcPr>
            <w:tcW w:w="0" w:type="auto"/>
          </w:tcPr>
          <w:p w14:paraId="44F39FA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2.2.3</w:t>
            </w:r>
          </w:p>
          <w:p w14:paraId="5141BEB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623F1B0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9FD72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Although quality and risk data is now being shared with all levels of staff, discussed at management meetings and reported to the GM monthly, there was no clear evidence in management reporting, meeting minutes or interviews that quality outcomes were being evaluated for progress. The updated and current </w:t>
            </w:r>
            <w:r w:rsidRPr="00BE00C7">
              <w:rPr>
                <w:rFonts w:cs="Arial"/>
                <w:lang w:eastAsia="en-NZ"/>
              </w:rPr>
              <w:lastRenderedPageBreak/>
              <w:t>business/quality and risk plan contains goals, but a method for reporting progress towards achieving these is yet to be implemented.</w:t>
            </w:r>
          </w:p>
          <w:p w14:paraId="7B243B98" w14:textId="77777777" w:rsidR="00000000" w:rsidRPr="00BE00C7" w:rsidRDefault="00000000" w:rsidP="00BE00C7">
            <w:pPr>
              <w:pStyle w:val="OutcomeDescription"/>
              <w:spacing w:before="120" w:after="120"/>
              <w:rPr>
                <w:rFonts w:cs="Arial"/>
                <w:lang w:eastAsia="en-NZ"/>
              </w:rPr>
            </w:pPr>
          </w:p>
        </w:tc>
        <w:tc>
          <w:tcPr>
            <w:tcW w:w="0" w:type="auto"/>
          </w:tcPr>
          <w:p w14:paraId="380F28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Progress towards meeting quality outcomes/goals was not being monitored, evaluated and reported.</w:t>
            </w:r>
          </w:p>
          <w:p w14:paraId="3896B6C7" w14:textId="77777777" w:rsidR="00000000" w:rsidRPr="00BE00C7" w:rsidRDefault="00000000" w:rsidP="00BE00C7">
            <w:pPr>
              <w:pStyle w:val="OutcomeDescription"/>
              <w:spacing w:before="120" w:after="120"/>
              <w:rPr>
                <w:rFonts w:cs="Arial"/>
                <w:lang w:eastAsia="en-NZ"/>
              </w:rPr>
            </w:pPr>
          </w:p>
        </w:tc>
        <w:tc>
          <w:tcPr>
            <w:tcW w:w="0" w:type="auto"/>
          </w:tcPr>
          <w:p w14:paraId="08EEC7A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systems and processes are in place to allow regular and effective evaluation of progress towards quality goals, indicators, and outcomes.</w:t>
            </w:r>
          </w:p>
          <w:p w14:paraId="4B6E704A" w14:textId="77777777" w:rsidR="00000000" w:rsidRPr="00BE00C7" w:rsidRDefault="00000000" w:rsidP="00BE00C7">
            <w:pPr>
              <w:pStyle w:val="OutcomeDescription"/>
              <w:spacing w:before="120" w:after="120"/>
              <w:rPr>
                <w:rFonts w:cs="Arial"/>
                <w:lang w:eastAsia="en-NZ"/>
              </w:rPr>
            </w:pPr>
          </w:p>
          <w:p w14:paraId="66D6B52D"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77595" w14:paraId="6B259955" w14:textId="77777777">
        <w:tc>
          <w:tcPr>
            <w:tcW w:w="0" w:type="auto"/>
          </w:tcPr>
          <w:p w14:paraId="291F3F4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2ECB6E92"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 xml:space="preserve">(g) Early warning signs and risks </w:t>
            </w:r>
            <w:r w:rsidRPr="00BE00C7">
              <w:rPr>
                <w:rFonts w:cs="Arial"/>
                <w:lang w:eastAsia="en-NZ"/>
              </w:rPr>
              <w:lastRenderedPageBreak/>
              <w:t>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4D5DA078" w14:textId="77777777" w:rsidR="00000000" w:rsidRPr="00BE00C7" w:rsidRDefault="00000000" w:rsidP="00BE00C7">
            <w:pPr>
              <w:pStyle w:val="OutcomeDescription"/>
              <w:spacing w:before="120" w:after="120"/>
              <w:rPr>
                <w:rFonts w:cs="Arial"/>
                <w:lang w:eastAsia="en-NZ"/>
              </w:rPr>
            </w:pPr>
          </w:p>
        </w:tc>
        <w:tc>
          <w:tcPr>
            <w:tcW w:w="0" w:type="auto"/>
          </w:tcPr>
          <w:p w14:paraId="1BE1F5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69CF47B"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resident files were reviewed. Three files of residents who identified as Māori had no Māori health plan in place, nor any documentation of the support required to achieve their pae ora outcomes.</w:t>
            </w:r>
          </w:p>
          <w:p w14:paraId="0E5BDB98"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residents with co-morbidities—such as schizophrenia, chronic obstructive respiratory disease, congestive heart failure, and non-insulin-dependent diabetes—did not have these conditions documented in the care plan, including the interventions required to monitor for early deterioration. Medication-related risks, such as aspirin use, were not documented. Four files reviewed of residents in the secure unit had no 24-hour care plan in place identifying previous lifestyle patterns and routines to support continuity of care.</w:t>
            </w:r>
          </w:p>
          <w:p w14:paraId="7503FF94" w14:textId="77777777" w:rsidR="00000000" w:rsidRPr="00BE00C7" w:rsidRDefault="00000000" w:rsidP="00BE00C7">
            <w:pPr>
              <w:pStyle w:val="OutcomeDescription"/>
              <w:spacing w:before="120" w:after="120"/>
              <w:rPr>
                <w:rFonts w:cs="Arial"/>
                <w:lang w:eastAsia="en-NZ"/>
              </w:rPr>
            </w:pPr>
          </w:p>
        </w:tc>
        <w:tc>
          <w:tcPr>
            <w:tcW w:w="0" w:type="auto"/>
          </w:tcPr>
          <w:p w14:paraId="3570B4CC" w14:textId="77777777" w:rsidR="00000000" w:rsidRPr="00BE00C7" w:rsidRDefault="00000000" w:rsidP="00BE00C7">
            <w:pPr>
              <w:pStyle w:val="OutcomeDescription"/>
              <w:spacing w:before="120" w:after="120"/>
              <w:rPr>
                <w:rFonts w:cs="Arial"/>
                <w:lang w:eastAsia="en-NZ"/>
              </w:rPr>
            </w:pPr>
            <w:r w:rsidRPr="00BE00C7">
              <w:rPr>
                <w:rFonts w:cs="Arial"/>
                <w:lang w:eastAsia="en-NZ"/>
              </w:rPr>
              <w:t>Early warning signs and risk that may adversely affect the resident were not always recorded, including interventions to prevent escalation. There were no 24-hour care plans in place for residents in the secure unit. Residents’ lived experiences and cultural needs were not included in the care plan. The support required to achieve the residents' goals were not consistently identified.</w:t>
            </w:r>
          </w:p>
          <w:p w14:paraId="3FD4BC78" w14:textId="77777777" w:rsidR="00000000" w:rsidRPr="00BE00C7" w:rsidRDefault="00000000" w:rsidP="00BE00C7">
            <w:pPr>
              <w:pStyle w:val="OutcomeDescription"/>
              <w:spacing w:before="120" w:after="120"/>
              <w:rPr>
                <w:rFonts w:cs="Arial"/>
                <w:lang w:eastAsia="en-NZ"/>
              </w:rPr>
            </w:pPr>
          </w:p>
        </w:tc>
        <w:tc>
          <w:tcPr>
            <w:tcW w:w="0" w:type="auto"/>
          </w:tcPr>
          <w:p w14:paraId="5F4F10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Provide evidence that early warning signs and risk that may adversely affect the resident are always recorded, including interventions to prevent escalation. </w:t>
            </w:r>
          </w:p>
          <w:p w14:paraId="773BAE1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24-hour care plans are in place for residents in the secure unit to enable continuity of previous lifestyle patterns.</w:t>
            </w:r>
          </w:p>
          <w:p w14:paraId="4792AE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each resident’s lived experiences, and cultural needs, are included in the care plan. </w:t>
            </w:r>
          </w:p>
          <w:p w14:paraId="61421D2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support required to achieve resident goals is reliably identified.</w:t>
            </w:r>
          </w:p>
          <w:p w14:paraId="4064F94C" w14:textId="77777777" w:rsidR="00000000" w:rsidRPr="00BE00C7" w:rsidRDefault="00000000" w:rsidP="00BE00C7">
            <w:pPr>
              <w:pStyle w:val="OutcomeDescription"/>
              <w:spacing w:before="120" w:after="120"/>
              <w:rPr>
                <w:rFonts w:cs="Arial"/>
                <w:lang w:eastAsia="en-NZ"/>
              </w:rPr>
            </w:pPr>
          </w:p>
          <w:p w14:paraId="7CBC9ED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77595" w14:paraId="262C5246" w14:textId="77777777">
        <w:tc>
          <w:tcPr>
            <w:tcW w:w="0" w:type="auto"/>
          </w:tcPr>
          <w:p w14:paraId="1C7830D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3.2.7</w:t>
            </w:r>
          </w:p>
          <w:p w14:paraId="49F57AC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understand Māori constructs of oranga and implement a process to support Māori and whānau to identify their own pae ora outcomes in their care or support plan. The support required to achieve these shall be clearly documented, communicated, and understood.</w:t>
            </w:r>
          </w:p>
        </w:tc>
        <w:tc>
          <w:tcPr>
            <w:tcW w:w="0" w:type="auto"/>
          </w:tcPr>
          <w:p w14:paraId="6974B8C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DE18D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two RNs had completed training related to the Ngā Paerewa Health and Disability Services Standard and all staff had attended training in cultural competency. The FM verified ongoing training and input around this area had been provided. Three files reviewed of residents who identified as Māori, however, had no documentation in their care plans as to the support the resident required for Māori residents to identify and achieve their pae ora outcomes. There was no documentation regarding which iwi they were affiliated with.</w:t>
            </w:r>
          </w:p>
          <w:p w14:paraId="110C8D37" w14:textId="77777777" w:rsidR="00000000" w:rsidRPr="00BE00C7" w:rsidRDefault="00000000" w:rsidP="00BE00C7">
            <w:pPr>
              <w:pStyle w:val="OutcomeDescription"/>
              <w:spacing w:before="120" w:after="120"/>
              <w:rPr>
                <w:rFonts w:cs="Arial"/>
                <w:lang w:eastAsia="en-NZ"/>
              </w:rPr>
            </w:pPr>
          </w:p>
        </w:tc>
        <w:tc>
          <w:tcPr>
            <w:tcW w:w="0" w:type="auto"/>
          </w:tcPr>
          <w:p w14:paraId="29922B5B" w14:textId="77777777" w:rsidR="00000000" w:rsidRPr="00BE00C7" w:rsidRDefault="00000000" w:rsidP="00BE00C7">
            <w:pPr>
              <w:pStyle w:val="OutcomeDescription"/>
              <w:spacing w:before="120" w:after="120"/>
              <w:rPr>
                <w:rFonts w:cs="Arial"/>
                <w:lang w:eastAsia="en-NZ"/>
              </w:rPr>
            </w:pPr>
            <w:r w:rsidRPr="00BE00C7">
              <w:rPr>
                <w:rFonts w:cs="Arial"/>
                <w:lang w:eastAsia="en-NZ"/>
              </w:rPr>
              <w:t>Pae ora outcomes to support Māori residents were not documented.</w:t>
            </w:r>
          </w:p>
          <w:p w14:paraId="67961A9F" w14:textId="77777777" w:rsidR="00000000" w:rsidRPr="00BE00C7" w:rsidRDefault="00000000" w:rsidP="00BE00C7">
            <w:pPr>
              <w:pStyle w:val="OutcomeDescription"/>
              <w:spacing w:before="120" w:after="120"/>
              <w:rPr>
                <w:rFonts w:cs="Arial"/>
                <w:lang w:eastAsia="en-NZ"/>
              </w:rPr>
            </w:pPr>
          </w:p>
        </w:tc>
        <w:tc>
          <w:tcPr>
            <w:tcW w:w="0" w:type="auto"/>
          </w:tcPr>
          <w:p w14:paraId="04883A6E"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residents who identify as Māori have their iwi and pae ora outcomes documented, with the required support the resident requires to achieve these documented and provided.</w:t>
            </w:r>
          </w:p>
          <w:p w14:paraId="79363A51" w14:textId="77777777" w:rsidR="00000000" w:rsidRPr="00BE00C7" w:rsidRDefault="00000000" w:rsidP="00BE00C7">
            <w:pPr>
              <w:pStyle w:val="OutcomeDescription"/>
              <w:spacing w:before="120" w:after="120"/>
              <w:rPr>
                <w:rFonts w:cs="Arial"/>
                <w:lang w:eastAsia="en-NZ"/>
              </w:rPr>
            </w:pPr>
          </w:p>
          <w:p w14:paraId="306823A6"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77595" w14:paraId="79737E49" w14:textId="77777777">
        <w:tc>
          <w:tcPr>
            <w:tcW w:w="0" w:type="auto"/>
          </w:tcPr>
          <w:p w14:paraId="0D5D1F6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488A48F9"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7C1E45C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067F4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coordinator, in conjunction with HCAs at Eastcare, provide activities as per the activities programme they have developed, based on residents’ strengths, skills and interests, five days a week. The activities staff have no training in social, diversional or motivational activities. The programme provided </w:t>
            </w:r>
            <w:r w:rsidRPr="00BE00C7">
              <w:rPr>
                <w:rFonts w:cs="Arial"/>
                <w:lang w:eastAsia="en-NZ"/>
              </w:rPr>
              <w:lastRenderedPageBreak/>
              <w:t>to residents in the secure unit requires input from someone skilled in providing these activities.</w:t>
            </w:r>
          </w:p>
          <w:p w14:paraId="1F2A32E2" w14:textId="77777777" w:rsidR="00000000" w:rsidRPr="00BE00C7" w:rsidRDefault="00000000" w:rsidP="00BE00C7">
            <w:pPr>
              <w:pStyle w:val="OutcomeDescription"/>
              <w:spacing w:before="120" w:after="120"/>
              <w:rPr>
                <w:rFonts w:cs="Arial"/>
                <w:lang w:eastAsia="en-NZ"/>
              </w:rPr>
            </w:pPr>
          </w:p>
        </w:tc>
        <w:tc>
          <w:tcPr>
            <w:tcW w:w="0" w:type="auto"/>
          </w:tcPr>
          <w:p w14:paraId="30EEC5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activities coordinator is not skilled in providing social, diversional or motivational activities, as per the contractual requirement.</w:t>
            </w:r>
          </w:p>
          <w:p w14:paraId="530BFE03" w14:textId="77777777" w:rsidR="00000000" w:rsidRPr="00BE00C7" w:rsidRDefault="00000000" w:rsidP="00BE00C7">
            <w:pPr>
              <w:pStyle w:val="OutcomeDescription"/>
              <w:spacing w:before="120" w:after="120"/>
              <w:rPr>
                <w:rFonts w:cs="Arial"/>
                <w:lang w:eastAsia="en-NZ"/>
              </w:rPr>
            </w:pPr>
          </w:p>
        </w:tc>
        <w:tc>
          <w:tcPr>
            <w:tcW w:w="0" w:type="auto"/>
          </w:tcPr>
          <w:p w14:paraId="0E1CA032"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activities programme delivered in the secure unit is provided by someone skilled in these areas.</w:t>
            </w:r>
          </w:p>
          <w:p w14:paraId="7B3A4F3D" w14:textId="77777777" w:rsidR="00000000" w:rsidRPr="00BE00C7" w:rsidRDefault="00000000" w:rsidP="00BE00C7">
            <w:pPr>
              <w:pStyle w:val="OutcomeDescription"/>
              <w:spacing w:before="120" w:after="120"/>
              <w:rPr>
                <w:rFonts w:cs="Arial"/>
                <w:lang w:eastAsia="en-NZ"/>
              </w:rPr>
            </w:pPr>
          </w:p>
          <w:p w14:paraId="06FED664"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277595" w14:paraId="08310AE8" w14:textId="77777777">
        <w:tc>
          <w:tcPr>
            <w:tcW w:w="0" w:type="auto"/>
          </w:tcPr>
          <w:p w14:paraId="5EC0AD0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20BBD9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619BFCF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844BE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Remedial work has occurred in the external areas outside Korimako and Tui wings to promote essential safety. For example, ensuring the emergency egress gate outside Pukeko can be readily opened, height added to the perimeter fence in Tui, shifting of bench seats from fence lines, removal of deteriorated furniture, and removal of noxious plants. </w:t>
            </w:r>
          </w:p>
          <w:p w14:paraId="405A04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Dementia residents in Tui Wing and Korimako Wing still have limited safe and shaded outdoor spaces for sitting and independent walking considering the number of people residing in those areas. There is a plan to reconfigure the internal courtyard – currently accessible to rest home residents who seldom use it – and make this safe and accessible for the dementia residents in Korimako Wing. The area previously accessed by Korimako residents will then be reutilised for Pukeko rest home residents. This may have an effect on the fire evacuation plan due to the location of an egress door in Koromiko. The GM is seeking advice from Fire and Emergency New Zealand. This will take some time </w:t>
            </w:r>
            <w:r w:rsidRPr="00BE00C7">
              <w:rPr>
                <w:rFonts w:cs="Arial"/>
                <w:lang w:eastAsia="en-NZ"/>
              </w:rPr>
              <w:lastRenderedPageBreak/>
              <w:t xml:space="preserve">and financial resources. </w:t>
            </w:r>
          </w:p>
          <w:p w14:paraId="586CF2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Although safety improvements have been made to the area outside Tui Wing, this environment could be made more appealing and safer by removing a large tree to stop the cobblestones from lifting, and refreshing the paint work and gardens. </w:t>
            </w:r>
          </w:p>
          <w:p w14:paraId="668FE233" w14:textId="77777777" w:rsidR="00000000" w:rsidRPr="00BE00C7" w:rsidRDefault="00000000" w:rsidP="00BE00C7">
            <w:pPr>
              <w:pStyle w:val="OutcomeDescription"/>
              <w:spacing w:before="120" w:after="120"/>
              <w:rPr>
                <w:rFonts w:cs="Arial"/>
                <w:lang w:eastAsia="en-NZ"/>
              </w:rPr>
            </w:pPr>
            <w:r w:rsidRPr="00BE00C7">
              <w:rPr>
                <w:rFonts w:cs="Arial"/>
                <w:lang w:eastAsia="en-NZ"/>
              </w:rPr>
              <w:t>- All garden areas could be better maintained. The GM and other staff stated they had been let down by a series of gardening contractors.</w:t>
            </w:r>
          </w:p>
          <w:p w14:paraId="38E59ED0" w14:textId="77777777" w:rsidR="00000000" w:rsidRPr="00BE00C7" w:rsidRDefault="00000000" w:rsidP="00BE00C7">
            <w:pPr>
              <w:pStyle w:val="OutcomeDescription"/>
              <w:spacing w:before="120" w:after="120"/>
              <w:rPr>
                <w:rFonts w:cs="Arial"/>
                <w:lang w:eastAsia="en-NZ"/>
              </w:rPr>
            </w:pPr>
            <w:r w:rsidRPr="00BE00C7">
              <w:rPr>
                <w:rFonts w:cs="Arial"/>
                <w:lang w:eastAsia="en-NZ"/>
              </w:rPr>
              <w:t>- Planned maintenance of the outside building is behind schedule. Parts of the building exterior require steam/water blasting or chemical cleaning, for example, the windowsills of bedrooms on the street side of Tui Wing have extensive mould growth and the concrete roof tiles appear dirty in places.</w:t>
            </w:r>
          </w:p>
          <w:p w14:paraId="5C0A54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 fences surrounding the car park require repainting, as do some external doors, and the facility street sign is badly faded.      </w:t>
            </w:r>
          </w:p>
          <w:p w14:paraId="136027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There are two large piles of protective personal equipment (PPE) stored under tarpaulins in the main carpark and outside the laundry that require sorting and removal to increase space and prevent wastage. There are also approximately 16 old mattresses and some furniture stored inside which </w:t>
            </w:r>
            <w:r w:rsidRPr="00BE00C7">
              <w:rPr>
                <w:rFonts w:cs="Arial"/>
                <w:lang w:eastAsia="en-NZ"/>
              </w:rPr>
              <w:lastRenderedPageBreak/>
              <w:t>require disposal. The facility has limited internal storage.</w:t>
            </w:r>
          </w:p>
          <w:p w14:paraId="6ACF96DF" w14:textId="77777777" w:rsidR="00000000" w:rsidRPr="00BE00C7" w:rsidRDefault="00000000" w:rsidP="00BE00C7">
            <w:pPr>
              <w:pStyle w:val="OutcomeDescription"/>
              <w:spacing w:before="120" w:after="120"/>
              <w:rPr>
                <w:rFonts w:cs="Arial"/>
                <w:lang w:eastAsia="en-NZ"/>
              </w:rPr>
            </w:pPr>
          </w:p>
        </w:tc>
        <w:tc>
          <w:tcPr>
            <w:tcW w:w="0" w:type="auto"/>
          </w:tcPr>
          <w:p w14:paraId="38DBDF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external areas for all residents require further enhancement, especially the areas accessed by Korimako and Tui residents.   </w:t>
            </w:r>
          </w:p>
          <w:p w14:paraId="660D860E"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maintenance of the building exterior is behind schedule.</w:t>
            </w:r>
          </w:p>
          <w:p w14:paraId="2FDCB695" w14:textId="77777777" w:rsidR="00000000" w:rsidRPr="00BE00C7" w:rsidRDefault="00000000" w:rsidP="00BE00C7">
            <w:pPr>
              <w:pStyle w:val="OutcomeDescription"/>
              <w:spacing w:before="120" w:after="120"/>
              <w:rPr>
                <w:rFonts w:cs="Arial"/>
                <w:lang w:eastAsia="en-NZ"/>
              </w:rPr>
            </w:pPr>
            <w:r w:rsidRPr="00BE00C7">
              <w:rPr>
                <w:rFonts w:cs="Arial"/>
                <w:lang w:eastAsia="en-NZ"/>
              </w:rPr>
              <w:t>No longer required PPE, degraded mattresses, and other items of furniture require disposal.</w:t>
            </w:r>
          </w:p>
          <w:p w14:paraId="41553065" w14:textId="77777777" w:rsidR="00000000" w:rsidRPr="00BE00C7" w:rsidRDefault="00000000" w:rsidP="00BE00C7">
            <w:pPr>
              <w:pStyle w:val="OutcomeDescription"/>
              <w:spacing w:before="120" w:after="120"/>
              <w:rPr>
                <w:rFonts w:cs="Arial"/>
                <w:lang w:eastAsia="en-NZ"/>
              </w:rPr>
            </w:pPr>
          </w:p>
        </w:tc>
        <w:tc>
          <w:tcPr>
            <w:tcW w:w="0" w:type="auto"/>
          </w:tcPr>
          <w:p w14:paraId="7C2E6A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external areas for all residents are safe, shaded and welcoming, to encourage them to use the outside space. </w:t>
            </w:r>
          </w:p>
          <w:p w14:paraId="1BB312D5"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Continue to upgrade and refresh all external areas as time and finances permit.</w:t>
            </w:r>
          </w:p>
          <w:p w14:paraId="3FE62CE7" w14:textId="77777777" w:rsidR="00000000" w:rsidRPr="00BE00C7" w:rsidRDefault="00000000" w:rsidP="00BE00C7">
            <w:pPr>
              <w:pStyle w:val="OutcomeDescription"/>
              <w:spacing w:before="120" w:after="120"/>
              <w:rPr>
                <w:rFonts w:cs="Arial"/>
                <w:lang w:eastAsia="en-NZ"/>
              </w:rPr>
            </w:pPr>
            <w:r w:rsidRPr="00BE00C7">
              <w:rPr>
                <w:rFonts w:cs="Arial"/>
                <w:lang w:eastAsia="en-NZ"/>
              </w:rPr>
              <w:t>Remove surplus/unwanted items that are stored outside and inside the building.</w:t>
            </w:r>
          </w:p>
          <w:p w14:paraId="7C55643E" w14:textId="77777777" w:rsidR="00000000" w:rsidRPr="00BE00C7" w:rsidRDefault="00000000" w:rsidP="00BE00C7">
            <w:pPr>
              <w:pStyle w:val="OutcomeDescription"/>
              <w:spacing w:before="120" w:after="120"/>
              <w:rPr>
                <w:rFonts w:cs="Arial"/>
                <w:lang w:eastAsia="en-NZ"/>
              </w:rPr>
            </w:pPr>
          </w:p>
          <w:p w14:paraId="72F3A5EB" w14:textId="77777777" w:rsidR="00000000" w:rsidRPr="00BE00C7" w:rsidRDefault="00000000" w:rsidP="00BE00C7">
            <w:pPr>
              <w:pStyle w:val="OutcomeDescription"/>
              <w:spacing w:before="120" w:after="120"/>
              <w:rPr>
                <w:rFonts w:cs="Arial"/>
                <w:lang w:eastAsia="en-NZ"/>
              </w:rPr>
            </w:pPr>
            <w:r w:rsidRPr="00BE00C7">
              <w:rPr>
                <w:rFonts w:cs="Arial"/>
                <w:lang w:eastAsia="en-NZ"/>
              </w:rPr>
              <w:t>365 days</w:t>
            </w:r>
          </w:p>
        </w:tc>
      </w:tr>
    </w:tbl>
    <w:p w14:paraId="5C7C145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F260276" w14:textId="77777777" w:rsidR="00000000" w:rsidRDefault="00000000">
      <w:pPr>
        <w:pStyle w:val="Heading1"/>
        <w:rPr>
          <w:rFonts w:cs="Arial"/>
        </w:rPr>
      </w:pPr>
      <w:r>
        <w:rPr>
          <w:rFonts w:cs="Arial"/>
        </w:rPr>
        <w:lastRenderedPageBreak/>
        <w:t>Specific results for criterion where a continuous improvement has been recorded</w:t>
      </w:r>
    </w:p>
    <w:p w14:paraId="1039381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E28BDC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C05D18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77595" w14:paraId="64D60103" w14:textId="77777777">
        <w:tc>
          <w:tcPr>
            <w:tcW w:w="0" w:type="auto"/>
          </w:tcPr>
          <w:p w14:paraId="0643746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0F1CF9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7B6C01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EE0B" w14:textId="77777777" w:rsidR="00C860F1" w:rsidRDefault="00C860F1">
      <w:r>
        <w:separator/>
      </w:r>
    </w:p>
  </w:endnote>
  <w:endnote w:type="continuationSeparator" w:id="0">
    <w:p w14:paraId="414696C3" w14:textId="77777777" w:rsidR="00C860F1" w:rsidRDefault="00C8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3B95" w14:textId="77777777" w:rsidR="00000000" w:rsidRDefault="00000000">
    <w:pPr>
      <w:pStyle w:val="Footer"/>
    </w:pPr>
  </w:p>
  <w:p w14:paraId="4B32BB63" w14:textId="77777777" w:rsidR="00000000" w:rsidRDefault="00000000"/>
  <w:p w14:paraId="744BB34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3ED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Kaylex Care Limited - Eastcare Residential Home</w:t>
    </w:r>
    <w:bookmarkEnd w:id="59"/>
    <w:r>
      <w:rPr>
        <w:rFonts w:cs="Arial"/>
        <w:sz w:val="16"/>
        <w:szCs w:val="20"/>
      </w:rPr>
      <w:tab/>
      <w:t xml:space="preserve">Date of Audit: </w:t>
    </w:r>
    <w:bookmarkStart w:id="60" w:name="AuditStartDate1"/>
    <w:r>
      <w:rPr>
        <w:rFonts w:cs="Arial"/>
        <w:sz w:val="16"/>
        <w:szCs w:val="20"/>
      </w:rPr>
      <w:t>17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FE6ACD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713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D429" w14:textId="77777777" w:rsidR="00C860F1" w:rsidRDefault="00C860F1">
      <w:r>
        <w:separator/>
      </w:r>
    </w:p>
  </w:footnote>
  <w:footnote w:type="continuationSeparator" w:id="0">
    <w:p w14:paraId="1DCC47F3" w14:textId="77777777" w:rsidR="00C860F1" w:rsidRDefault="00C86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CA24" w14:textId="77777777" w:rsidR="00000000" w:rsidRDefault="00000000">
    <w:pPr>
      <w:pStyle w:val="Header"/>
    </w:pPr>
  </w:p>
  <w:p w14:paraId="33E8C46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546F" w14:textId="77777777" w:rsidR="00000000" w:rsidRDefault="00000000">
    <w:pPr>
      <w:pStyle w:val="Header"/>
    </w:pPr>
  </w:p>
  <w:p w14:paraId="46B3E23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EB6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39618C8">
      <w:start w:val="1"/>
      <w:numFmt w:val="decimal"/>
      <w:lvlText w:val="%1."/>
      <w:lvlJc w:val="left"/>
      <w:pPr>
        <w:ind w:left="360" w:hanging="360"/>
      </w:pPr>
    </w:lvl>
    <w:lvl w:ilvl="1" w:tplc="FF180628" w:tentative="1">
      <w:start w:val="1"/>
      <w:numFmt w:val="lowerLetter"/>
      <w:lvlText w:val="%2."/>
      <w:lvlJc w:val="left"/>
      <w:pPr>
        <w:ind w:left="1080" w:hanging="360"/>
      </w:pPr>
    </w:lvl>
    <w:lvl w:ilvl="2" w:tplc="967460FC" w:tentative="1">
      <w:start w:val="1"/>
      <w:numFmt w:val="lowerRoman"/>
      <w:lvlText w:val="%3."/>
      <w:lvlJc w:val="right"/>
      <w:pPr>
        <w:ind w:left="1800" w:hanging="180"/>
      </w:pPr>
    </w:lvl>
    <w:lvl w:ilvl="3" w:tplc="1F0A2C18" w:tentative="1">
      <w:start w:val="1"/>
      <w:numFmt w:val="decimal"/>
      <w:lvlText w:val="%4."/>
      <w:lvlJc w:val="left"/>
      <w:pPr>
        <w:ind w:left="2520" w:hanging="360"/>
      </w:pPr>
    </w:lvl>
    <w:lvl w:ilvl="4" w:tplc="1AC4109A" w:tentative="1">
      <w:start w:val="1"/>
      <w:numFmt w:val="lowerLetter"/>
      <w:lvlText w:val="%5."/>
      <w:lvlJc w:val="left"/>
      <w:pPr>
        <w:ind w:left="3240" w:hanging="360"/>
      </w:pPr>
    </w:lvl>
    <w:lvl w:ilvl="5" w:tplc="60841EBC" w:tentative="1">
      <w:start w:val="1"/>
      <w:numFmt w:val="lowerRoman"/>
      <w:lvlText w:val="%6."/>
      <w:lvlJc w:val="right"/>
      <w:pPr>
        <w:ind w:left="3960" w:hanging="180"/>
      </w:pPr>
    </w:lvl>
    <w:lvl w:ilvl="6" w:tplc="9956E9F0" w:tentative="1">
      <w:start w:val="1"/>
      <w:numFmt w:val="decimal"/>
      <w:lvlText w:val="%7."/>
      <w:lvlJc w:val="left"/>
      <w:pPr>
        <w:ind w:left="4680" w:hanging="360"/>
      </w:pPr>
    </w:lvl>
    <w:lvl w:ilvl="7" w:tplc="25942904" w:tentative="1">
      <w:start w:val="1"/>
      <w:numFmt w:val="lowerLetter"/>
      <w:lvlText w:val="%8."/>
      <w:lvlJc w:val="left"/>
      <w:pPr>
        <w:ind w:left="5400" w:hanging="360"/>
      </w:pPr>
    </w:lvl>
    <w:lvl w:ilvl="8" w:tplc="EEC239E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8222D1A">
      <w:start w:val="1"/>
      <w:numFmt w:val="bullet"/>
      <w:lvlText w:val=""/>
      <w:lvlJc w:val="left"/>
      <w:pPr>
        <w:ind w:left="720" w:hanging="360"/>
      </w:pPr>
      <w:rPr>
        <w:rFonts w:ascii="Symbol" w:hAnsi="Symbol" w:hint="default"/>
      </w:rPr>
    </w:lvl>
    <w:lvl w:ilvl="1" w:tplc="B86EE5DC" w:tentative="1">
      <w:start w:val="1"/>
      <w:numFmt w:val="bullet"/>
      <w:lvlText w:val="o"/>
      <w:lvlJc w:val="left"/>
      <w:pPr>
        <w:ind w:left="1440" w:hanging="360"/>
      </w:pPr>
      <w:rPr>
        <w:rFonts w:ascii="Courier New" w:hAnsi="Courier New" w:cs="Courier New" w:hint="default"/>
      </w:rPr>
    </w:lvl>
    <w:lvl w:ilvl="2" w:tplc="DBA4B7C4" w:tentative="1">
      <w:start w:val="1"/>
      <w:numFmt w:val="bullet"/>
      <w:lvlText w:val=""/>
      <w:lvlJc w:val="left"/>
      <w:pPr>
        <w:ind w:left="2160" w:hanging="360"/>
      </w:pPr>
      <w:rPr>
        <w:rFonts w:ascii="Wingdings" w:hAnsi="Wingdings" w:hint="default"/>
      </w:rPr>
    </w:lvl>
    <w:lvl w:ilvl="3" w:tplc="66706024" w:tentative="1">
      <w:start w:val="1"/>
      <w:numFmt w:val="bullet"/>
      <w:lvlText w:val=""/>
      <w:lvlJc w:val="left"/>
      <w:pPr>
        <w:ind w:left="2880" w:hanging="360"/>
      </w:pPr>
      <w:rPr>
        <w:rFonts w:ascii="Symbol" w:hAnsi="Symbol" w:hint="default"/>
      </w:rPr>
    </w:lvl>
    <w:lvl w:ilvl="4" w:tplc="AC3AD582" w:tentative="1">
      <w:start w:val="1"/>
      <w:numFmt w:val="bullet"/>
      <w:lvlText w:val="o"/>
      <w:lvlJc w:val="left"/>
      <w:pPr>
        <w:ind w:left="3600" w:hanging="360"/>
      </w:pPr>
      <w:rPr>
        <w:rFonts w:ascii="Courier New" w:hAnsi="Courier New" w:cs="Courier New" w:hint="default"/>
      </w:rPr>
    </w:lvl>
    <w:lvl w:ilvl="5" w:tplc="5E708B24" w:tentative="1">
      <w:start w:val="1"/>
      <w:numFmt w:val="bullet"/>
      <w:lvlText w:val=""/>
      <w:lvlJc w:val="left"/>
      <w:pPr>
        <w:ind w:left="4320" w:hanging="360"/>
      </w:pPr>
      <w:rPr>
        <w:rFonts w:ascii="Wingdings" w:hAnsi="Wingdings" w:hint="default"/>
      </w:rPr>
    </w:lvl>
    <w:lvl w:ilvl="6" w:tplc="737A690C" w:tentative="1">
      <w:start w:val="1"/>
      <w:numFmt w:val="bullet"/>
      <w:lvlText w:val=""/>
      <w:lvlJc w:val="left"/>
      <w:pPr>
        <w:ind w:left="5040" w:hanging="360"/>
      </w:pPr>
      <w:rPr>
        <w:rFonts w:ascii="Symbol" w:hAnsi="Symbol" w:hint="default"/>
      </w:rPr>
    </w:lvl>
    <w:lvl w:ilvl="7" w:tplc="6F2ED448" w:tentative="1">
      <w:start w:val="1"/>
      <w:numFmt w:val="bullet"/>
      <w:lvlText w:val="o"/>
      <w:lvlJc w:val="left"/>
      <w:pPr>
        <w:ind w:left="5760" w:hanging="360"/>
      </w:pPr>
      <w:rPr>
        <w:rFonts w:ascii="Courier New" w:hAnsi="Courier New" w:cs="Courier New" w:hint="default"/>
      </w:rPr>
    </w:lvl>
    <w:lvl w:ilvl="8" w:tplc="846CB566" w:tentative="1">
      <w:start w:val="1"/>
      <w:numFmt w:val="bullet"/>
      <w:lvlText w:val=""/>
      <w:lvlJc w:val="left"/>
      <w:pPr>
        <w:ind w:left="6480" w:hanging="360"/>
      </w:pPr>
      <w:rPr>
        <w:rFonts w:ascii="Wingdings" w:hAnsi="Wingdings" w:hint="default"/>
      </w:rPr>
    </w:lvl>
  </w:abstractNum>
  <w:num w:numId="1" w16cid:durableId="248274405">
    <w:abstractNumId w:val="1"/>
  </w:num>
  <w:num w:numId="2" w16cid:durableId="91936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95"/>
    <w:rsid w:val="00277595"/>
    <w:rsid w:val="0055473E"/>
    <w:rsid w:val="00672023"/>
    <w:rsid w:val="00C860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3EFA"/>
  <w15:docId w15:val="{AD57F267-9D30-4FF0-B52F-B44727F7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11231</Words>
  <Characters>64017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2025-10-24T02:03:00Z</dcterms:created>
  <dcterms:modified xsi:type="dcterms:W3CDTF">2025-10-24T02:03:00Z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