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885C" w14:textId="77777777" w:rsidR="00000000" w:rsidRDefault="00000000">
      <w:pPr>
        <w:pStyle w:val="Heading1"/>
        <w:rPr>
          <w:rFonts w:cs="Arial"/>
        </w:rPr>
      </w:pPr>
      <w:bookmarkStart w:id="0" w:name="PRMS_RIName"/>
      <w:r>
        <w:rPr>
          <w:rFonts w:cs="Arial"/>
        </w:rPr>
        <w:t>Edenvale Aged Care Charitable Trust - Edenvale Home &amp; Hospital</w:t>
      </w:r>
      <w:bookmarkEnd w:id="0"/>
    </w:p>
    <w:p w14:paraId="5D451440" w14:textId="77777777" w:rsidR="00000000" w:rsidRDefault="00000000">
      <w:pPr>
        <w:pStyle w:val="Heading2"/>
        <w:spacing w:after="0"/>
        <w:rPr>
          <w:rFonts w:cs="Arial"/>
        </w:rPr>
      </w:pPr>
      <w:r>
        <w:rPr>
          <w:rFonts w:cs="Arial"/>
        </w:rPr>
        <w:t>Introduction</w:t>
      </w:r>
    </w:p>
    <w:p w14:paraId="3E26CB7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1597E5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151643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7F69A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05F2CF" w14:textId="77777777" w:rsidR="00000000" w:rsidRDefault="00000000">
      <w:pPr>
        <w:spacing w:before="240" w:after="240"/>
        <w:rPr>
          <w:rFonts w:cs="Arial"/>
          <w:lang w:eastAsia="en-NZ"/>
        </w:rPr>
      </w:pPr>
      <w:r>
        <w:rPr>
          <w:rFonts w:cs="Arial"/>
          <w:lang w:eastAsia="en-NZ"/>
        </w:rPr>
        <w:t>The specifics of this audit included:</w:t>
      </w:r>
    </w:p>
    <w:p w14:paraId="5040A47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F2956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Edenvale Aged Care Charitable Trust</w:t>
      </w:r>
      <w:bookmarkEnd w:id="4"/>
    </w:p>
    <w:p w14:paraId="275AED1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Edenvale Home &amp; Hospital</w:t>
      </w:r>
      <w:bookmarkEnd w:id="5"/>
    </w:p>
    <w:p w14:paraId="664615D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Rest home care (excluding dementia care); Dementia care</w:t>
      </w:r>
      <w:bookmarkEnd w:id="6"/>
    </w:p>
    <w:p w14:paraId="29C0E9C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August 2025</w:t>
      </w:r>
      <w:bookmarkEnd w:id="7"/>
      <w:r w:rsidRPr="009418D4">
        <w:rPr>
          <w:rFonts w:cs="Arial"/>
        </w:rPr>
        <w:tab/>
        <w:t xml:space="preserve">End date: </w:t>
      </w:r>
      <w:bookmarkStart w:id="8" w:name="AuditEndDate"/>
      <w:r>
        <w:rPr>
          <w:rFonts w:cs="Arial"/>
        </w:rPr>
        <w:t>29 August 2025</w:t>
      </w:r>
      <w:bookmarkEnd w:id="8"/>
    </w:p>
    <w:p w14:paraId="68D5E0E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0227ED8" w14:textId="77777777" w:rsidR="009A16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76691EC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9CD9660" w14:textId="77777777" w:rsidR="00000000" w:rsidRDefault="00000000">
      <w:pPr>
        <w:pStyle w:val="Heading1"/>
        <w:rPr>
          <w:rFonts w:cs="Arial"/>
        </w:rPr>
      </w:pPr>
      <w:r>
        <w:rPr>
          <w:rFonts w:cs="Arial"/>
        </w:rPr>
        <w:lastRenderedPageBreak/>
        <w:t>Executive summary of the audit</w:t>
      </w:r>
    </w:p>
    <w:p w14:paraId="1F0EA6A3" w14:textId="77777777" w:rsidR="00000000" w:rsidRDefault="00000000">
      <w:pPr>
        <w:pStyle w:val="Heading2"/>
        <w:rPr>
          <w:rFonts w:cs="Arial"/>
        </w:rPr>
      </w:pPr>
      <w:r>
        <w:rPr>
          <w:rFonts w:cs="Arial"/>
        </w:rPr>
        <w:t>Introduction</w:t>
      </w:r>
    </w:p>
    <w:p w14:paraId="101B72D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1066D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846E2D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78E83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71299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754AA9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62159E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8357E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1CFEFF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A16E0" w14:paraId="1BC5AD93" w14:textId="77777777">
        <w:trPr>
          <w:cantSplit/>
          <w:tblHeader/>
        </w:trPr>
        <w:tc>
          <w:tcPr>
            <w:tcW w:w="1260" w:type="dxa"/>
            <w:tcBorders>
              <w:bottom w:val="single" w:sz="4" w:space="0" w:color="000000"/>
            </w:tcBorders>
            <w:vAlign w:val="center"/>
          </w:tcPr>
          <w:p w14:paraId="0136AA3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2D73C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FC03532" w14:textId="77777777" w:rsidR="00000000" w:rsidRDefault="00000000">
            <w:pPr>
              <w:spacing w:before="60" w:after="60"/>
              <w:rPr>
                <w:rFonts w:eastAsia="Calibri"/>
                <w:b/>
                <w:szCs w:val="24"/>
              </w:rPr>
            </w:pPr>
            <w:r>
              <w:rPr>
                <w:rFonts w:eastAsia="Calibri"/>
                <w:b/>
                <w:szCs w:val="24"/>
              </w:rPr>
              <w:t>Definition</w:t>
            </w:r>
          </w:p>
        </w:tc>
      </w:tr>
      <w:tr w:rsidR="009A16E0" w14:paraId="5FA66633" w14:textId="77777777">
        <w:trPr>
          <w:cantSplit/>
          <w:trHeight w:val="964"/>
        </w:trPr>
        <w:tc>
          <w:tcPr>
            <w:tcW w:w="1260" w:type="dxa"/>
            <w:tcBorders>
              <w:bottom w:val="single" w:sz="4" w:space="0" w:color="000000"/>
            </w:tcBorders>
            <w:shd w:val="clear" w:color="0066FF" w:fill="0000FF"/>
            <w:vAlign w:val="center"/>
          </w:tcPr>
          <w:p w14:paraId="09A0998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2D86B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95CB5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A16E0" w14:paraId="2C22B74D" w14:textId="77777777">
        <w:trPr>
          <w:cantSplit/>
          <w:trHeight w:val="964"/>
        </w:trPr>
        <w:tc>
          <w:tcPr>
            <w:tcW w:w="1260" w:type="dxa"/>
            <w:shd w:val="clear" w:color="33CC33" w:fill="00FF00"/>
            <w:vAlign w:val="center"/>
          </w:tcPr>
          <w:p w14:paraId="0DABA924" w14:textId="77777777" w:rsidR="00000000" w:rsidRDefault="00000000">
            <w:pPr>
              <w:spacing w:before="60" w:after="60"/>
              <w:rPr>
                <w:rFonts w:eastAsia="Calibri"/>
                <w:szCs w:val="24"/>
              </w:rPr>
            </w:pPr>
          </w:p>
        </w:tc>
        <w:tc>
          <w:tcPr>
            <w:tcW w:w="7095" w:type="dxa"/>
            <w:shd w:val="clear" w:color="auto" w:fill="auto"/>
            <w:vAlign w:val="center"/>
          </w:tcPr>
          <w:p w14:paraId="0D84922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E7FEB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A16E0" w14:paraId="3DD71597" w14:textId="77777777">
        <w:trPr>
          <w:cantSplit/>
          <w:trHeight w:val="964"/>
        </w:trPr>
        <w:tc>
          <w:tcPr>
            <w:tcW w:w="1260" w:type="dxa"/>
            <w:tcBorders>
              <w:bottom w:val="single" w:sz="4" w:space="0" w:color="000000"/>
            </w:tcBorders>
            <w:shd w:val="clear" w:color="auto" w:fill="FFFF00"/>
            <w:vAlign w:val="center"/>
          </w:tcPr>
          <w:p w14:paraId="4ADEC722" w14:textId="77777777" w:rsidR="00000000" w:rsidRDefault="00000000">
            <w:pPr>
              <w:spacing w:before="60" w:after="60"/>
              <w:rPr>
                <w:rFonts w:eastAsia="Calibri"/>
                <w:szCs w:val="24"/>
              </w:rPr>
            </w:pPr>
          </w:p>
        </w:tc>
        <w:tc>
          <w:tcPr>
            <w:tcW w:w="7095" w:type="dxa"/>
            <w:shd w:val="clear" w:color="auto" w:fill="auto"/>
            <w:vAlign w:val="center"/>
          </w:tcPr>
          <w:p w14:paraId="5F8A4C1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79658B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A16E0" w14:paraId="55A6F082" w14:textId="77777777">
        <w:trPr>
          <w:cantSplit/>
          <w:trHeight w:val="964"/>
        </w:trPr>
        <w:tc>
          <w:tcPr>
            <w:tcW w:w="1260" w:type="dxa"/>
            <w:tcBorders>
              <w:bottom w:val="single" w:sz="4" w:space="0" w:color="000000"/>
            </w:tcBorders>
            <w:shd w:val="clear" w:color="auto" w:fill="FFC800"/>
            <w:vAlign w:val="center"/>
          </w:tcPr>
          <w:p w14:paraId="7F640D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C76652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51299E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A16E0" w14:paraId="2A3AAB5B" w14:textId="77777777">
        <w:trPr>
          <w:cantSplit/>
          <w:trHeight w:val="964"/>
        </w:trPr>
        <w:tc>
          <w:tcPr>
            <w:tcW w:w="1260" w:type="dxa"/>
            <w:shd w:val="clear" w:color="auto" w:fill="FF0000"/>
            <w:vAlign w:val="center"/>
          </w:tcPr>
          <w:p w14:paraId="006590E9" w14:textId="77777777" w:rsidR="00000000" w:rsidRDefault="00000000">
            <w:pPr>
              <w:spacing w:before="60" w:after="60"/>
              <w:rPr>
                <w:rFonts w:eastAsia="Calibri"/>
                <w:szCs w:val="24"/>
              </w:rPr>
            </w:pPr>
          </w:p>
        </w:tc>
        <w:tc>
          <w:tcPr>
            <w:tcW w:w="7095" w:type="dxa"/>
            <w:shd w:val="clear" w:color="auto" w:fill="auto"/>
            <w:vAlign w:val="center"/>
          </w:tcPr>
          <w:p w14:paraId="5374DA6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EBEEF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7CC9C0D" w14:textId="77777777" w:rsidR="00000000" w:rsidRDefault="00000000">
      <w:pPr>
        <w:pStyle w:val="Heading2"/>
        <w:spacing w:after="0"/>
        <w:rPr>
          <w:rFonts w:cs="Arial"/>
        </w:rPr>
      </w:pPr>
      <w:r>
        <w:rPr>
          <w:rFonts w:cs="Arial"/>
        </w:rPr>
        <w:t>General overview of the audit</w:t>
      </w:r>
    </w:p>
    <w:p w14:paraId="6F8B57F7" w14:textId="77777777" w:rsidR="00000000" w:rsidRDefault="00000000">
      <w:pPr>
        <w:spacing w:before="240" w:line="276" w:lineRule="auto"/>
        <w:rPr>
          <w:rFonts w:eastAsia="Calibri"/>
        </w:rPr>
      </w:pPr>
      <w:bookmarkStart w:id="13" w:name="GeneralOverview"/>
      <w:r w:rsidRPr="00A4268A">
        <w:rPr>
          <w:rFonts w:eastAsia="Calibri"/>
        </w:rPr>
        <w:t xml:space="preserve">Edenvale Aged Care Charitable Trust, operating as Edenvale Home and Hospital, provides rest home, hospital and dementia care services for up to 41 residents. Since the last audit, the clinical leader, nurse educator, and the clinical consultant have resigned. There is a new clinical manager and new educator. The nurse consultant position was not replaced. </w:t>
      </w:r>
    </w:p>
    <w:p w14:paraId="4FBA963E" w14:textId="77777777" w:rsidR="009A16E0" w:rsidRPr="00A4268A" w:rsidRDefault="00000000">
      <w:pPr>
        <w:spacing w:before="240" w:line="276" w:lineRule="auto"/>
        <w:rPr>
          <w:rFonts w:eastAsia="Calibri"/>
        </w:rPr>
      </w:pPr>
      <w:r w:rsidRPr="00A4268A">
        <w:rPr>
          <w:rFonts w:eastAsia="Calibri"/>
        </w:rPr>
        <w:t xml:space="preserve">This certification audit process was conducted against the Ngā Paerewa Health and Disability Services Standard (NZS 8134:2021) and the contracts the service holds with Health New Zealand – Te Whatu Ora. It included review of policies and procedures, review of residents’ and staff files, observations, and interviews with residents, family members, members of the governance group, managers, staff, contracted allied health providers, and a general practitioner.  </w:t>
      </w:r>
    </w:p>
    <w:p w14:paraId="44229793" w14:textId="77777777" w:rsidR="009A16E0" w:rsidRPr="00A4268A" w:rsidRDefault="00000000">
      <w:pPr>
        <w:spacing w:before="240" w:line="276" w:lineRule="auto"/>
        <w:rPr>
          <w:rFonts w:eastAsia="Calibri"/>
        </w:rPr>
      </w:pPr>
      <w:r w:rsidRPr="00A4268A">
        <w:rPr>
          <w:rFonts w:eastAsia="Calibri"/>
        </w:rPr>
        <w:t>No improvements are required from this audit.</w:t>
      </w:r>
    </w:p>
    <w:bookmarkEnd w:id="13"/>
    <w:p w14:paraId="7E1DAE14" w14:textId="77777777" w:rsidR="009A16E0" w:rsidRPr="00A4268A" w:rsidRDefault="009A16E0">
      <w:pPr>
        <w:spacing w:before="240" w:line="276" w:lineRule="auto"/>
        <w:rPr>
          <w:rFonts w:eastAsia="Calibri"/>
        </w:rPr>
      </w:pPr>
    </w:p>
    <w:p w14:paraId="53AC20A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0231C47B" w14:textId="77777777" w:rsidTr="00A4268A">
        <w:trPr>
          <w:cantSplit/>
        </w:trPr>
        <w:tc>
          <w:tcPr>
            <w:tcW w:w="10206" w:type="dxa"/>
            <w:vAlign w:val="center"/>
          </w:tcPr>
          <w:p w14:paraId="0D6CF24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798025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D9F587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11AD4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A4B58EE"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Edenvale Home and Hospital works collaboratively to support and encourage a Māori world view of health in service delivery. Māori are provided with equitable and effective services based on Te Tiriti o Waitangi and the principles of mana motuhake. </w:t>
      </w:r>
    </w:p>
    <w:p w14:paraId="479F8FC9" w14:textId="77777777" w:rsidR="009A16E0"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F5BDD06" w14:textId="77777777" w:rsidR="009A16E0"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123B0234" w14:textId="77777777" w:rsidR="009A16E0"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7CD04241" w14:textId="77777777" w:rsidR="009A16E0"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5C8AAEBF" w14:textId="77777777" w:rsidR="009A16E0" w:rsidRPr="00A4268A" w:rsidRDefault="009A16E0">
      <w:pPr>
        <w:spacing w:before="240" w:line="276" w:lineRule="auto"/>
        <w:rPr>
          <w:rFonts w:eastAsia="Calibri"/>
        </w:rPr>
      </w:pPr>
    </w:p>
    <w:p w14:paraId="4F5ECE6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3EBFC38E" w14:textId="77777777" w:rsidTr="00A4268A">
        <w:trPr>
          <w:cantSplit/>
        </w:trPr>
        <w:tc>
          <w:tcPr>
            <w:tcW w:w="10206" w:type="dxa"/>
            <w:vAlign w:val="center"/>
          </w:tcPr>
          <w:p w14:paraId="0320DF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F3C05E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CBC4C1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DBDF713"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BBC8199" w14:textId="77777777" w:rsidR="009A16E0"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9C4A16C" w14:textId="77777777" w:rsidR="009A16E0"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37719A15" w14:textId="77777777" w:rsidR="009A16E0"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1C30D60C" w14:textId="77777777" w:rsidR="009A16E0"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1890499A" w14:textId="77777777" w:rsidR="009A16E0"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264581B" w14:textId="77777777" w:rsidR="009A16E0" w:rsidRPr="00A4268A" w:rsidRDefault="009A16E0">
      <w:pPr>
        <w:spacing w:before="240" w:line="276" w:lineRule="auto"/>
        <w:rPr>
          <w:rFonts w:eastAsia="Calibri"/>
        </w:rPr>
      </w:pPr>
    </w:p>
    <w:p w14:paraId="0E9508B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6EA76ADF" w14:textId="77777777" w:rsidTr="00A4268A">
        <w:trPr>
          <w:cantSplit/>
        </w:trPr>
        <w:tc>
          <w:tcPr>
            <w:tcW w:w="10206" w:type="dxa"/>
            <w:vAlign w:val="center"/>
          </w:tcPr>
          <w:p w14:paraId="067CD0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D61B91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06383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7BBE58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6E6015F8" w14:textId="77777777" w:rsidR="009A16E0"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737CD51" w14:textId="77777777" w:rsidR="009A16E0"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32CC90F1" w14:textId="77777777" w:rsidR="009A16E0" w:rsidRPr="00A4268A" w:rsidRDefault="00000000" w:rsidP="00621629">
      <w:pPr>
        <w:spacing w:before="240" w:line="276" w:lineRule="auto"/>
        <w:rPr>
          <w:rFonts w:eastAsia="Calibri"/>
        </w:rPr>
      </w:pPr>
      <w:r w:rsidRPr="00A4268A">
        <w:rPr>
          <w:rFonts w:eastAsia="Calibri"/>
        </w:rPr>
        <w:lastRenderedPageBreak/>
        <w:t xml:space="preserve">Medicines are safely managed and administered by staff who are competent to do so. </w:t>
      </w:r>
    </w:p>
    <w:p w14:paraId="6CE13268" w14:textId="77777777" w:rsidR="009A16E0"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657BD37" w14:textId="77777777" w:rsidR="009A16E0"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F029D27" w14:textId="77777777" w:rsidR="009A16E0" w:rsidRPr="00A4268A" w:rsidRDefault="009A16E0" w:rsidP="00621629">
      <w:pPr>
        <w:spacing w:before="240" w:line="276" w:lineRule="auto"/>
        <w:rPr>
          <w:rFonts w:eastAsia="Calibri"/>
        </w:rPr>
      </w:pPr>
    </w:p>
    <w:p w14:paraId="6253C78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7B1A47F3" w14:textId="77777777" w:rsidTr="00A4268A">
        <w:trPr>
          <w:cantSplit/>
        </w:trPr>
        <w:tc>
          <w:tcPr>
            <w:tcW w:w="10206" w:type="dxa"/>
            <w:vAlign w:val="center"/>
          </w:tcPr>
          <w:p w14:paraId="431A17C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0FEF2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57C48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A47333C"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5885454F" w14:textId="77777777" w:rsidR="009A16E0"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0BC0D09A" w14:textId="77777777" w:rsidR="009A16E0" w:rsidRPr="00A4268A" w:rsidRDefault="009A16E0">
      <w:pPr>
        <w:spacing w:before="240" w:line="276" w:lineRule="auto"/>
        <w:rPr>
          <w:rFonts w:eastAsia="Calibri"/>
        </w:rPr>
      </w:pPr>
    </w:p>
    <w:p w14:paraId="7F0F62C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1793D5BE" w14:textId="77777777" w:rsidTr="00A4268A">
        <w:trPr>
          <w:cantSplit/>
        </w:trPr>
        <w:tc>
          <w:tcPr>
            <w:tcW w:w="10206" w:type="dxa"/>
            <w:vAlign w:val="center"/>
          </w:tcPr>
          <w:p w14:paraId="0C4E88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CDCC3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11FAF4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7B8E2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80A1802" w14:textId="77777777" w:rsidR="009A16E0"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2647DF64" w14:textId="77777777" w:rsidR="009A16E0"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E51D0ED" w14:textId="77777777" w:rsidR="009A16E0"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13C8E686" w14:textId="77777777" w:rsidR="009A16E0"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1D404EAA" w14:textId="77777777" w:rsidR="009A16E0" w:rsidRPr="00A4268A" w:rsidRDefault="009A16E0">
      <w:pPr>
        <w:spacing w:before="240" w:line="276" w:lineRule="auto"/>
        <w:rPr>
          <w:rFonts w:eastAsia="Calibri"/>
        </w:rPr>
      </w:pPr>
    </w:p>
    <w:p w14:paraId="47169B2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A16E0" w14:paraId="206EF565" w14:textId="77777777" w:rsidTr="00A4268A">
        <w:trPr>
          <w:cantSplit/>
        </w:trPr>
        <w:tc>
          <w:tcPr>
            <w:tcW w:w="10206" w:type="dxa"/>
            <w:vAlign w:val="center"/>
          </w:tcPr>
          <w:p w14:paraId="494A5D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4E6D61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B09C7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BC8E2B4"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to be a restraint-free environment. This is supported by the governing body and policies and procedures.  There were no residents using restraints at the time of audit.  </w:t>
      </w:r>
    </w:p>
    <w:p w14:paraId="44AE0A60" w14:textId="77777777" w:rsidR="009A16E0"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63D0EFCC" w14:textId="77777777" w:rsidR="009A16E0" w:rsidRPr="00A4268A" w:rsidRDefault="009A16E0">
      <w:pPr>
        <w:spacing w:before="240" w:line="276" w:lineRule="auto"/>
        <w:rPr>
          <w:rFonts w:eastAsia="Calibri"/>
        </w:rPr>
      </w:pPr>
    </w:p>
    <w:p w14:paraId="618C46AA" w14:textId="77777777" w:rsidR="00000000" w:rsidRDefault="00000000" w:rsidP="000E6E02">
      <w:pPr>
        <w:pStyle w:val="Heading2"/>
        <w:spacing w:before="0"/>
        <w:rPr>
          <w:rFonts w:cs="Arial"/>
        </w:rPr>
      </w:pPr>
      <w:r>
        <w:rPr>
          <w:rFonts w:cs="Arial"/>
        </w:rPr>
        <w:lastRenderedPageBreak/>
        <w:t>Summary of attainment</w:t>
      </w:r>
    </w:p>
    <w:p w14:paraId="5D7FD4A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A16E0" w14:paraId="696333C6" w14:textId="77777777">
        <w:tc>
          <w:tcPr>
            <w:tcW w:w="1384" w:type="dxa"/>
            <w:vAlign w:val="center"/>
          </w:tcPr>
          <w:p w14:paraId="0C0CFB6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15933B" w14:textId="77777777" w:rsidR="00000000" w:rsidRDefault="00000000">
            <w:pPr>
              <w:keepNext/>
              <w:spacing w:before="60" w:after="60"/>
              <w:jc w:val="center"/>
              <w:rPr>
                <w:rFonts w:cs="Arial"/>
                <w:b/>
                <w:sz w:val="20"/>
                <w:szCs w:val="20"/>
              </w:rPr>
            </w:pPr>
            <w:r>
              <w:rPr>
                <w:rFonts w:cs="Arial"/>
                <w:b/>
                <w:sz w:val="20"/>
                <w:szCs w:val="20"/>
              </w:rPr>
              <w:t>Continuous Improvement</w:t>
            </w:r>
          </w:p>
          <w:p w14:paraId="7BBE1F1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7BB9B55" w14:textId="77777777" w:rsidR="00000000" w:rsidRDefault="00000000">
            <w:pPr>
              <w:keepNext/>
              <w:spacing w:before="60" w:after="60"/>
              <w:jc w:val="center"/>
              <w:rPr>
                <w:rFonts w:cs="Arial"/>
                <w:b/>
                <w:sz w:val="20"/>
                <w:szCs w:val="20"/>
              </w:rPr>
            </w:pPr>
            <w:r>
              <w:rPr>
                <w:rFonts w:cs="Arial"/>
                <w:b/>
                <w:sz w:val="20"/>
                <w:szCs w:val="20"/>
              </w:rPr>
              <w:t>Fully Attained</w:t>
            </w:r>
          </w:p>
          <w:p w14:paraId="0342EDF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9AFC74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7D425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B66058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3EDE4C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86F7C7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807B67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AEF615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C75772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6A0B3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C3DC95F" w14:textId="77777777" w:rsidR="00000000" w:rsidRDefault="00000000">
            <w:pPr>
              <w:keepNext/>
              <w:spacing w:before="60" w:after="60"/>
              <w:jc w:val="center"/>
              <w:rPr>
                <w:rFonts w:cs="Arial"/>
                <w:b/>
                <w:sz w:val="20"/>
                <w:szCs w:val="20"/>
              </w:rPr>
            </w:pPr>
            <w:r>
              <w:rPr>
                <w:rFonts w:cs="Arial"/>
                <w:b/>
                <w:sz w:val="20"/>
                <w:szCs w:val="20"/>
              </w:rPr>
              <w:t>(PA Critical)</w:t>
            </w:r>
          </w:p>
        </w:tc>
      </w:tr>
      <w:tr w:rsidR="009A16E0" w14:paraId="78644845" w14:textId="77777777">
        <w:tc>
          <w:tcPr>
            <w:tcW w:w="1384" w:type="dxa"/>
            <w:vAlign w:val="center"/>
          </w:tcPr>
          <w:p w14:paraId="1DC6334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AA30C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1DA05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69D6BA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0386A3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F4EC94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C8D26E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E19371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A16E0" w14:paraId="6805BF83" w14:textId="77777777">
        <w:tc>
          <w:tcPr>
            <w:tcW w:w="1384" w:type="dxa"/>
            <w:vAlign w:val="center"/>
          </w:tcPr>
          <w:p w14:paraId="3A357F1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15A8C1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9BC772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E33696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609A9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616A55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DD0B27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5B9F9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91011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A16E0" w14:paraId="430404B5" w14:textId="77777777">
        <w:tc>
          <w:tcPr>
            <w:tcW w:w="1384" w:type="dxa"/>
            <w:vAlign w:val="center"/>
          </w:tcPr>
          <w:p w14:paraId="38E4D7C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E35EA9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57691A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0BDAC5A" w14:textId="77777777" w:rsidR="00000000" w:rsidRDefault="00000000">
            <w:pPr>
              <w:keepNext/>
              <w:spacing w:before="60" w:after="60"/>
              <w:jc w:val="center"/>
              <w:rPr>
                <w:rFonts w:cs="Arial"/>
                <w:b/>
                <w:sz w:val="20"/>
                <w:szCs w:val="20"/>
              </w:rPr>
            </w:pPr>
            <w:r>
              <w:rPr>
                <w:rFonts w:cs="Arial"/>
                <w:b/>
                <w:sz w:val="20"/>
                <w:szCs w:val="20"/>
              </w:rPr>
              <w:t>Unattained Low Risk</w:t>
            </w:r>
          </w:p>
          <w:p w14:paraId="2789AA8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5FA880" w14:textId="77777777" w:rsidR="00000000" w:rsidRDefault="00000000">
            <w:pPr>
              <w:keepNext/>
              <w:spacing w:before="60" w:after="60"/>
              <w:jc w:val="center"/>
              <w:rPr>
                <w:rFonts w:cs="Arial"/>
                <w:b/>
                <w:sz w:val="20"/>
                <w:szCs w:val="20"/>
              </w:rPr>
            </w:pPr>
            <w:r>
              <w:rPr>
                <w:rFonts w:cs="Arial"/>
                <w:b/>
                <w:sz w:val="20"/>
                <w:szCs w:val="20"/>
              </w:rPr>
              <w:t>Unattained Moderate Risk</w:t>
            </w:r>
          </w:p>
          <w:p w14:paraId="5BD01DD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A1513FF" w14:textId="77777777" w:rsidR="00000000" w:rsidRDefault="00000000">
            <w:pPr>
              <w:keepNext/>
              <w:spacing w:before="60" w:after="60"/>
              <w:jc w:val="center"/>
              <w:rPr>
                <w:rFonts w:cs="Arial"/>
                <w:b/>
                <w:sz w:val="20"/>
                <w:szCs w:val="20"/>
              </w:rPr>
            </w:pPr>
            <w:r>
              <w:rPr>
                <w:rFonts w:cs="Arial"/>
                <w:b/>
                <w:sz w:val="20"/>
                <w:szCs w:val="20"/>
              </w:rPr>
              <w:t>Unattained High Risk</w:t>
            </w:r>
          </w:p>
          <w:p w14:paraId="75AD108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B5EE9CD" w14:textId="77777777" w:rsidR="00000000" w:rsidRDefault="00000000">
            <w:pPr>
              <w:keepNext/>
              <w:spacing w:before="60" w:after="60"/>
              <w:jc w:val="center"/>
              <w:rPr>
                <w:rFonts w:cs="Arial"/>
                <w:b/>
                <w:sz w:val="20"/>
                <w:szCs w:val="20"/>
              </w:rPr>
            </w:pPr>
            <w:r>
              <w:rPr>
                <w:rFonts w:cs="Arial"/>
                <w:b/>
                <w:sz w:val="20"/>
                <w:szCs w:val="20"/>
              </w:rPr>
              <w:t>Unattained Critical Risk</w:t>
            </w:r>
          </w:p>
          <w:p w14:paraId="533C1525" w14:textId="77777777" w:rsidR="00000000" w:rsidRDefault="00000000">
            <w:pPr>
              <w:keepNext/>
              <w:spacing w:before="60" w:after="60"/>
              <w:jc w:val="center"/>
              <w:rPr>
                <w:rFonts w:cs="Arial"/>
                <w:b/>
                <w:sz w:val="20"/>
                <w:szCs w:val="20"/>
              </w:rPr>
            </w:pPr>
            <w:r>
              <w:rPr>
                <w:rFonts w:cs="Arial"/>
                <w:b/>
                <w:sz w:val="20"/>
                <w:szCs w:val="20"/>
              </w:rPr>
              <w:t>(UA Critical)</w:t>
            </w:r>
          </w:p>
        </w:tc>
      </w:tr>
      <w:tr w:rsidR="009A16E0" w14:paraId="1E380A35" w14:textId="77777777">
        <w:tc>
          <w:tcPr>
            <w:tcW w:w="1384" w:type="dxa"/>
            <w:vAlign w:val="center"/>
          </w:tcPr>
          <w:p w14:paraId="0C356C8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91F3B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3F06C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6F2BCC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42087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4CCBE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A16E0" w14:paraId="3B3E8C69" w14:textId="77777777">
        <w:tc>
          <w:tcPr>
            <w:tcW w:w="1384" w:type="dxa"/>
            <w:vAlign w:val="center"/>
          </w:tcPr>
          <w:p w14:paraId="66EC554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38FEC8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371637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027C9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727FF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A377F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99D62C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E31C7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4C81FE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C7DBC5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8"/>
        <w:gridCol w:w="1363"/>
        <w:gridCol w:w="6283"/>
      </w:tblGrid>
      <w:tr w:rsidR="009A16E0" w14:paraId="6E992BAF" w14:textId="77777777">
        <w:tc>
          <w:tcPr>
            <w:tcW w:w="0" w:type="auto"/>
          </w:tcPr>
          <w:p w14:paraId="4EAFF9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047D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478A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A16E0" w14:paraId="177D09B7" w14:textId="77777777">
        <w:tc>
          <w:tcPr>
            <w:tcW w:w="0" w:type="auto"/>
          </w:tcPr>
          <w:p w14:paraId="052DDA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B35783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D51AAF3" w14:textId="77777777" w:rsidR="00000000" w:rsidRPr="00BE00C7" w:rsidRDefault="00000000" w:rsidP="00BE00C7">
            <w:pPr>
              <w:pStyle w:val="OutcomeDescription"/>
              <w:spacing w:before="120" w:after="120"/>
              <w:rPr>
                <w:rFonts w:cs="Arial"/>
                <w:lang w:eastAsia="en-NZ"/>
              </w:rPr>
            </w:pPr>
          </w:p>
        </w:tc>
        <w:tc>
          <w:tcPr>
            <w:tcW w:w="0" w:type="auto"/>
          </w:tcPr>
          <w:p w14:paraId="211805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92BF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Edenvale Home and Hospital has developed policies, procedures and processes to embed and enact Te Tiriti o Waitangi in all aspects of its work.  Mana motuhake is respected.  Partnerships have been established with a Māori organisation to support service integration, planning, equity approaches, and support for Māori. A Māori health plan has been developed with input from cultural advisers through a quality consultant and is used for residents who identify as Māori.  </w:t>
            </w:r>
          </w:p>
          <w:p w14:paraId="65D75D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and/or staff at the time of the audit who identified as Māori. Staff had completed training in cultural safety, as recorded in the education records reviewed. </w:t>
            </w:r>
          </w:p>
          <w:p w14:paraId="122BA829"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were encouraged and supported by the board.  Staff ethnicity data is documented on recruitment and trended.</w:t>
            </w:r>
          </w:p>
          <w:p w14:paraId="2FDEF580" w14:textId="77777777" w:rsidR="00000000" w:rsidRPr="00BE00C7" w:rsidRDefault="00000000" w:rsidP="00BE00C7">
            <w:pPr>
              <w:pStyle w:val="OutcomeDescription"/>
              <w:spacing w:before="120" w:after="120"/>
              <w:rPr>
                <w:rFonts w:cs="Arial"/>
                <w:lang w:eastAsia="en-NZ"/>
              </w:rPr>
            </w:pPr>
          </w:p>
        </w:tc>
      </w:tr>
      <w:tr w:rsidR="009A16E0" w14:paraId="5DFF8A88" w14:textId="77777777">
        <w:tc>
          <w:tcPr>
            <w:tcW w:w="0" w:type="auto"/>
          </w:tcPr>
          <w:p w14:paraId="32EA7F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2F2E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21CF350" w14:textId="77777777" w:rsidR="00000000" w:rsidRPr="00BE00C7" w:rsidRDefault="00000000" w:rsidP="00BE00C7">
            <w:pPr>
              <w:pStyle w:val="OutcomeDescription"/>
              <w:spacing w:before="120" w:after="120"/>
              <w:rPr>
                <w:rFonts w:cs="Arial"/>
                <w:lang w:eastAsia="en-NZ"/>
              </w:rPr>
            </w:pPr>
          </w:p>
        </w:tc>
        <w:tc>
          <w:tcPr>
            <w:tcW w:w="0" w:type="auto"/>
          </w:tcPr>
          <w:p w14:paraId="3BAF24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1ACD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Edenvale Home and Hospital has identified and works in partnership with Pacific communities and organisations to provide a Pacific plan that supports culturally safe practices for Pacific peoples using the service, and on achieving equity. Partnerships enable ongoing </w:t>
            </w:r>
            <w:r w:rsidRPr="00BE00C7">
              <w:rPr>
                <w:rFonts w:cs="Arial"/>
                <w:lang w:eastAsia="en-NZ"/>
              </w:rPr>
              <w:lastRenderedPageBreak/>
              <w:t>planning and evaluation of services and outcomes.</w:t>
            </w:r>
          </w:p>
          <w:p w14:paraId="243A6284" w14:textId="77777777" w:rsidR="00000000" w:rsidRPr="00BE00C7" w:rsidRDefault="00000000" w:rsidP="00BE00C7">
            <w:pPr>
              <w:pStyle w:val="OutcomeDescription"/>
              <w:spacing w:before="120" w:after="120"/>
              <w:rPr>
                <w:rFonts w:cs="Arial"/>
                <w:lang w:eastAsia="en-NZ"/>
              </w:rPr>
            </w:pPr>
            <w:r w:rsidRPr="00BE00C7">
              <w:rPr>
                <w:rFonts w:cs="Arial"/>
                <w:lang w:eastAsia="en-NZ"/>
              </w:rPr>
              <w:t>Pacific residents interviewed felt their worldview, and cultural and spiritual beliefs, were embraced. There is a Pacific Health Care Plan reviewed in July 2025 that has been fully implemented for Pacific people. This is an accessory document and is used in addition to the long-term care plan, to ensure staff provide high-quality resident care while respecting the beliefs and cultural practices of Pacific communities.  The ‘Fonofale’ model of care has been adopted by the organisation. Aiga (family) are welcomed to the facility. Training has been provided to all staff and records are maintained.</w:t>
            </w:r>
          </w:p>
          <w:p w14:paraId="6EE22B2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resulting in Pacific staff being employed across roles.</w:t>
            </w:r>
          </w:p>
          <w:p w14:paraId="759E8920" w14:textId="77777777" w:rsidR="00000000" w:rsidRPr="00BE00C7" w:rsidRDefault="00000000" w:rsidP="00BE00C7">
            <w:pPr>
              <w:pStyle w:val="OutcomeDescription"/>
              <w:spacing w:before="120" w:after="120"/>
              <w:rPr>
                <w:rFonts w:cs="Arial"/>
                <w:lang w:eastAsia="en-NZ"/>
              </w:rPr>
            </w:pPr>
          </w:p>
        </w:tc>
      </w:tr>
      <w:tr w:rsidR="009A16E0" w14:paraId="358C0A42" w14:textId="77777777">
        <w:tc>
          <w:tcPr>
            <w:tcW w:w="0" w:type="auto"/>
          </w:tcPr>
          <w:p w14:paraId="2F7271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47DE8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48C898" w14:textId="77777777" w:rsidR="00000000" w:rsidRPr="00BE00C7" w:rsidRDefault="00000000" w:rsidP="00BE00C7">
            <w:pPr>
              <w:pStyle w:val="OutcomeDescription"/>
              <w:spacing w:before="120" w:after="120"/>
              <w:rPr>
                <w:rFonts w:cs="Arial"/>
                <w:lang w:eastAsia="en-NZ"/>
              </w:rPr>
            </w:pPr>
          </w:p>
        </w:tc>
        <w:tc>
          <w:tcPr>
            <w:tcW w:w="0" w:type="auto"/>
          </w:tcPr>
          <w:p w14:paraId="6C447C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7B9C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on notice boards in the facility.</w:t>
            </w:r>
          </w:p>
          <w:p w14:paraId="132FA2F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Independent advocacy support can be accessed when required.</w:t>
            </w:r>
          </w:p>
          <w:p w14:paraId="258B5D4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principles of Māori mana motuhake, and they stated that these are observed in practice. There were no residents who identified as Māori at the time of the audit. Care plans were developed in consultation with residents, whānau and enduring powers of attorney (EPOAs) for residents in the dementia unit, to ensure individual wishes and support needs are identified.</w:t>
            </w:r>
          </w:p>
          <w:p w14:paraId="6E86698C" w14:textId="77777777" w:rsidR="00000000" w:rsidRPr="00BE00C7" w:rsidRDefault="00000000" w:rsidP="00BE00C7">
            <w:pPr>
              <w:pStyle w:val="OutcomeDescription"/>
              <w:spacing w:before="120" w:after="120"/>
              <w:rPr>
                <w:rFonts w:cs="Arial"/>
                <w:lang w:eastAsia="en-NZ"/>
              </w:rPr>
            </w:pPr>
          </w:p>
        </w:tc>
      </w:tr>
      <w:tr w:rsidR="009A16E0" w14:paraId="3FAD749D" w14:textId="77777777">
        <w:tc>
          <w:tcPr>
            <w:tcW w:w="0" w:type="auto"/>
          </w:tcPr>
          <w:p w14:paraId="58725D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66B2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6730E8" w14:textId="77777777" w:rsidR="00000000" w:rsidRPr="00BE00C7" w:rsidRDefault="00000000" w:rsidP="00BE00C7">
            <w:pPr>
              <w:pStyle w:val="OutcomeDescription"/>
              <w:spacing w:before="120" w:after="120"/>
              <w:rPr>
                <w:rFonts w:cs="Arial"/>
                <w:lang w:eastAsia="en-NZ"/>
              </w:rPr>
            </w:pPr>
          </w:p>
        </w:tc>
        <w:tc>
          <w:tcPr>
            <w:tcW w:w="0" w:type="auto"/>
          </w:tcPr>
          <w:p w14:paraId="39CC1B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435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w:t>
            </w:r>
            <w:r w:rsidRPr="00BE00C7">
              <w:rPr>
                <w:rFonts w:cs="Arial"/>
                <w:lang w:eastAsia="en-NZ"/>
              </w:rPr>
              <w:lastRenderedPageBreak/>
              <w:t xml:space="preserve">services in a manner that had regard for their dignity, gender, privacy, sexual orientation, spirituality and choices. </w:t>
            </w:r>
          </w:p>
          <w:p w14:paraId="4048BC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41822E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There is signage in te reo Māori in various locations throughout the facility. Staff have undertaken training in Te Tiriti o Waitangi and understood the principles and how to apply these in their daily work. </w:t>
            </w:r>
          </w:p>
          <w:p w14:paraId="3A2F37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when required.</w:t>
            </w:r>
          </w:p>
          <w:p w14:paraId="406A0E25" w14:textId="77777777" w:rsidR="00000000" w:rsidRPr="00BE00C7" w:rsidRDefault="00000000" w:rsidP="00BE00C7">
            <w:pPr>
              <w:pStyle w:val="OutcomeDescription"/>
              <w:spacing w:before="120" w:after="120"/>
              <w:rPr>
                <w:rFonts w:cs="Arial"/>
                <w:lang w:eastAsia="en-NZ"/>
              </w:rPr>
            </w:pPr>
          </w:p>
        </w:tc>
      </w:tr>
      <w:tr w:rsidR="009A16E0" w14:paraId="68BB4ACB" w14:textId="77777777">
        <w:tc>
          <w:tcPr>
            <w:tcW w:w="0" w:type="auto"/>
          </w:tcPr>
          <w:p w14:paraId="7C5F76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54BB0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B101F5" w14:textId="77777777" w:rsidR="00000000" w:rsidRPr="00BE00C7" w:rsidRDefault="00000000" w:rsidP="00BE00C7">
            <w:pPr>
              <w:pStyle w:val="OutcomeDescription"/>
              <w:spacing w:before="120" w:after="120"/>
              <w:rPr>
                <w:rFonts w:cs="Arial"/>
                <w:lang w:eastAsia="en-NZ"/>
              </w:rPr>
            </w:pPr>
          </w:p>
        </w:tc>
        <w:tc>
          <w:tcPr>
            <w:tcW w:w="0" w:type="auto"/>
          </w:tcPr>
          <w:p w14:paraId="68A50C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E59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68690E4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There is a ‘comfort account’ managed by the administrator that residents can use for safe keeping of their money.</w:t>
            </w:r>
          </w:p>
          <w:p w14:paraId="21561E40"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Systems in place to protect residents from abuse, revictimization, and systemic and institutional racism include the complaints management process and meetings with residents and whānau. A strengths-based and holistic model of care was evident, and included use of Te Whare Tapa Whā model and the Pacific peoples’ health care plan.</w:t>
            </w:r>
          </w:p>
          <w:p w14:paraId="7FD35044" w14:textId="77777777" w:rsidR="00000000" w:rsidRPr="00BE00C7" w:rsidRDefault="00000000" w:rsidP="00BE00C7">
            <w:pPr>
              <w:pStyle w:val="OutcomeDescription"/>
              <w:spacing w:before="120" w:after="120"/>
              <w:rPr>
                <w:rFonts w:cs="Arial"/>
                <w:lang w:eastAsia="en-NZ"/>
              </w:rPr>
            </w:pPr>
          </w:p>
        </w:tc>
      </w:tr>
      <w:tr w:rsidR="009A16E0" w14:paraId="2BEA9AD2" w14:textId="77777777">
        <w:tc>
          <w:tcPr>
            <w:tcW w:w="0" w:type="auto"/>
          </w:tcPr>
          <w:p w14:paraId="743144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12F4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w:t>
            </w:r>
            <w:r w:rsidRPr="00BE00C7">
              <w:rPr>
                <w:rFonts w:cs="Arial"/>
                <w:lang w:eastAsia="en-NZ"/>
              </w:rPr>
              <w:lastRenderedPageBreak/>
              <w:t>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D6284F0" w14:textId="77777777" w:rsidR="00000000" w:rsidRPr="00BE00C7" w:rsidRDefault="00000000" w:rsidP="00BE00C7">
            <w:pPr>
              <w:pStyle w:val="OutcomeDescription"/>
              <w:spacing w:before="120" w:after="120"/>
              <w:rPr>
                <w:rFonts w:cs="Arial"/>
                <w:lang w:eastAsia="en-NZ"/>
              </w:rPr>
            </w:pPr>
          </w:p>
        </w:tc>
        <w:tc>
          <w:tcPr>
            <w:tcW w:w="0" w:type="auto"/>
          </w:tcPr>
          <w:p w14:paraId="3792C0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F996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t>
            </w:r>
            <w:r w:rsidRPr="00BE00C7">
              <w:rPr>
                <w:rFonts w:cs="Arial"/>
                <w:lang w:eastAsia="en-NZ"/>
              </w:rPr>
              <w:lastRenderedPageBreak/>
              <w:t xml:space="preserve">were communicated to relatives/whānau in a timely manner.  Where other agencies were involved in care, communication had occurred. </w:t>
            </w:r>
          </w:p>
          <w:p w14:paraId="6912D69A"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complaints. Residents, whānau and EPOAs stated that staff were approachable and responsive to requests in a sensitive manner. A record of phone or email contact with whānau and EPOAs was maintained. Communication strategies to support non-verbal and non-English speaking residents were documented and observed to be effectively implemented by staff during the audit.</w:t>
            </w:r>
          </w:p>
          <w:p w14:paraId="12BFB1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EFD0661" w14:textId="77777777" w:rsidR="00000000" w:rsidRPr="00BE00C7" w:rsidRDefault="00000000" w:rsidP="00BE00C7">
            <w:pPr>
              <w:pStyle w:val="OutcomeDescription"/>
              <w:spacing w:before="120" w:after="120"/>
              <w:rPr>
                <w:rFonts w:cs="Arial"/>
                <w:lang w:eastAsia="en-NZ"/>
              </w:rPr>
            </w:pPr>
          </w:p>
        </w:tc>
      </w:tr>
      <w:tr w:rsidR="009A16E0" w14:paraId="1A44E13F" w14:textId="77777777">
        <w:tc>
          <w:tcPr>
            <w:tcW w:w="0" w:type="auto"/>
          </w:tcPr>
          <w:p w14:paraId="62422D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C9FF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3566B5A" w14:textId="77777777" w:rsidR="00000000" w:rsidRPr="00BE00C7" w:rsidRDefault="00000000" w:rsidP="00BE00C7">
            <w:pPr>
              <w:pStyle w:val="OutcomeDescription"/>
              <w:spacing w:before="120" w:after="120"/>
              <w:rPr>
                <w:rFonts w:cs="Arial"/>
                <w:lang w:eastAsia="en-NZ"/>
              </w:rPr>
            </w:pPr>
          </w:p>
        </w:tc>
        <w:tc>
          <w:tcPr>
            <w:tcW w:w="0" w:type="auto"/>
          </w:tcPr>
          <w:p w14:paraId="456129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94EE5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Signed admission agreements and informed consent forms were available in residents’ files.</w:t>
            </w:r>
          </w:p>
          <w:p w14:paraId="5B890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32E9100D"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All residents in the dementia unit had an enacted EPOA.</w:t>
            </w:r>
          </w:p>
          <w:p w14:paraId="321993B9" w14:textId="77777777" w:rsidR="00000000" w:rsidRPr="00BE00C7" w:rsidRDefault="00000000" w:rsidP="00BE00C7">
            <w:pPr>
              <w:pStyle w:val="OutcomeDescription"/>
              <w:spacing w:before="120" w:after="120"/>
              <w:rPr>
                <w:rFonts w:cs="Arial"/>
                <w:lang w:eastAsia="en-NZ"/>
              </w:rPr>
            </w:pPr>
          </w:p>
        </w:tc>
      </w:tr>
      <w:tr w:rsidR="009A16E0" w14:paraId="780328B9" w14:textId="77777777">
        <w:tc>
          <w:tcPr>
            <w:tcW w:w="0" w:type="auto"/>
          </w:tcPr>
          <w:p w14:paraId="5F81FA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880D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2117CAB9" w14:textId="77777777" w:rsidR="00000000" w:rsidRPr="00BE00C7" w:rsidRDefault="00000000" w:rsidP="00BE00C7">
            <w:pPr>
              <w:pStyle w:val="OutcomeDescription"/>
              <w:spacing w:before="120" w:after="120"/>
              <w:rPr>
                <w:rFonts w:cs="Arial"/>
                <w:lang w:eastAsia="en-NZ"/>
              </w:rPr>
            </w:pPr>
          </w:p>
        </w:tc>
        <w:tc>
          <w:tcPr>
            <w:tcW w:w="0" w:type="auto"/>
          </w:tcPr>
          <w:p w14:paraId="28C8CF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C7C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C20C0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The </w:t>
            </w:r>
            <w:r w:rsidRPr="00BE00C7">
              <w:rPr>
                <w:rFonts w:cs="Arial"/>
                <w:lang w:eastAsia="en-NZ"/>
              </w:rPr>
              <w:lastRenderedPageBreak/>
              <w:t xml:space="preserve">complaints register was reviewed, and there have been two minor complaints and one staff compliment received since the previous audit. Compliments are feedback at the staff meetings. </w:t>
            </w:r>
          </w:p>
          <w:p w14:paraId="2F7DCE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displaying the Code in all areas of the facility. The complaints procedure is also available in te reo Māori.  </w:t>
            </w:r>
          </w:p>
          <w:p w14:paraId="08750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0C962B2E" w14:textId="77777777" w:rsidR="00000000" w:rsidRPr="00BE00C7" w:rsidRDefault="00000000" w:rsidP="00BE00C7">
            <w:pPr>
              <w:pStyle w:val="OutcomeDescription"/>
              <w:spacing w:before="120" w:after="120"/>
              <w:rPr>
                <w:rFonts w:cs="Arial"/>
                <w:lang w:eastAsia="en-NZ"/>
              </w:rPr>
            </w:pPr>
          </w:p>
        </w:tc>
      </w:tr>
      <w:tr w:rsidR="009A16E0" w14:paraId="18B5526D" w14:textId="77777777">
        <w:tc>
          <w:tcPr>
            <w:tcW w:w="0" w:type="auto"/>
          </w:tcPr>
          <w:p w14:paraId="2C3E37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9D37C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1653846" w14:textId="77777777" w:rsidR="00000000" w:rsidRPr="00BE00C7" w:rsidRDefault="00000000" w:rsidP="00BE00C7">
            <w:pPr>
              <w:pStyle w:val="OutcomeDescription"/>
              <w:spacing w:before="120" w:after="120"/>
              <w:rPr>
                <w:rFonts w:cs="Arial"/>
                <w:lang w:eastAsia="en-NZ"/>
              </w:rPr>
            </w:pPr>
          </w:p>
        </w:tc>
        <w:tc>
          <w:tcPr>
            <w:tcW w:w="0" w:type="auto"/>
          </w:tcPr>
          <w:p w14:paraId="532CB8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B12B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governance group demonstrated expertise in Te Tiriti, health equity and cultural safety. </w:t>
            </w:r>
          </w:p>
          <w:p w14:paraId="28E945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the clinical governance, is appropriate to the size and complexity of the organisation, and there is an experienced and suitably qualified person managing the service.</w:t>
            </w:r>
          </w:p>
          <w:p w14:paraId="1816D3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is well qualified for the role and has been in the position for three years. The GM is supported by the clinical manager (CM). In the absence of the GM for planned and unplanned leave, the CM can cover the GM. A senior experienced registered nurse can cover the CM if needed.</w:t>
            </w:r>
          </w:p>
          <w:p w14:paraId="3EAE8A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the business plan dated 2025–2026 and monitoring documentation reviewed. A commitment to the quality and risk management system was evident.  Members of the governance group interviewed felt well informed on all progress and risks. The board member interviewed also has a chaplaincy role. The general manager (GM) reports to the board every two months, and this was confirmed in a sample of reports to the board. A weekly update is sent every Friday to the chairperson of the board. </w:t>
            </w:r>
          </w:p>
          <w:p w14:paraId="490CF7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Compliance with legislative, contractual and regulatory requirements is overseen by the leadership team and governance group, with external advice sought as required.  </w:t>
            </w:r>
          </w:p>
          <w:p w14:paraId="117D2C74"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feedback mechanisms such as resident/family satisfaction surveys.</w:t>
            </w:r>
          </w:p>
          <w:p w14:paraId="0A1F0A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rest home, hospital, long-term support – chronic health care (LTS-CHC) and for dementia care. Thirty-nine (39) residents were receiving services under the contracts at the time of audit. There were six residents receiving rest home-level care, twenty-two (22) hospital-level care, ten (10) dementia-level care, and one resident was under the LTS-CHC contract.</w:t>
            </w:r>
          </w:p>
          <w:p w14:paraId="63DFB87C" w14:textId="77777777" w:rsidR="00000000" w:rsidRPr="00BE00C7" w:rsidRDefault="00000000" w:rsidP="00BE00C7">
            <w:pPr>
              <w:pStyle w:val="OutcomeDescription"/>
              <w:spacing w:before="120" w:after="120"/>
              <w:rPr>
                <w:rFonts w:cs="Arial"/>
                <w:lang w:eastAsia="en-NZ"/>
              </w:rPr>
            </w:pPr>
          </w:p>
        </w:tc>
      </w:tr>
      <w:tr w:rsidR="009A16E0" w14:paraId="73B8DE14" w14:textId="77777777">
        <w:tc>
          <w:tcPr>
            <w:tcW w:w="0" w:type="auto"/>
          </w:tcPr>
          <w:p w14:paraId="7F27F0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A377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E1A3555" w14:textId="77777777" w:rsidR="00000000" w:rsidRPr="00BE00C7" w:rsidRDefault="00000000" w:rsidP="00BE00C7">
            <w:pPr>
              <w:pStyle w:val="OutcomeDescription"/>
              <w:spacing w:before="120" w:after="120"/>
              <w:rPr>
                <w:rFonts w:cs="Arial"/>
                <w:lang w:eastAsia="en-NZ"/>
              </w:rPr>
            </w:pPr>
          </w:p>
        </w:tc>
        <w:tc>
          <w:tcPr>
            <w:tcW w:w="0" w:type="auto"/>
          </w:tcPr>
          <w:p w14:paraId="4E7CF1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51F2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elimination.  Residents, whānau and staff contribute to quality improvement through annual surveys. The resident/family survey was completed in June 2025, with 20 of 41 residents/families who participated in the survey. The staff survey was also completed in June 2025, with 29 of 41 staff responding. Positive feedback was received.</w:t>
            </w:r>
          </w:p>
          <w:p w14:paraId="24DC0C2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when admitted to the facility, is supported through relevant training, tikanga policies, and access to cultural support roles internally and externally.  Management and staff have completed cultural competencies and additional training, as recorded in the training records reviewed.</w:t>
            </w:r>
          </w:p>
          <w:p w14:paraId="28CAB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Progress against quality outcomes is </w:t>
            </w:r>
            <w:r w:rsidRPr="00BE00C7">
              <w:rPr>
                <w:rFonts w:cs="Arial"/>
                <w:lang w:eastAsia="en-NZ"/>
              </w:rPr>
              <w:lastRenderedPageBreak/>
              <w:t>evaluated.</w:t>
            </w:r>
          </w:p>
          <w:p w14:paraId="04A801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3C4929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review and reporting of risks, including health and safety risks, and development of mitigation strategies.  The risk register was maintained and reviewed annually.</w:t>
            </w:r>
          </w:p>
          <w:p w14:paraId="5DCE9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59288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understood and have complied with essential notification reporting requirements.  Section 31 notifications were completed for the shortage of registered nurses in 2023–2024, change of the clinical manager and four episodes where residents had absconded from the facility to the community. One severity assessment code (SAC) 2 June 2024 was reported to the Health and Quality Commissioner Office and to HealthCERT, as a resident sustained a hip fracture after a fall.</w:t>
            </w:r>
          </w:p>
          <w:p w14:paraId="039484D7" w14:textId="77777777" w:rsidR="00000000" w:rsidRPr="00BE00C7" w:rsidRDefault="00000000" w:rsidP="00BE00C7">
            <w:pPr>
              <w:pStyle w:val="OutcomeDescription"/>
              <w:spacing w:before="120" w:after="120"/>
              <w:rPr>
                <w:rFonts w:cs="Arial"/>
                <w:lang w:eastAsia="en-NZ"/>
              </w:rPr>
            </w:pPr>
          </w:p>
        </w:tc>
      </w:tr>
      <w:tr w:rsidR="009A16E0" w14:paraId="4B0020ED" w14:textId="77777777">
        <w:tc>
          <w:tcPr>
            <w:tcW w:w="0" w:type="auto"/>
          </w:tcPr>
          <w:p w14:paraId="162CAB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AB7D4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547D33" w14:textId="77777777" w:rsidR="00000000" w:rsidRPr="00BE00C7" w:rsidRDefault="00000000" w:rsidP="00BE00C7">
            <w:pPr>
              <w:pStyle w:val="OutcomeDescription"/>
              <w:spacing w:before="120" w:after="120"/>
              <w:rPr>
                <w:rFonts w:cs="Arial"/>
                <w:lang w:eastAsia="en-NZ"/>
              </w:rPr>
            </w:pPr>
          </w:p>
        </w:tc>
        <w:tc>
          <w:tcPr>
            <w:tcW w:w="0" w:type="auto"/>
          </w:tcPr>
          <w:p w14:paraId="0953CA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95C4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Residents and whānau interviewed supported this. At least one staff member on duty has a current first aid certificate, and there is 24/7 RN coverage for the hospital-level care residents.</w:t>
            </w:r>
          </w:p>
          <w:p w14:paraId="029599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402C83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06AC85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Health New Zealand – Te Whatu Ora.  Staff working in the dementia care area have either completed or are enrolled in the required education. There is a total of 26 health care assistants (HCAs), two of whom work on the casual roster. Eighteen HCAs have completed Level 4 training, seven Level 3, and one HCA Level 2. Five HCAs are team leaders on their respective shifts and are respected by their colleagues.   </w:t>
            </w:r>
          </w:p>
          <w:p w14:paraId="2384D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3A9F0D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2E5F54C" w14:textId="77777777" w:rsidR="00000000" w:rsidRPr="00BE00C7" w:rsidRDefault="00000000" w:rsidP="00BE00C7">
            <w:pPr>
              <w:pStyle w:val="OutcomeDescription"/>
              <w:spacing w:before="120" w:after="120"/>
              <w:rPr>
                <w:rFonts w:cs="Arial"/>
                <w:lang w:eastAsia="en-NZ"/>
              </w:rPr>
            </w:pPr>
          </w:p>
        </w:tc>
      </w:tr>
      <w:tr w:rsidR="009A16E0" w14:paraId="28C9C1EC" w14:textId="77777777">
        <w:tc>
          <w:tcPr>
            <w:tcW w:w="0" w:type="auto"/>
          </w:tcPr>
          <w:p w14:paraId="5EFC06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8E9A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C05441" w14:textId="77777777" w:rsidR="00000000" w:rsidRPr="00BE00C7" w:rsidRDefault="00000000" w:rsidP="00BE00C7">
            <w:pPr>
              <w:pStyle w:val="OutcomeDescription"/>
              <w:spacing w:before="120" w:after="120"/>
              <w:rPr>
                <w:rFonts w:cs="Arial"/>
                <w:lang w:eastAsia="en-NZ"/>
              </w:rPr>
            </w:pPr>
          </w:p>
        </w:tc>
        <w:tc>
          <w:tcPr>
            <w:tcW w:w="0" w:type="auto"/>
          </w:tcPr>
          <w:p w14:paraId="4F6D14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D6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health professionals employed and contracted had their practicing certificates validated annually by the CM and a record was maintained. </w:t>
            </w:r>
          </w:p>
          <w:p w14:paraId="4C481A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053CE2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performance is reviewed and discussed at regular intervals.  </w:t>
            </w:r>
          </w:p>
          <w:p w14:paraId="0BC6D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6605C6E8"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 to ensure their wellbeing.</w:t>
            </w:r>
          </w:p>
          <w:p w14:paraId="06ACA886" w14:textId="77777777" w:rsidR="00000000" w:rsidRPr="00BE00C7" w:rsidRDefault="00000000" w:rsidP="00BE00C7">
            <w:pPr>
              <w:pStyle w:val="OutcomeDescription"/>
              <w:spacing w:before="120" w:after="120"/>
              <w:rPr>
                <w:rFonts w:cs="Arial"/>
                <w:lang w:eastAsia="en-NZ"/>
              </w:rPr>
            </w:pPr>
          </w:p>
        </w:tc>
      </w:tr>
      <w:tr w:rsidR="009A16E0" w14:paraId="46D6F5E1" w14:textId="77777777">
        <w:tc>
          <w:tcPr>
            <w:tcW w:w="0" w:type="auto"/>
          </w:tcPr>
          <w:p w14:paraId="5F2138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88BE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B1205DB" w14:textId="77777777" w:rsidR="00000000" w:rsidRPr="00BE00C7" w:rsidRDefault="00000000" w:rsidP="00BE00C7">
            <w:pPr>
              <w:pStyle w:val="OutcomeDescription"/>
              <w:spacing w:before="120" w:after="120"/>
              <w:rPr>
                <w:rFonts w:cs="Arial"/>
                <w:lang w:eastAsia="en-NZ"/>
              </w:rPr>
            </w:pPr>
          </w:p>
        </w:tc>
        <w:tc>
          <w:tcPr>
            <w:tcW w:w="0" w:type="auto"/>
          </w:tcPr>
          <w:p w14:paraId="0D777F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5961D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Paper-based and electronic information management systems are used. Staff have individual passwords to the electronic record, medication management system, and interRAI assessment tool. The visiting general practitioner (GP), nurse practitioner (NP), and allied health providers also document as required in the residents’ records. Policies and procedures guide staff in the management of information. Staff have their own logins. An external provider holds backup database systems.</w:t>
            </w:r>
          </w:p>
          <w:p w14:paraId="4C0A3ECE"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401841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numbers. All residents have an NHI number on admission.</w:t>
            </w:r>
          </w:p>
          <w:p w14:paraId="7D8DDFFD" w14:textId="77777777" w:rsidR="00000000" w:rsidRPr="00BE00C7" w:rsidRDefault="00000000" w:rsidP="00BE00C7">
            <w:pPr>
              <w:pStyle w:val="OutcomeDescription"/>
              <w:spacing w:before="120" w:after="120"/>
              <w:rPr>
                <w:rFonts w:cs="Arial"/>
                <w:lang w:eastAsia="en-NZ"/>
              </w:rPr>
            </w:pPr>
          </w:p>
        </w:tc>
      </w:tr>
      <w:tr w:rsidR="009A16E0" w14:paraId="3D0E5649" w14:textId="77777777">
        <w:tc>
          <w:tcPr>
            <w:tcW w:w="0" w:type="auto"/>
          </w:tcPr>
          <w:p w14:paraId="3FA394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17486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E662CE3" w14:textId="77777777" w:rsidR="00000000" w:rsidRPr="00BE00C7" w:rsidRDefault="00000000" w:rsidP="00BE00C7">
            <w:pPr>
              <w:pStyle w:val="OutcomeDescription"/>
              <w:spacing w:before="120" w:after="120"/>
              <w:rPr>
                <w:rFonts w:cs="Arial"/>
                <w:lang w:eastAsia="en-NZ"/>
              </w:rPr>
            </w:pPr>
          </w:p>
        </w:tc>
        <w:tc>
          <w:tcPr>
            <w:tcW w:w="0" w:type="auto"/>
          </w:tcPr>
          <w:p w14:paraId="60D4FC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E964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Edenvale Home and Hospital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w:t>
            </w:r>
            <w:r w:rsidRPr="00BE00C7">
              <w:rPr>
                <w:rFonts w:cs="Arial"/>
                <w:lang w:eastAsia="en-NZ"/>
              </w:rPr>
              <w:lastRenderedPageBreak/>
              <w:t>residents.  Whānau interviewed were satisfied with the admission process and the information that had been made available to them on admission. EPOAs for residents in the dementia unit gave consent for admission.</w:t>
            </w:r>
          </w:p>
          <w:p w14:paraId="45BF3E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annually, including decline rates for Māori. </w:t>
            </w:r>
          </w:p>
          <w:p w14:paraId="54C34E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to support Māori and their whānau when entering the service, as required.</w:t>
            </w:r>
          </w:p>
          <w:p w14:paraId="63B8A13C" w14:textId="77777777" w:rsidR="00000000" w:rsidRPr="00BE00C7" w:rsidRDefault="00000000" w:rsidP="00BE00C7">
            <w:pPr>
              <w:pStyle w:val="OutcomeDescription"/>
              <w:spacing w:before="120" w:after="120"/>
              <w:rPr>
                <w:rFonts w:cs="Arial"/>
                <w:lang w:eastAsia="en-NZ"/>
              </w:rPr>
            </w:pPr>
          </w:p>
        </w:tc>
      </w:tr>
      <w:tr w:rsidR="009A16E0" w14:paraId="64D20085" w14:textId="77777777">
        <w:tc>
          <w:tcPr>
            <w:tcW w:w="0" w:type="auto"/>
          </w:tcPr>
          <w:p w14:paraId="6A1100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93B71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87C1F3E" w14:textId="77777777" w:rsidR="00000000" w:rsidRPr="00BE00C7" w:rsidRDefault="00000000" w:rsidP="00BE00C7">
            <w:pPr>
              <w:pStyle w:val="OutcomeDescription"/>
              <w:spacing w:before="120" w:after="120"/>
              <w:rPr>
                <w:rFonts w:cs="Arial"/>
                <w:lang w:eastAsia="en-NZ"/>
              </w:rPr>
            </w:pPr>
          </w:p>
        </w:tc>
        <w:tc>
          <w:tcPr>
            <w:tcW w:w="0" w:type="auto"/>
          </w:tcPr>
          <w:p w14:paraId="7CC77E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BC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the registered nurses following a comprehensive assessment, including consideration of the resident’s lived experience, cultural needs, values and beliefs, and which considers wider service integration, where required.  </w:t>
            </w:r>
          </w:p>
          <w:p w14:paraId="37753F90"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GP/NP assessment, initial care plan, long-term care plan and review timeframes meet contractual and policy requirements. This was verified by sampling residents’ records, and from interviews of clinical staff, people receiving services, and whānau. Staff understood how to support Māori and whānau to identify their own pae ora outcomes in their care plan when required.</w:t>
            </w:r>
          </w:p>
          <w:p w14:paraId="281448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Early warning signs and risks, with a focus on prevention or escalation for appropriate interventions, are recorded. Behaviour management plans were completed, with identified triggers and strategies to manage the identified behaviours documented. Behaviour monitoring charts were completed for identified behaviours of concern. Whānau goals and aspirations identified were documented in the care plan where applicable. </w:t>
            </w:r>
          </w:p>
          <w:p w14:paraId="2D1E46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w:t>
            </w:r>
            <w:r w:rsidRPr="00BE00C7">
              <w:rPr>
                <w:rFonts w:cs="Arial"/>
                <w:lang w:eastAsia="en-NZ"/>
              </w:rPr>
              <w:lastRenderedPageBreak/>
              <w:t>documented with evidence of systematic monitoring and regular evaluation of responses to planned care, including the use of a range of outcome measures.  Where progress is different to that expected, changes are made to the care plan in collaboration with the resident and/or whānau. A contracted physiotherapist supports residents and visits the service weekly. Residents and whānau confirmed active involvement in the process. The GP and the physiotherapist expressed satisfaction with care provided to residents.</w:t>
            </w:r>
          </w:p>
          <w:p w14:paraId="7D830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service planning processes.  Examples of choices and control over service delivery were discussed with staff, tāngata whaikaha and whānau.  Tāngata whaikaha and whānau can independently access information. </w:t>
            </w:r>
          </w:p>
          <w:p w14:paraId="260C60D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w:t>
            </w:r>
          </w:p>
          <w:p w14:paraId="19F8473F" w14:textId="4DC1E53C" w:rsidR="00000000" w:rsidRPr="00BE00C7" w:rsidRDefault="00000000" w:rsidP="004922AB">
            <w:pPr>
              <w:pStyle w:val="OutcomeDescription"/>
              <w:spacing w:before="120" w:after="120"/>
              <w:rPr>
                <w:rFonts w:cs="Arial"/>
                <w:lang w:eastAsia="en-NZ"/>
              </w:rPr>
            </w:pPr>
          </w:p>
        </w:tc>
      </w:tr>
      <w:tr w:rsidR="009A16E0" w14:paraId="2EB2FDCB" w14:textId="77777777">
        <w:tc>
          <w:tcPr>
            <w:tcW w:w="0" w:type="auto"/>
          </w:tcPr>
          <w:p w14:paraId="676AD6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8C0DE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A324ED9" w14:textId="77777777" w:rsidR="00000000" w:rsidRPr="00BE00C7" w:rsidRDefault="00000000" w:rsidP="00BE00C7">
            <w:pPr>
              <w:pStyle w:val="OutcomeDescription"/>
              <w:spacing w:before="120" w:after="120"/>
              <w:rPr>
                <w:rFonts w:cs="Arial"/>
                <w:lang w:eastAsia="en-NZ"/>
              </w:rPr>
            </w:pPr>
          </w:p>
        </w:tc>
        <w:tc>
          <w:tcPr>
            <w:tcW w:w="0" w:type="auto"/>
          </w:tcPr>
          <w:p w14:paraId="2707CC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2EB3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led by two registered diversional therapists (DTs). Monthly and weekly activities calendars were posted on notice boards around the facility. Activities on the programme reflected residents’ goals, ordinary patterns of life, strength, skills, and interests, and included normal community activities.</w:t>
            </w:r>
          </w:p>
          <w:p w14:paraId="27AFDB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supported to access community events and activities where possible. Individual and group activities and regular events are offered. There is a wide variety of activities offered. Community initiatives meet the needs of Māori as required. Māori cultural events celebrated include Waitangi Day, Matariki Day and Māori Language Week, with the Māori quiz discussed with residents and Māori music played. Residents can go on outings with their families when desired. This was observed on the days of the audit. </w:t>
            </w:r>
          </w:p>
          <w:p w14:paraId="208C329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activity needs were evaluated as part of the formal six-</w:t>
            </w:r>
            <w:r w:rsidRPr="00BE00C7">
              <w:rPr>
                <w:rFonts w:cs="Arial"/>
                <w:lang w:eastAsia="en-NZ"/>
              </w:rPr>
              <w:lastRenderedPageBreak/>
              <w:t>monthly interRAI reassessments and care plan review, and when there was a significant change in the resident’s ability. Residents were involved in evaluating and improving the programme through residents’ meetings and annual satisfaction surveys. Residents confirmed they found the programme met their needs.</w:t>
            </w:r>
          </w:p>
          <w:p w14:paraId="3D7D15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residents in the dementia unit were structured to meet the residents’ needs, and the DTs stated that these can be changed when required. Residents were observed participating in a variety of activities on the days of the audit. Twenty-four-hour activity plans were completed for residents in the dementia unit. Residents can freely access the secure gardens. Interviewed residents’ whānau confirmed they found the programme satisfactory.  </w:t>
            </w:r>
          </w:p>
          <w:p w14:paraId="02A929BE" w14:textId="77777777" w:rsidR="00000000" w:rsidRPr="00BE00C7" w:rsidRDefault="00000000" w:rsidP="00BE00C7">
            <w:pPr>
              <w:pStyle w:val="OutcomeDescription"/>
              <w:spacing w:before="120" w:after="120"/>
              <w:rPr>
                <w:rFonts w:cs="Arial"/>
                <w:lang w:eastAsia="en-NZ"/>
              </w:rPr>
            </w:pPr>
          </w:p>
        </w:tc>
      </w:tr>
      <w:tr w:rsidR="009A16E0" w14:paraId="1C86C65D" w14:textId="77777777">
        <w:tc>
          <w:tcPr>
            <w:tcW w:w="0" w:type="auto"/>
          </w:tcPr>
          <w:p w14:paraId="23BF2F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88218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E4A612" w14:textId="77777777" w:rsidR="00000000" w:rsidRPr="00BE00C7" w:rsidRDefault="00000000" w:rsidP="00BE00C7">
            <w:pPr>
              <w:pStyle w:val="OutcomeDescription"/>
              <w:spacing w:before="120" w:after="120"/>
              <w:rPr>
                <w:rFonts w:cs="Arial"/>
                <w:lang w:eastAsia="en-NZ"/>
              </w:rPr>
            </w:pPr>
          </w:p>
        </w:tc>
        <w:tc>
          <w:tcPr>
            <w:tcW w:w="0" w:type="auto"/>
          </w:tcPr>
          <w:p w14:paraId="2BC3D2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729A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days of the audit.  All staff who administer medicine were competent to perform the function they managed. Current medication administration competencies were available in staff files reviewed.</w:t>
            </w:r>
          </w:p>
          <w:p w14:paraId="51989B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668EB268"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are stored safely, including controlled drugs. The required stock checks had been completed.  Medicines stored were within the recommended temperature range. Administered ‘pro re nata’ (PRN) medicine was evaluated for effectiveness.</w:t>
            </w:r>
          </w:p>
          <w:p w14:paraId="0B5F20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5B6F2E89"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when required.  There were no residents who were self-</w:t>
            </w:r>
            <w:r w:rsidRPr="00BE00C7">
              <w:rPr>
                <w:rFonts w:cs="Arial"/>
                <w:lang w:eastAsia="en-NZ"/>
              </w:rPr>
              <w:lastRenderedPageBreak/>
              <w:t>administering medicine at the time of the audit. Residents and their whānau are supported to understand their medications. Medication management audits were completed regularly.</w:t>
            </w:r>
          </w:p>
          <w:p w14:paraId="53591BA7" w14:textId="77777777" w:rsidR="00000000" w:rsidRPr="00BE00C7" w:rsidRDefault="00000000" w:rsidP="00BE00C7">
            <w:pPr>
              <w:pStyle w:val="OutcomeDescription"/>
              <w:spacing w:before="120" w:after="120"/>
              <w:rPr>
                <w:rFonts w:cs="Arial"/>
                <w:lang w:eastAsia="en-NZ"/>
              </w:rPr>
            </w:pPr>
          </w:p>
        </w:tc>
      </w:tr>
      <w:tr w:rsidR="009A16E0" w14:paraId="55F611E0" w14:textId="77777777">
        <w:tc>
          <w:tcPr>
            <w:tcW w:w="0" w:type="auto"/>
          </w:tcPr>
          <w:p w14:paraId="797498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9097C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BFDC722" w14:textId="77777777" w:rsidR="00000000" w:rsidRPr="00BE00C7" w:rsidRDefault="00000000" w:rsidP="00BE00C7">
            <w:pPr>
              <w:pStyle w:val="OutcomeDescription"/>
              <w:spacing w:before="120" w:after="120"/>
              <w:rPr>
                <w:rFonts w:cs="Arial"/>
                <w:lang w:eastAsia="en-NZ"/>
              </w:rPr>
            </w:pPr>
          </w:p>
        </w:tc>
        <w:tc>
          <w:tcPr>
            <w:tcW w:w="0" w:type="auto"/>
          </w:tcPr>
          <w:p w14:paraId="61CD3D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AE72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service is outsourced to an external provider and food is prepared and cooked on site. The food service is in line with recognised nutritional guidelines for people using the services.  The menu was reviewed by a qualified dietitian on 1 April 2025. </w:t>
            </w:r>
          </w:p>
          <w:p w14:paraId="546F5B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that is valid until 30 August 2026. </w:t>
            </w:r>
          </w:p>
          <w:p w14:paraId="4F1465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Menu options that are culturally specific to te ao Māori are on the menu.  </w:t>
            </w:r>
          </w:p>
          <w:p w14:paraId="5C812355" w14:textId="77777777" w:rsidR="00000000" w:rsidRPr="00BE00C7" w:rsidRDefault="00000000" w:rsidP="00BE00C7">
            <w:pPr>
              <w:pStyle w:val="OutcomeDescription"/>
              <w:spacing w:before="120" w:after="120"/>
              <w:rPr>
                <w:rFonts w:cs="Arial"/>
                <w:lang w:eastAsia="en-NZ"/>
              </w:rPr>
            </w:pPr>
            <w:r w:rsidRPr="00BE00C7">
              <w:rPr>
                <w:rFonts w:cs="Arial"/>
                <w:lang w:eastAsia="en-NZ"/>
              </w:rPr>
              <w:t>Snacks and drinks were provided to residents 24 hours a day. 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61355476" w14:textId="77777777" w:rsidR="00000000" w:rsidRPr="00BE00C7" w:rsidRDefault="00000000" w:rsidP="00BE00C7">
            <w:pPr>
              <w:pStyle w:val="OutcomeDescription"/>
              <w:spacing w:before="120" w:after="120"/>
              <w:rPr>
                <w:rFonts w:cs="Arial"/>
                <w:lang w:eastAsia="en-NZ"/>
              </w:rPr>
            </w:pPr>
          </w:p>
        </w:tc>
      </w:tr>
      <w:tr w:rsidR="009A16E0" w14:paraId="67C78ED1" w14:textId="77777777">
        <w:tc>
          <w:tcPr>
            <w:tcW w:w="0" w:type="auto"/>
          </w:tcPr>
          <w:p w14:paraId="5C18A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86BB2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6A98121" w14:textId="77777777" w:rsidR="00000000" w:rsidRPr="00BE00C7" w:rsidRDefault="00000000" w:rsidP="00BE00C7">
            <w:pPr>
              <w:pStyle w:val="OutcomeDescription"/>
              <w:spacing w:before="120" w:after="120"/>
              <w:rPr>
                <w:rFonts w:cs="Arial"/>
                <w:lang w:eastAsia="en-NZ"/>
              </w:rPr>
            </w:pPr>
          </w:p>
        </w:tc>
        <w:tc>
          <w:tcPr>
            <w:tcW w:w="0" w:type="auto"/>
          </w:tcPr>
          <w:p w14:paraId="7FCB8D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10AD1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Transfer and discharge policy is available to guide staff practice. Risks and current support needs are identified and managed. Options to access other health and disability services and social/cultural supports are discussed, where appropriate. Whānau reported being kept well informed during the transfer of their relative.</w:t>
            </w:r>
          </w:p>
          <w:p w14:paraId="7DCE20A6" w14:textId="77777777" w:rsidR="00000000" w:rsidRPr="00BE00C7" w:rsidRDefault="00000000" w:rsidP="00BE00C7">
            <w:pPr>
              <w:pStyle w:val="OutcomeDescription"/>
              <w:spacing w:before="120" w:after="120"/>
              <w:rPr>
                <w:rFonts w:cs="Arial"/>
                <w:lang w:eastAsia="en-NZ"/>
              </w:rPr>
            </w:pPr>
          </w:p>
        </w:tc>
      </w:tr>
      <w:tr w:rsidR="009A16E0" w14:paraId="24C8C121" w14:textId="77777777">
        <w:tc>
          <w:tcPr>
            <w:tcW w:w="0" w:type="auto"/>
          </w:tcPr>
          <w:p w14:paraId="6DBED4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CE52D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1AF8CD" w14:textId="77777777" w:rsidR="00000000" w:rsidRPr="00BE00C7" w:rsidRDefault="00000000" w:rsidP="00BE00C7">
            <w:pPr>
              <w:pStyle w:val="OutcomeDescription"/>
              <w:spacing w:before="120" w:after="120"/>
              <w:rPr>
                <w:rFonts w:cs="Arial"/>
                <w:lang w:eastAsia="en-NZ"/>
              </w:rPr>
            </w:pPr>
          </w:p>
        </w:tc>
        <w:tc>
          <w:tcPr>
            <w:tcW w:w="0" w:type="auto"/>
          </w:tcPr>
          <w:p w14:paraId="18C796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E3D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(BWOF) was displayed and had recently been issued on 8 July 2025. The testing of all electrical resources and equipment is completed by the maintenance team, and a logging system is in place. Biomedical equipment testing and calibration of equipment was completed and is next due on 1 October 2026.  The maintenance manager was interviewed, and has two additional staff who cover the facility, plus a landscaper and lawn service contractor.   </w:t>
            </w:r>
          </w:p>
          <w:p w14:paraId="2E22B8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051309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465D99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and spiritual practices. A new building has been designed and is in draft form currently. Consultation is to be sought to ensure the design reflects the identity and aspirations of Māori before the final draft is in place and any building commences.</w:t>
            </w:r>
          </w:p>
          <w:p w14:paraId="0FCC1EDD" w14:textId="77777777" w:rsidR="00000000" w:rsidRPr="00BE00C7" w:rsidRDefault="00000000" w:rsidP="00BE00C7">
            <w:pPr>
              <w:pStyle w:val="OutcomeDescription"/>
              <w:spacing w:before="120" w:after="120"/>
              <w:rPr>
                <w:rFonts w:cs="Arial"/>
                <w:lang w:eastAsia="en-NZ"/>
              </w:rPr>
            </w:pPr>
          </w:p>
        </w:tc>
      </w:tr>
      <w:tr w:rsidR="009A16E0" w14:paraId="1E3F3896" w14:textId="77777777">
        <w:tc>
          <w:tcPr>
            <w:tcW w:w="0" w:type="auto"/>
          </w:tcPr>
          <w:p w14:paraId="44A5D5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8F680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3A553C2" w14:textId="77777777" w:rsidR="00000000" w:rsidRPr="00BE00C7" w:rsidRDefault="00000000" w:rsidP="00BE00C7">
            <w:pPr>
              <w:pStyle w:val="OutcomeDescription"/>
              <w:spacing w:before="120" w:after="120"/>
              <w:rPr>
                <w:rFonts w:cs="Arial"/>
                <w:lang w:eastAsia="en-NZ"/>
              </w:rPr>
            </w:pPr>
          </w:p>
        </w:tc>
        <w:tc>
          <w:tcPr>
            <w:tcW w:w="0" w:type="auto"/>
          </w:tcPr>
          <w:p w14:paraId="488AF3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9F3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and the letter sighted was dated 24 August 1994. The last fire evacuation training was held on 24 April 2025.  </w:t>
            </w:r>
          </w:p>
          <w:p w14:paraId="4E2C3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w:t>
            </w:r>
            <w:r w:rsidRPr="00BE00C7">
              <w:rPr>
                <w:rFonts w:cs="Arial"/>
                <w:lang w:eastAsia="en-NZ"/>
              </w:rPr>
              <w:lastRenderedPageBreak/>
              <w:t xml:space="preserve">meet the National Emergency Management Agency recommendations for the region.  Emergency resources included a first aid kit, notebook, pencils, pens, personal protective equipment, whistle and lanyard, emergency radio, emergency foods, 60 litres of spare water and each resident had 15 litres in their individual rooms with expiry dates checked regularly, batteries and head lights torches. Staff can provide a level of first aid relevant to the risks for the type of service provided. There is no generator on site; however, a plan is in place to obtain a portable generator if needed. </w:t>
            </w:r>
          </w:p>
          <w:p w14:paraId="1243DC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new call bell alert system connected to staff phones has been installed for residents requiring assistance.  Residents and whānau reported staff respond promptly to call bells.  </w:t>
            </w:r>
          </w:p>
          <w:p w14:paraId="507A12C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762FAE50" w14:textId="77777777" w:rsidR="00000000" w:rsidRPr="00BE00C7" w:rsidRDefault="00000000" w:rsidP="00BE00C7">
            <w:pPr>
              <w:pStyle w:val="OutcomeDescription"/>
              <w:spacing w:before="120" w:after="120"/>
              <w:rPr>
                <w:rFonts w:cs="Arial"/>
                <w:lang w:eastAsia="en-NZ"/>
              </w:rPr>
            </w:pPr>
          </w:p>
        </w:tc>
      </w:tr>
      <w:tr w:rsidR="009A16E0" w14:paraId="30B58293" w14:textId="77777777">
        <w:tc>
          <w:tcPr>
            <w:tcW w:w="0" w:type="auto"/>
          </w:tcPr>
          <w:p w14:paraId="7A6AA0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7961F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5396E43" w14:textId="77777777" w:rsidR="00000000" w:rsidRPr="00BE00C7" w:rsidRDefault="00000000" w:rsidP="00BE00C7">
            <w:pPr>
              <w:pStyle w:val="OutcomeDescription"/>
              <w:spacing w:before="120" w:after="120"/>
              <w:rPr>
                <w:rFonts w:cs="Arial"/>
                <w:lang w:eastAsia="en-NZ"/>
              </w:rPr>
            </w:pPr>
          </w:p>
        </w:tc>
        <w:tc>
          <w:tcPr>
            <w:tcW w:w="0" w:type="auto"/>
          </w:tcPr>
          <w:p w14:paraId="0747A0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E76B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0620BB13" w14:textId="77777777" w:rsidR="00000000" w:rsidRPr="00BE00C7" w:rsidRDefault="00000000" w:rsidP="00BE00C7">
            <w:pPr>
              <w:pStyle w:val="OutcomeDescription"/>
              <w:spacing w:before="120" w:after="120"/>
              <w:rPr>
                <w:rFonts w:cs="Arial"/>
                <w:lang w:eastAsia="en-NZ"/>
              </w:rPr>
            </w:pPr>
          </w:p>
        </w:tc>
      </w:tr>
      <w:tr w:rsidR="009A16E0" w14:paraId="6CB60991" w14:textId="77777777">
        <w:tc>
          <w:tcPr>
            <w:tcW w:w="0" w:type="auto"/>
          </w:tcPr>
          <w:p w14:paraId="3E5EFD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D2FBE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0BAD7FF7" w14:textId="77777777" w:rsidR="00000000" w:rsidRPr="00BE00C7" w:rsidRDefault="00000000" w:rsidP="00BE00C7">
            <w:pPr>
              <w:pStyle w:val="OutcomeDescription"/>
              <w:spacing w:before="120" w:after="120"/>
              <w:rPr>
                <w:rFonts w:cs="Arial"/>
                <w:lang w:eastAsia="en-NZ"/>
              </w:rPr>
            </w:pPr>
          </w:p>
        </w:tc>
        <w:tc>
          <w:tcPr>
            <w:tcW w:w="0" w:type="auto"/>
          </w:tcPr>
          <w:p w14:paraId="1A12D3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418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 the advice of the committee has been sought when making decisions around procurement relevant to care delivery, or facility changes, and </w:t>
            </w:r>
            <w:r w:rsidRPr="00BE00C7">
              <w:rPr>
                <w:rFonts w:cs="Arial"/>
                <w:lang w:eastAsia="en-NZ"/>
              </w:rPr>
              <w:lastRenderedPageBreak/>
              <w:t>policies. The clinical manager stated that there is no immediate plan to design a new building.</w:t>
            </w:r>
          </w:p>
          <w:p w14:paraId="6EF7F3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39471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76D66104"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There are sufficient resources and personal protective equipment (PPE) available, and staff have been trained accordingly.</w:t>
            </w:r>
          </w:p>
          <w:p w14:paraId="1954D8A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6709595C" w14:textId="77777777" w:rsidR="00000000" w:rsidRPr="00BE00C7" w:rsidRDefault="00000000" w:rsidP="00BE00C7">
            <w:pPr>
              <w:pStyle w:val="OutcomeDescription"/>
              <w:spacing w:before="120" w:after="120"/>
              <w:rPr>
                <w:rFonts w:cs="Arial"/>
                <w:lang w:eastAsia="en-NZ"/>
              </w:rPr>
            </w:pPr>
          </w:p>
        </w:tc>
      </w:tr>
      <w:tr w:rsidR="009A16E0" w14:paraId="4C8B43C9" w14:textId="77777777">
        <w:tc>
          <w:tcPr>
            <w:tcW w:w="0" w:type="auto"/>
          </w:tcPr>
          <w:p w14:paraId="1E99F6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3847D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CC7AB9E" w14:textId="77777777" w:rsidR="00000000" w:rsidRPr="00BE00C7" w:rsidRDefault="00000000" w:rsidP="00BE00C7">
            <w:pPr>
              <w:pStyle w:val="OutcomeDescription"/>
              <w:spacing w:before="120" w:after="120"/>
              <w:rPr>
                <w:rFonts w:cs="Arial"/>
                <w:lang w:eastAsia="en-NZ"/>
              </w:rPr>
            </w:pPr>
          </w:p>
        </w:tc>
        <w:tc>
          <w:tcPr>
            <w:tcW w:w="0" w:type="auto"/>
          </w:tcPr>
          <w:p w14:paraId="730FB2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40AE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Annual AMS programme evaluation was completed.</w:t>
            </w:r>
          </w:p>
          <w:p w14:paraId="1877F1FD" w14:textId="77777777" w:rsidR="00000000" w:rsidRPr="00BE00C7" w:rsidRDefault="00000000" w:rsidP="00BE00C7">
            <w:pPr>
              <w:pStyle w:val="OutcomeDescription"/>
              <w:spacing w:before="120" w:after="120"/>
              <w:rPr>
                <w:rFonts w:cs="Arial"/>
                <w:lang w:eastAsia="en-NZ"/>
              </w:rPr>
            </w:pPr>
          </w:p>
        </w:tc>
      </w:tr>
      <w:tr w:rsidR="009A16E0" w14:paraId="005BE28F" w14:textId="77777777">
        <w:tc>
          <w:tcPr>
            <w:tcW w:w="0" w:type="auto"/>
          </w:tcPr>
          <w:p w14:paraId="15B45D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7F24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FA99C45" w14:textId="77777777" w:rsidR="00000000" w:rsidRPr="00BE00C7" w:rsidRDefault="00000000" w:rsidP="00BE00C7">
            <w:pPr>
              <w:pStyle w:val="OutcomeDescription"/>
              <w:spacing w:before="120" w:after="120"/>
              <w:rPr>
                <w:rFonts w:cs="Arial"/>
                <w:lang w:eastAsia="en-NZ"/>
              </w:rPr>
            </w:pPr>
          </w:p>
        </w:tc>
        <w:tc>
          <w:tcPr>
            <w:tcW w:w="0" w:type="auto"/>
          </w:tcPr>
          <w:p w14:paraId="28DCF0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0780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w:t>
            </w:r>
            <w:r w:rsidRPr="00BE00C7">
              <w:rPr>
                <w:rFonts w:cs="Arial"/>
                <w:lang w:eastAsia="en-NZ"/>
              </w:rPr>
              <w:lastRenderedPageBreak/>
              <w:t>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An infection outbreak reported since the previous audit was managed effectively.</w:t>
            </w:r>
          </w:p>
          <w:p w14:paraId="1DC9D00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p w14:paraId="623E053D" w14:textId="77777777" w:rsidR="00000000" w:rsidRPr="00BE00C7" w:rsidRDefault="00000000" w:rsidP="00BE00C7">
            <w:pPr>
              <w:pStyle w:val="OutcomeDescription"/>
              <w:spacing w:before="120" w:after="120"/>
              <w:rPr>
                <w:rFonts w:cs="Arial"/>
                <w:lang w:eastAsia="en-NZ"/>
              </w:rPr>
            </w:pPr>
          </w:p>
        </w:tc>
      </w:tr>
      <w:tr w:rsidR="009A16E0" w14:paraId="5984790B" w14:textId="77777777">
        <w:tc>
          <w:tcPr>
            <w:tcW w:w="0" w:type="auto"/>
          </w:tcPr>
          <w:p w14:paraId="600F42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4870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7E19E9" w14:textId="77777777" w:rsidR="00000000" w:rsidRPr="00BE00C7" w:rsidRDefault="00000000" w:rsidP="00BE00C7">
            <w:pPr>
              <w:pStyle w:val="OutcomeDescription"/>
              <w:spacing w:before="120" w:after="120"/>
              <w:rPr>
                <w:rFonts w:cs="Arial"/>
                <w:lang w:eastAsia="en-NZ"/>
              </w:rPr>
            </w:pPr>
          </w:p>
        </w:tc>
        <w:tc>
          <w:tcPr>
            <w:tcW w:w="0" w:type="auto"/>
          </w:tcPr>
          <w:p w14:paraId="7FB4C8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7039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D5E4E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w:t>
            </w:r>
          </w:p>
          <w:p w14:paraId="35F8DC0E"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services are outsourced to an external company. Residents’ personal laundry is completed on site by the external company staff, and linen is provided by an external company.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271ED49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kept clean and tidy. This was confirmed through observations and annual satisfaction survey results.</w:t>
            </w:r>
          </w:p>
          <w:p w14:paraId="64CE4D9D" w14:textId="77777777" w:rsidR="00000000" w:rsidRPr="00BE00C7" w:rsidRDefault="00000000" w:rsidP="00BE00C7">
            <w:pPr>
              <w:pStyle w:val="OutcomeDescription"/>
              <w:spacing w:before="120" w:after="120"/>
              <w:rPr>
                <w:rFonts w:cs="Arial"/>
                <w:lang w:eastAsia="en-NZ"/>
              </w:rPr>
            </w:pPr>
          </w:p>
        </w:tc>
      </w:tr>
      <w:tr w:rsidR="009A16E0" w14:paraId="2E12AD2D" w14:textId="77777777">
        <w:tc>
          <w:tcPr>
            <w:tcW w:w="0" w:type="auto"/>
          </w:tcPr>
          <w:p w14:paraId="4A2482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5A590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B9C5153" w14:textId="77777777" w:rsidR="00000000" w:rsidRPr="00BE00C7" w:rsidRDefault="00000000" w:rsidP="00BE00C7">
            <w:pPr>
              <w:pStyle w:val="OutcomeDescription"/>
              <w:spacing w:before="120" w:after="120"/>
              <w:rPr>
                <w:rFonts w:cs="Arial"/>
                <w:lang w:eastAsia="en-NZ"/>
              </w:rPr>
            </w:pPr>
          </w:p>
        </w:tc>
        <w:tc>
          <w:tcPr>
            <w:tcW w:w="0" w:type="auto"/>
          </w:tcPr>
          <w:p w14:paraId="66E8C8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062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supported by a member of the executive leadership at operational level.  At the time of audit, there was no restraint in use, and this has been the case since 11 May 2024.  Any use of restraint is reported to the </w:t>
            </w:r>
            <w:r w:rsidRPr="00BE00C7">
              <w:rPr>
                <w:rFonts w:cs="Arial"/>
                <w:lang w:eastAsia="en-NZ"/>
              </w:rPr>
              <w:lastRenderedPageBreak/>
              <w:t>governing body.</w:t>
            </w:r>
          </w:p>
          <w:p w14:paraId="25E0EF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414716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register is maintained, and the register contains enough information to provide an auditable record of restraint, should this be required. The restraint committee undertakes a six-monthly review of the restraint process. Any changes to policies, guidelines, education and processes are implemented if indicated.</w:t>
            </w:r>
          </w:p>
          <w:p w14:paraId="5F3E0666"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restraint is not in use and has not been in use for eighteen months, subsections 6.2 and 6.3 have not been audited.</w:t>
            </w:r>
          </w:p>
          <w:p w14:paraId="69885430" w14:textId="77777777" w:rsidR="00000000" w:rsidRPr="00BE00C7" w:rsidRDefault="00000000" w:rsidP="00BE00C7">
            <w:pPr>
              <w:pStyle w:val="OutcomeDescription"/>
              <w:spacing w:before="120" w:after="120"/>
              <w:rPr>
                <w:rFonts w:cs="Arial"/>
                <w:lang w:eastAsia="en-NZ"/>
              </w:rPr>
            </w:pPr>
          </w:p>
        </w:tc>
      </w:tr>
    </w:tbl>
    <w:p w14:paraId="1D8A54D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EE680FE" w14:textId="77777777" w:rsidR="00000000" w:rsidRDefault="00000000">
      <w:pPr>
        <w:pStyle w:val="Heading1"/>
        <w:rPr>
          <w:rFonts w:cs="Arial"/>
        </w:rPr>
      </w:pPr>
      <w:r>
        <w:rPr>
          <w:rFonts w:cs="Arial"/>
        </w:rPr>
        <w:lastRenderedPageBreak/>
        <w:t>Specific results for criterion where corrective actions are required</w:t>
      </w:r>
    </w:p>
    <w:p w14:paraId="4BEF80E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3084E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667056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A16E0" w14:paraId="5B9B5B8C" w14:textId="77777777">
        <w:tc>
          <w:tcPr>
            <w:tcW w:w="0" w:type="auto"/>
          </w:tcPr>
          <w:p w14:paraId="194733C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213F16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2212409" w14:textId="77777777" w:rsidR="00000000" w:rsidRDefault="00000000">
      <w:pPr>
        <w:pStyle w:val="Heading1"/>
        <w:rPr>
          <w:rFonts w:cs="Arial"/>
        </w:rPr>
      </w:pPr>
      <w:r>
        <w:rPr>
          <w:rFonts w:cs="Arial"/>
        </w:rPr>
        <w:lastRenderedPageBreak/>
        <w:t>Specific results for criterion where a continuous improvement has been recorded</w:t>
      </w:r>
    </w:p>
    <w:p w14:paraId="4C702D7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68DBB1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4EAE4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A16E0" w14:paraId="29ABE4CC" w14:textId="77777777">
        <w:tc>
          <w:tcPr>
            <w:tcW w:w="0" w:type="auto"/>
          </w:tcPr>
          <w:p w14:paraId="137FD21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75262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3464B7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E93B" w14:textId="77777777" w:rsidR="0066378A" w:rsidRDefault="0066378A">
      <w:r>
        <w:separator/>
      </w:r>
    </w:p>
  </w:endnote>
  <w:endnote w:type="continuationSeparator" w:id="0">
    <w:p w14:paraId="2298B47A" w14:textId="77777777" w:rsidR="0066378A" w:rsidRDefault="0066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4D4" w14:textId="77777777" w:rsidR="00000000" w:rsidRDefault="00000000">
    <w:pPr>
      <w:pStyle w:val="Footer"/>
    </w:pPr>
  </w:p>
  <w:p w14:paraId="39090062" w14:textId="77777777" w:rsidR="00000000" w:rsidRDefault="00000000"/>
  <w:p w14:paraId="2960818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3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Edenvale Aged Care Charitable Trust - Edenvale Home &amp; Hospital</w:t>
    </w:r>
    <w:bookmarkEnd w:id="59"/>
    <w:r>
      <w:rPr>
        <w:rFonts w:cs="Arial"/>
        <w:sz w:val="16"/>
        <w:szCs w:val="20"/>
      </w:rPr>
      <w:tab/>
      <w:t xml:space="preserve">Date of Audit: </w:t>
    </w:r>
    <w:bookmarkStart w:id="60" w:name="AuditStartDate1"/>
    <w:r>
      <w:rPr>
        <w:rFonts w:cs="Arial"/>
        <w:sz w:val="16"/>
        <w:szCs w:val="20"/>
      </w:rPr>
      <w:t>28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6F9FD6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701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4F71" w14:textId="77777777" w:rsidR="0066378A" w:rsidRDefault="0066378A">
      <w:r>
        <w:separator/>
      </w:r>
    </w:p>
  </w:footnote>
  <w:footnote w:type="continuationSeparator" w:id="0">
    <w:p w14:paraId="78EDC156" w14:textId="77777777" w:rsidR="0066378A" w:rsidRDefault="0066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A554" w14:textId="77777777" w:rsidR="00000000" w:rsidRDefault="00000000">
    <w:pPr>
      <w:pStyle w:val="Header"/>
    </w:pPr>
  </w:p>
  <w:p w14:paraId="183E820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6486" w14:textId="77777777" w:rsidR="00000000" w:rsidRDefault="00000000">
    <w:pPr>
      <w:pStyle w:val="Header"/>
    </w:pPr>
  </w:p>
  <w:p w14:paraId="19B43CA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E46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5EADCE8">
      <w:start w:val="1"/>
      <w:numFmt w:val="decimal"/>
      <w:lvlText w:val="%1."/>
      <w:lvlJc w:val="left"/>
      <w:pPr>
        <w:ind w:left="360" w:hanging="360"/>
      </w:pPr>
    </w:lvl>
    <w:lvl w:ilvl="1" w:tplc="3A6A460E" w:tentative="1">
      <w:start w:val="1"/>
      <w:numFmt w:val="lowerLetter"/>
      <w:lvlText w:val="%2."/>
      <w:lvlJc w:val="left"/>
      <w:pPr>
        <w:ind w:left="1080" w:hanging="360"/>
      </w:pPr>
    </w:lvl>
    <w:lvl w:ilvl="2" w:tplc="E8827D06" w:tentative="1">
      <w:start w:val="1"/>
      <w:numFmt w:val="lowerRoman"/>
      <w:lvlText w:val="%3."/>
      <w:lvlJc w:val="right"/>
      <w:pPr>
        <w:ind w:left="1800" w:hanging="180"/>
      </w:pPr>
    </w:lvl>
    <w:lvl w:ilvl="3" w:tplc="DC0EC5E2" w:tentative="1">
      <w:start w:val="1"/>
      <w:numFmt w:val="decimal"/>
      <w:lvlText w:val="%4."/>
      <w:lvlJc w:val="left"/>
      <w:pPr>
        <w:ind w:left="2520" w:hanging="360"/>
      </w:pPr>
    </w:lvl>
    <w:lvl w:ilvl="4" w:tplc="20EEAF54" w:tentative="1">
      <w:start w:val="1"/>
      <w:numFmt w:val="lowerLetter"/>
      <w:lvlText w:val="%5."/>
      <w:lvlJc w:val="left"/>
      <w:pPr>
        <w:ind w:left="3240" w:hanging="360"/>
      </w:pPr>
    </w:lvl>
    <w:lvl w:ilvl="5" w:tplc="D09C9140" w:tentative="1">
      <w:start w:val="1"/>
      <w:numFmt w:val="lowerRoman"/>
      <w:lvlText w:val="%6."/>
      <w:lvlJc w:val="right"/>
      <w:pPr>
        <w:ind w:left="3960" w:hanging="180"/>
      </w:pPr>
    </w:lvl>
    <w:lvl w:ilvl="6" w:tplc="E58A8742" w:tentative="1">
      <w:start w:val="1"/>
      <w:numFmt w:val="decimal"/>
      <w:lvlText w:val="%7."/>
      <w:lvlJc w:val="left"/>
      <w:pPr>
        <w:ind w:left="4680" w:hanging="360"/>
      </w:pPr>
    </w:lvl>
    <w:lvl w:ilvl="7" w:tplc="8FDEB570" w:tentative="1">
      <w:start w:val="1"/>
      <w:numFmt w:val="lowerLetter"/>
      <w:lvlText w:val="%8."/>
      <w:lvlJc w:val="left"/>
      <w:pPr>
        <w:ind w:left="5400" w:hanging="360"/>
      </w:pPr>
    </w:lvl>
    <w:lvl w:ilvl="8" w:tplc="028C11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9A8F1AE">
      <w:start w:val="1"/>
      <w:numFmt w:val="bullet"/>
      <w:lvlText w:val=""/>
      <w:lvlJc w:val="left"/>
      <w:pPr>
        <w:ind w:left="720" w:hanging="360"/>
      </w:pPr>
      <w:rPr>
        <w:rFonts w:ascii="Symbol" w:hAnsi="Symbol" w:hint="default"/>
      </w:rPr>
    </w:lvl>
    <w:lvl w:ilvl="1" w:tplc="2A404B06" w:tentative="1">
      <w:start w:val="1"/>
      <w:numFmt w:val="bullet"/>
      <w:lvlText w:val="o"/>
      <w:lvlJc w:val="left"/>
      <w:pPr>
        <w:ind w:left="1440" w:hanging="360"/>
      </w:pPr>
      <w:rPr>
        <w:rFonts w:ascii="Courier New" w:hAnsi="Courier New" w:cs="Courier New" w:hint="default"/>
      </w:rPr>
    </w:lvl>
    <w:lvl w:ilvl="2" w:tplc="ABF6B0B6" w:tentative="1">
      <w:start w:val="1"/>
      <w:numFmt w:val="bullet"/>
      <w:lvlText w:val=""/>
      <w:lvlJc w:val="left"/>
      <w:pPr>
        <w:ind w:left="2160" w:hanging="360"/>
      </w:pPr>
      <w:rPr>
        <w:rFonts w:ascii="Wingdings" w:hAnsi="Wingdings" w:hint="default"/>
      </w:rPr>
    </w:lvl>
    <w:lvl w:ilvl="3" w:tplc="BC5474DC" w:tentative="1">
      <w:start w:val="1"/>
      <w:numFmt w:val="bullet"/>
      <w:lvlText w:val=""/>
      <w:lvlJc w:val="left"/>
      <w:pPr>
        <w:ind w:left="2880" w:hanging="360"/>
      </w:pPr>
      <w:rPr>
        <w:rFonts w:ascii="Symbol" w:hAnsi="Symbol" w:hint="default"/>
      </w:rPr>
    </w:lvl>
    <w:lvl w:ilvl="4" w:tplc="7CBCD410" w:tentative="1">
      <w:start w:val="1"/>
      <w:numFmt w:val="bullet"/>
      <w:lvlText w:val="o"/>
      <w:lvlJc w:val="left"/>
      <w:pPr>
        <w:ind w:left="3600" w:hanging="360"/>
      </w:pPr>
      <w:rPr>
        <w:rFonts w:ascii="Courier New" w:hAnsi="Courier New" w:cs="Courier New" w:hint="default"/>
      </w:rPr>
    </w:lvl>
    <w:lvl w:ilvl="5" w:tplc="0DF4CD40" w:tentative="1">
      <w:start w:val="1"/>
      <w:numFmt w:val="bullet"/>
      <w:lvlText w:val=""/>
      <w:lvlJc w:val="left"/>
      <w:pPr>
        <w:ind w:left="4320" w:hanging="360"/>
      </w:pPr>
      <w:rPr>
        <w:rFonts w:ascii="Wingdings" w:hAnsi="Wingdings" w:hint="default"/>
      </w:rPr>
    </w:lvl>
    <w:lvl w:ilvl="6" w:tplc="9AC0435E" w:tentative="1">
      <w:start w:val="1"/>
      <w:numFmt w:val="bullet"/>
      <w:lvlText w:val=""/>
      <w:lvlJc w:val="left"/>
      <w:pPr>
        <w:ind w:left="5040" w:hanging="360"/>
      </w:pPr>
      <w:rPr>
        <w:rFonts w:ascii="Symbol" w:hAnsi="Symbol" w:hint="default"/>
      </w:rPr>
    </w:lvl>
    <w:lvl w:ilvl="7" w:tplc="C0EA500C" w:tentative="1">
      <w:start w:val="1"/>
      <w:numFmt w:val="bullet"/>
      <w:lvlText w:val="o"/>
      <w:lvlJc w:val="left"/>
      <w:pPr>
        <w:ind w:left="5760" w:hanging="360"/>
      </w:pPr>
      <w:rPr>
        <w:rFonts w:ascii="Courier New" w:hAnsi="Courier New" w:cs="Courier New" w:hint="default"/>
      </w:rPr>
    </w:lvl>
    <w:lvl w:ilvl="8" w:tplc="4B72D284" w:tentative="1">
      <w:start w:val="1"/>
      <w:numFmt w:val="bullet"/>
      <w:lvlText w:val=""/>
      <w:lvlJc w:val="left"/>
      <w:pPr>
        <w:ind w:left="6480" w:hanging="360"/>
      </w:pPr>
      <w:rPr>
        <w:rFonts w:ascii="Wingdings" w:hAnsi="Wingdings" w:hint="default"/>
      </w:rPr>
    </w:lvl>
  </w:abstractNum>
  <w:num w:numId="1" w16cid:durableId="1225991366">
    <w:abstractNumId w:val="1"/>
  </w:num>
  <w:num w:numId="2" w16cid:durableId="1731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6E0"/>
    <w:rsid w:val="004922AB"/>
    <w:rsid w:val="00615B70"/>
    <w:rsid w:val="0066378A"/>
    <w:rsid w:val="009A16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C093"/>
  <w15:docId w15:val="{4CC5D546-D967-4F1E-ACA6-947A11FC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9075</Words>
  <Characters>51733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2025-10-13T23:43:00Z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