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2273" w14:textId="77777777" w:rsidR="002402CC" w:rsidRDefault="00000000">
      <w:pPr>
        <w:pStyle w:val="Heading1"/>
        <w:rPr>
          <w:rFonts w:cs="Arial"/>
        </w:rPr>
      </w:pPr>
      <w:bookmarkStart w:id="0" w:name="PRMS_RIName"/>
      <w:r>
        <w:rPr>
          <w:rFonts w:cs="Arial"/>
        </w:rPr>
        <w:t>Bert Sutcliffe Retirement Village Limited - Bert Sutcliffe Retirement Village</w:t>
      </w:r>
      <w:bookmarkEnd w:id="0"/>
    </w:p>
    <w:p w14:paraId="39E876BC" w14:textId="77777777" w:rsidR="002402CC" w:rsidRDefault="00000000">
      <w:pPr>
        <w:pStyle w:val="Heading2"/>
        <w:spacing w:after="0"/>
        <w:rPr>
          <w:rFonts w:cs="Arial"/>
        </w:rPr>
      </w:pPr>
      <w:r>
        <w:rPr>
          <w:rFonts w:cs="Arial"/>
        </w:rPr>
        <w:t>Introduction</w:t>
      </w:r>
    </w:p>
    <w:p w14:paraId="261FE5C9" w14:textId="77777777" w:rsidR="002402CC"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0BF218B" w14:textId="77777777" w:rsidR="002402CC"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2F769CF3" w14:textId="77777777" w:rsidR="002402CC"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6FECBE" w14:textId="77777777" w:rsidR="002402CC"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4DA2665" w14:textId="77777777" w:rsidR="002402CC" w:rsidRDefault="00000000">
      <w:pPr>
        <w:spacing w:before="240" w:after="240"/>
        <w:rPr>
          <w:rFonts w:cs="Arial"/>
          <w:lang w:eastAsia="en-NZ"/>
        </w:rPr>
      </w:pPr>
      <w:r>
        <w:rPr>
          <w:rFonts w:cs="Arial"/>
          <w:lang w:eastAsia="en-NZ"/>
        </w:rPr>
        <w:t>The specifics of this audit included:</w:t>
      </w:r>
    </w:p>
    <w:p w14:paraId="3FFF9D6D" w14:textId="77777777" w:rsidR="002402CC" w:rsidRPr="009D18F5" w:rsidRDefault="002402CC" w:rsidP="00D84A2C">
      <w:pPr>
        <w:pBdr>
          <w:top w:val="single" w:sz="4" w:space="1" w:color="auto"/>
          <w:left w:val="single" w:sz="4" w:space="4" w:color="auto"/>
          <w:bottom w:val="single" w:sz="4" w:space="9" w:color="auto"/>
          <w:right w:val="single" w:sz="4" w:space="4" w:color="auto"/>
        </w:pBdr>
        <w:rPr>
          <w:rFonts w:cs="Arial"/>
        </w:rPr>
      </w:pPr>
    </w:p>
    <w:p w14:paraId="4C4722EF" w14:textId="77777777" w:rsidR="002402CC" w:rsidRPr="009418D4" w:rsidRDefault="00000000" w:rsidP="00D84A2C">
      <w:pPr>
        <w:pBdr>
          <w:top w:val="single" w:sz="4" w:space="1" w:color="auto"/>
          <w:left w:val="single" w:sz="4" w:space="4" w:color="auto"/>
          <w:bottom w:val="single" w:sz="4" w:space="9"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Bert Sutcliffe Retirement Village Limited</w:t>
      </w:r>
      <w:bookmarkEnd w:id="4"/>
    </w:p>
    <w:p w14:paraId="6013F779" w14:textId="77777777" w:rsidR="002402CC" w:rsidRPr="009418D4" w:rsidRDefault="00000000" w:rsidP="00D84A2C">
      <w:pPr>
        <w:pBdr>
          <w:top w:val="single" w:sz="4" w:space="1" w:color="auto"/>
          <w:left w:val="single" w:sz="4" w:space="4" w:color="auto"/>
          <w:bottom w:val="single" w:sz="4" w:space="9"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Bert Sutcliffe Retirement Village</w:t>
      </w:r>
      <w:bookmarkEnd w:id="5"/>
    </w:p>
    <w:p w14:paraId="7909D630" w14:textId="77777777" w:rsidR="002402CC" w:rsidRPr="009418D4" w:rsidRDefault="00000000" w:rsidP="00D84A2C">
      <w:pPr>
        <w:pBdr>
          <w:top w:val="single" w:sz="4" w:space="1" w:color="auto"/>
          <w:left w:val="single" w:sz="4" w:space="4" w:color="auto"/>
          <w:bottom w:val="single" w:sz="4" w:space="9"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96AEB99" w14:textId="77777777" w:rsidR="002402CC" w:rsidRPr="009418D4" w:rsidRDefault="00000000" w:rsidP="00D84A2C">
      <w:pPr>
        <w:pBdr>
          <w:top w:val="single" w:sz="4" w:space="1" w:color="auto"/>
          <w:left w:val="single" w:sz="4" w:space="4" w:color="auto"/>
          <w:bottom w:val="single" w:sz="4" w:space="9"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August 2025</w:t>
      </w:r>
      <w:bookmarkEnd w:id="7"/>
      <w:r w:rsidRPr="009418D4">
        <w:rPr>
          <w:rFonts w:cs="Arial"/>
        </w:rPr>
        <w:tab/>
        <w:t xml:space="preserve">End date: </w:t>
      </w:r>
      <w:bookmarkStart w:id="8" w:name="AuditEndDate"/>
      <w:r>
        <w:rPr>
          <w:rFonts w:cs="Arial"/>
        </w:rPr>
        <w:t>19 August 2025</w:t>
      </w:r>
      <w:bookmarkEnd w:id="8"/>
    </w:p>
    <w:p w14:paraId="65DCFF4E" w14:textId="77777777" w:rsidR="002402CC" w:rsidRPr="009418D4" w:rsidRDefault="00000000" w:rsidP="00D84A2C">
      <w:pPr>
        <w:pBdr>
          <w:top w:val="single" w:sz="4" w:space="1" w:color="auto"/>
          <w:left w:val="single" w:sz="4" w:space="4" w:color="auto"/>
          <w:bottom w:val="single" w:sz="4" w:space="9"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D588C0" w14:textId="42EBFE1A" w:rsidR="002402CC" w:rsidRDefault="00000000" w:rsidP="00D84A2C">
      <w:pPr>
        <w:pBdr>
          <w:top w:val="single" w:sz="4" w:space="1" w:color="auto"/>
          <w:left w:val="single" w:sz="4" w:space="4" w:color="auto"/>
          <w:bottom w:val="single" w:sz="4" w:space="9"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112</w:t>
      </w:r>
      <w:bookmarkEnd w:id="10"/>
    </w:p>
    <w:p w14:paraId="1AEBD1DE" w14:textId="77777777" w:rsidR="002402CC" w:rsidRDefault="00000000">
      <w:pPr>
        <w:pStyle w:val="Heading1"/>
        <w:rPr>
          <w:rFonts w:cs="Arial"/>
        </w:rPr>
      </w:pPr>
      <w:r>
        <w:rPr>
          <w:rFonts w:cs="Arial"/>
        </w:rPr>
        <w:lastRenderedPageBreak/>
        <w:t>Executive summary of the audit</w:t>
      </w:r>
    </w:p>
    <w:p w14:paraId="63DEFA41" w14:textId="77777777" w:rsidR="002402CC" w:rsidRDefault="00000000">
      <w:pPr>
        <w:pStyle w:val="Heading2"/>
        <w:rPr>
          <w:rFonts w:cs="Arial"/>
        </w:rPr>
      </w:pPr>
      <w:r>
        <w:rPr>
          <w:rFonts w:cs="Arial"/>
        </w:rPr>
        <w:t>Introduction</w:t>
      </w:r>
    </w:p>
    <w:p w14:paraId="7C337553" w14:textId="77777777" w:rsidR="002402CC"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28F447" w14:textId="77777777" w:rsidR="002402CC"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301CD7" w14:textId="77777777" w:rsidR="002402CC"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CF1DCD" w14:textId="77777777" w:rsidR="002402CC"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3B71611" w14:textId="77777777" w:rsidR="002402CC"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11D666CA" w14:textId="77777777" w:rsidR="002402CC"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9321A56" w14:textId="77777777" w:rsidR="002402CC"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2955F8" w14:textId="77777777" w:rsidR="002402CC"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6D3E72E" w14:textId="77777777" w:rsidR="002402CC"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90523" w14:paraId="78A79BE3" w14:textId="77777777">
        <w:trPr>
          <w:cantSplit/>
          <w:tblHeader/>
        </w:trPr>
        <w:tc>
          <w:tcPr>
            <w:tcW w:w="1260" w:type="dxa"/>
            <w:tcBorders>
              <w:bottom w:val="single" w:sz="4" w:space="0" w:color="000000"/>
            </w:tcBorders>
            <w:vAlign w:val="center"/>
          </w:tcPr>
          <w:p w14:paraId="4A58B29E" w14:textId="77777777" w:rsidR="002402CC"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C9283F" w14:textId="77777777" w:rsidR="002402CC"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19D25B" w14:textId="77777777" w:rsidR="002402CC" w:rsidRDefault="00000000">
            <w:pPr>
              <w:spacing w:before="60" w:after="60"/>
              <w:rPr>
                <w:rFonts w:eastAsia="Calibri"/>
                <w:b/>
                <w:szCs w:val="24"/>
              </w:rPr>
            </w:pPr>
            <w:r>
              <w:rPr>
                <w:rFonts w:eastAsia="Calibri"/>
                <w:b/>
                <w:szCs w:val="24"/>
              </w:rPr>
              <w:t>Definition</w:t>
            </w:r>
          </w:p>
        </w:tc>
      </w:tr>
      <w:tr w:rsidR="00C90523" w14:paraId="257154AB" w14:textId="77777777">
        <w:trPr>
          <w:cantSplit/>
          <w:trHeight w:val="964"/>
        </w:trPr>
        <w:tc>
          <w:tcPr>
            <w:tcW w:w="1260" w:type="dxa"/>
            <w:tcBorders>
              <w:bottom w:val="single" w:sz="4" w:space="0" w:color="000000"/>
            </w:tcBorders>
            <w:shd w:val="clear" w:color="0066FF" w:fill="0000FF"/>
            <w:vAlign w:val="center"/>
          </w:tcPr>
          <w:p w14:paraId="51144175" w14:textId="77777777" w:rsidR="002402CC" w:rsidRDefault="002402CC">
            <w:pPr>
              <w:spacing w:before="60" w:after="60"/>
              <w:rPr>
                <w:rFonts w:eastAsia="Calibri"/>
                <w:szCs w:val="24"/>
              </w:rPr>
            </w:pPr>
          </w:p>
        </w:tc>
        <w:tc>
          <w:tcPr>
            <w:tcW w:w="7095" w:type="dxa"/>
            <w:tcBorders>
              <w:bottom w:val="single" w:sz="4" w:space="0" w:color="000000"/>
            </w:tcBorders>
            <w:shd w:val="clear" w:color="auto" w:fill="auto"/>
            <w:vAlign w:val="center"/>
          </w:tcPr>
          <w:p w14:paraId="11201839" w14:textId="77777777" w:rsidR="002402CC"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74DF9B5" w14:textId="77777777" w:rsidR="002402CC"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90523" w14:paraId="3F0BAB45" w14:textId="77777777">
        <w:trPr>
          <w:cantSplit/>
          <w:trHeight w:val="964"/>
        </w:trPr>
        <w:tc>
          <w:tcPr>
            <w:tcW w:w="1260" w:type="dxa"/>
            <w:shd w:val="clear" w:color="33CC33" w:fill="00FF00"/>
            <w:vAlign w:val="center"/>
          </w:tcPr>
          <w:p w14:paraId="07C9FBA4" w14:textId="77777777" w:rsidR="002402CC" w:rsidRDefault="002402CC">
            <w:pPr>
              <w:spacing w:before="60" w:after="60"/>
              <w:rPr>
                <w:rFonts w:eastAsia="Calibri"/>
                <w:szCs w:val="24"/>
              </w:rPr>
            </w:pPr>
          </w:p>
        </w:tc>
        <w:tc>
          <w:tcPr>
            <w:tcW w:w="7095" w:type="dxa"/>
            <w:shd w:val="clear" w:color="auto" w:fill="auto"/>
            <w:vAlign w:val="center"/>
          </w:tcPr>
          <w:p w14:paraId="6AC77C0C" w14:textId="77777777" w:rsidR="002402CC"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1EEBE6A" w14:textId="77777777" w:rsidR="002402CC" w:rsidRDefault="00000000">
            <w:pPr>
              <w:spacing w:before="60" w:after="60"/>
              <w:ind w:left="50"/>
              <w:rPr>
                <w:rFonts w:eastAsia="Calibri"/>
                <w:szCs w:val="24"/>
              </w:rPr>
            </w:pPr>
            <w:r w:rsidRPr="00FB778F">
              <w:rPr>
                <w:rFonts w:eastAsia="Calibri"/>
                <w:szCs w:val="24"/>
              </w:rPr>
              <w:t>Subsections applicable to this service fully attained</w:t>
            </w:r>
          </w:p>
        </w:tc>
      </w:tr>
      <w:tr w:rsidR="00C90523" w14:paraId="68ADA724" w14:textId="77777777">
        <w:trPr>
          <w:cantSplit/>
          <w:trHeight w:val="964"/>
        </w:trPr>
        <w:tc>
          <w:tcPr>
            <w:tcW w:w="1260" w:type="dxa"/>
            <w:tcBorders>
              <w:bottom w:val="single" w:sz="4" w:space="0" w:color="000000"/>
            </w:tcBorders>
            <w:shd w:val="clear" w:color="auto" w:fill="FFFF00"/>
            <w:vAlign w:val="center"/>
          </w:tcPr>
          <w:p w14:paraId="3DB649D7" w14:textId="77777777" w:rsidR="002402CC" w:rsidRDefault="002402CC">
            <w:pPr>
              <w:spacing w:before="60" w:after="60"/>
              <w:rPr>
                <w:rFonts w:eastAsia="Calibri"/>
                <w:szCs w:val="24"/>
              </w:rPr>
            </w:pPr>
          </w:p>
        </w:tc>
        <w:tc>
          <w:tcPr>
            <w:tcW w:w="7095" w:type="dxa"/>
            <w:shd w:val="clear" w:color="auto" w:fill="auto"/>
            <w:vAlign w:val="center"/>
          </w:tcPr>
          <w:p w14:paraId="153B8A6F" w14:textId="77777777" w:rsidR="002402CC"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83A892F" w14:textId="77777777" w:rsidR="002402CC"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90523" w14:paraId="227A0C16" w14:textId="77777777">
        <w:trPr>
          <w:cantSplit/>
          <w:trHeight w:val="964"/>
        </w:trPr>
        <w:tc>
          <w:tcPr>
            <w:tcW w:w="1260" w:type="dxa"/>
            <w:tcBorders>
              <w:bottom w:val="single" w:sz="4" w:space="0" w:color="000000"/>
            </w:tcBorders>
            <w:shd w:val="clear" w:color="auto" w:fill="FFC800"/>
            <w:vAlign w:val="center"/>
          </w:tcPr>
          <w:p w14:paraId="68F1EC76" w14:textId="77777777" w:rsidR="002402CC" w:rsidRDefault="002402CC">
            <w:pPr>
              <w:spacing w:before="60" w:after="60"/>
              <w:rPr>
                <w:rFonts w:eastAsia="Calibri"/>
                <w:szCs w:val="24"/>
              </w:rPr>
            </w:pPr>
          </w:p>
        </w:tc>
        <w:tc>
          <w:tcPr>
            <w:tcW w:w="7095" w:type="dxa"/>
            <w:tcBorders>
              <w:bottom w:val="single" w:sz="4" w:space="0" w:color="000000"/>
            </w:tcBorders>
            <w:shd w:val="clear" w:color="auto" w:fill="auto"/>
            <w:vAlign w:val="center"/>
          </w:tcPr>
          <w:p w14:paraId="240969A6" w14:textId="77777777" w:rsidR="002402CC"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826C5AC" w14:textId="77777777" w:rsidR="002402CC"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C90523" w14:paraId="2D8CDA25" w14:textId="77777777">
        <w:trPr>
          <w:cantSplit/>
          <w:trHeight w:val="964"/>
        </w:trPr>
        <w:tc>
          <w:tcPr>
            <w:tcW w:w="1260" w:type="dxa"/>
            <w:shd w:val="clear" w:color="auto" w:fill="FF0000"/>
            <w:vAlign w:val="center"/>
          </w:tcPr>
          <w:p w14:paraId="3F2E6F19" w14:textId="77777777" w:rsidR="002402CC" w:rsidRDefault="002402CC">
            <w:pPr>
              <w:spacing w:before="60" w:after="60"/>
              <w:rPr>
                <w:rFonts w:eastAsia="Calibri"/>
                <w:szCs w:val="24"/>
              </w:rPr>
            </w:pPr>
          </w:p>
        </w:tc>
        <w:tc>
          <w:tcPr>
            <w:tcW w:w="7095" w:type="dxa"/>
            <w:shd w:val="clear" w:color="auto" w:fill="auto"/>
            <w:vAlign w:val="center"/>
          </w:tcPr>
          <w:p w14:paraId="7368FA61" w14:textId="77777777" w:rsidR="002402CC"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5A5573" w14:textId="77777777" w:rsidR="002402CC"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0F998E38" w14:textId="77777777" w:rsidR="002402CC" w:rsidRDefault="00000000">
      <w:pPr>
        <w:pStyle w:val="Heading2"/>
        <w:spacing w:after="0"/>
        <w:rPr>
          <w:rFonts w:cs="Arial"/>
        </w:rPr>
      </w:pPr>
      <w:r>
        <w:rPr>
          <w:rFonts w:cs="Arial"/>
        </w:rPr>
        <w:t>General overview of the audit</w:t>
      </w:r>
    </w:p>
    <w:p w14:paraId="10F1A67B" w14:textId="77777777" w:rsidR="002402CC" w:rsidRDefault="00000000">
      <w:pPr>
        <w:spacing w:before="240" w:line="276" w:lineRule="auto"/>
        <w:rPr>
          <w:rFonts w:eastAsia="Calibri"/>
        </w:rPr>
      </w:pPr>
      <w:bookmarkStart w:id="13" w:name="GeneralOverview"/>
      <w:r w:rsidRPr="00A4268A">
        <w:rPr>
          <w:rFonts w:eastAsia="Calibri"/>
        </w:rPr>
        <w:t>Bert Sutcliffe Retirement Village is part of the Ryman group, and provides hospital (geriatric and medical), rest home and dementia levels of care for up to 120 residents in the care centre. A further 30 serviced apartments are certified for rest home-level care, giving the village a total capacity of 150 residents. At the time of the audit, there were a total of 106 residents in the care facility and six residents receiving care in serviced apartments.</w:t>
      </w:r>
    </w:p>
    <w:p w14:paraId="218C6FA3" w14:textId="77777777" w:rsidR="00C9052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contracts with Health New Zealand Te Whatu Ora. The audit process included the review of policies and procedures; the review of residents and staff files; observations; and interviews with residents, family/whānau, management and staff.</w:t>
      </w:r>
    </w:p>
    <w:p w14:paraId="23A38779" w14:textId="77777777" w:rsidR="00C90523" w:rsidRPr="00A4268A" w:rsidRDefault="00000000">
      <w:pPr>
        <w:spacing w:before="240" w:line="276" w:lineRule="auto"/>
        <w:rPr>
          <w:rFonts w:eastAsia="Calibri"/>
        </w:rPr>
      </w:pPr>
      <w:r w:rsidRPr="00A4268A">
        <w:rPr>
          <w:rFonts w:eastAsia="Calibri"/>
        </w:rPr>
        <w:t xml:space="preserve">The village manager has extensive management experience within Ryman and is supported by an acting clinical manager (registered nurse), a resident services manager, facilities manager, and a team of experienced staff. There are various members of the Ryman support office who provide oversight and support to the village and clinical managers. </w:t>
      </w:r>
    </w:p>
    <w:p w14:paraId="5390FCD4" w14:textId="77777777" w:rsidR="00C90523"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programme and in-service training programme are in place to provide staff with appropriate knowledge and skills to deliver care.</w:t>
      </w:r>
    </w:p>
    <w:p w14:paraId="7C4042FA" w14:textId="77777777" w:rsidR="00C90523" w:rsidRPr="00A4268A" w:rsidRDefault="00000000">
      <w:pPr>
        <w:spacing w:before="240" w:line="276" w:lineRule="auto"/>
        <w:rPr>
          <w:rFonts w:eastAsia="Calibri"/>
        </w:rPr>
      </w:pPr>
      <w:r w:rsidRPr="00A4268A">
        <w:rPr>
          <w:rFonts w:eastAsia="Calibri"/>
        </w:rPr>
        <w:t xml:space="preserve">This certification audit identified a shortfall around interRAI assessments. </w:t>
      </w:r>
    </w:p>
    <w:bookmarkEnd w:id="13"/>
    <w:p w14:paraId="48567B96" w14:textId="77777777" w:rsidR="00C90523" w:rsidRPr="00A4268A" w:rsidRDefault="00C90523">
      <w:pPr>
        <w:spacing w:before="240" w:line="276" w:lineRule="auto"/>
        <w:rPr>
          <w:rFonts w:eastAsia="Calibri"/>
        </w:rPr>
      </w:pPr>
    </w:p>
    <w:p w14:paraId="38D0129E" w14:textId="77777777" w:rsidR="002402CC" w:rsidRDefault="00000000"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42A4C79C" w14:textId="77777777" w:rsidTr="00A4268A">
        <w:trPr>
          <w:cantSplit/>
        </w:trPr>
        <w:tc>
          <w:tcPr>
            <w:tcW w:w="10206" w:type="dxa"/>
            <w:vAlign w:val="center"/>
          </w:tcPr>
          <w:p w14:paraId="21670B2C" w14:textId="77777777" w:rsidR="002402CC"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9244D50" w14:textId="77777777" w:rsidR="002402CC"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0B69DA0" w14:textId="77777777" w:rsidR="002402CC" w:rsidRPr="00621629" w:rsidRDefault="002402C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C9D95F" w14:textId="77777777" w:rsidR="002402CC"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68A8B0E" w14:textId="77777777" w:rsidR="002402CC" w:rsidRDefault="00000000">
      <w:pPr>
        <w:spacing w:before="240" w:line="276" w:lineRule="auto"/>
        <w:rPr>
          <w:rFonts w:eastAsia="Calibri"/>
        </w:rPr>
      </w:pPr>
      <w:bookmarkStart w:id="16" w:name="ConsumerRights"/>
      <w:r w:rsidRPr="00A4268A">
        <w:rPr>
          <w:rFonts w:eastAsia="Calibri"/>
        </w:rPr>
        <w:t xml:space="preserve">Bert Sutcliffe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4C057AB1" w14:textId="77777777" w:rsidR="00C9052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Bert Sutcliffe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 </w:t>
      </w:r>
    </w:p>
    <w:bookmarkEnd w:id="16"/>
    <w:p w14:paraId="0940B3A4" w14:textId="77777777" w:rsidR="00C90523" w:rsidRPr="00A4268A" w:rsidRDefault="00C90523">
      <w:pPr>
        <w:spacing w:before="240" w:line="276" w:lineRule="auto"/>
        <w:rPr>
          <w:rFonts w:eastAsia="Calibri"/>
        </w:rPr>
      </w:pPr>
    </w:p>
    <w:p w14:paraId="12385E2B" w14:textId="77777777" w:rsidR="002402CC"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51888A76" w14:textId="77777777" w:rsidTr="00A4268A">
        <w:trPr>
          <w:cantSplit/>
        </w:trPr>
        <w:tc>
          <w:tcPr>
            <w:tcW w:w="10206" w:type="dxa"/>
            <w:vAlign w:val="center"/>
          </w:tcPr>
          <w:p w14:paraId="178144F5" w14:textId="77777777" w:rsidR="002402CC"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53F1A5C" w14:textId="77777777" w:rsidR="002402CC" w:rsidRPr="00621629" w:rsidRDefault="002402C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E30D77" w14:textId="77777777" w:rsidR="002402CC"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34B0FF" w14:textId="77777777" w:rsidR="002402CC" w:rsidRDefault="00000000">
      <w:pPr>
        <w:spacing w:before="240" w:line="276" w:lineRule="auto"/>
        <w:rPr>
          <w:rFonts w:eastAsia="Calibri"/>
        </w:rPr>
      </w:pPr>
      <w:bookmarkStart w:id="19" w:name="OrganisationalManagement"/>
      <w:r w:rsidRPr="00A4268A">
        <w:rPr>
          <w:rFonts w:eastAsia="Calibri"/>
        </w:rPr>
        <w:t xml:space="preserve">Quality and risk management systems are fully embedded, with regular audits, incident analysis, benchmarking, and satisfaction surveys demonstrating favourable outcomes, confirming that the service operates in line with good practice. </w:t>
      </w:r>
    </w:p>
    <w:p w14:paraId="46772890" w14:textId="77777777" w:rsidR="00C90523" w:rsidRPr="00A4268A" w:rsidRDefault="00000000">
      <w:pPr>
        <w:spacing w:before="240" w:line="276" w:lineRule="auto"/>
        <w:rPr>
          <w:rFonts w:eastAsia="Calibri"/>
        </w:rPr>
      </w:pPr>
      <w:r w:rsidRPr="00A4268A">
        <w:rPr>
          <w:rFonts w:eastAsia="Calibri"/>
        </w:rPr>
        <w:lastRenderedPageBreak/>
        <w:t xml:space="preserve">There are robust staffing and rostering systems in place, with appropriate skill mix, management coverage seven days a week, and staff were observed to respond promptly to resident needs. A comprehensive training and competency programme is implemented, including dementia standards, medication competencies, interRAI training, and culturally responsive education reflecting the principles of Te Tiriti o Waitangi. Human resources processes are well documented, with evidence of safe recruitment, orientation, annual performance reviews, and ongoing support for staff wellbeing. </w:t>
      </w:r>
    </w:p>
    <w:p w14:paraId="645BF4F3" w14:textId="77777777" w:rsidR="00C90523"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p w14:paraId="36D109E9" w14:textId="77777777" w:rsidR="00C90523" w:rsidRPr="00A4268A" w:rsidRDefault="00000000">
      <w:pPr>
        <w:spacing w:before="240" w:line="276" w:lineRule="auto"/>
        <w:rPr>
          <w:rFonts w:eastAsia="Calibri"/>
        </w:rPr>
      </w:pPr>
      <w:r w:rsidRPr="00A4268A">
        <w:rPr>
          <w:rFonts w:eastAsia="Calibri"/>
        </w:rPr>
        <w:t>Services are planned, coordinated and are appropriate to the needs of the residents. The village manager and the clinical manager are responsible for the day-to-day operations. The organisational strategic plan informs the site-specific village operational objectives, which are reviewed on a regular basis.</w:t>
      </w:r>
    </w:p>
    <w:bookmarkEnd w:id="19"/>
    <w:p w14:paraId="0C75FE3F" w14:textId="77777777" w:rsidR="00C90523" w:rsidRPr="00A4268A" w:rsidRDefault="00C90523">
      <w:pPr>
        <w:spacing w:before="240" w:line="276" w:lineRule="auto"/>
        <w:rPr>
          <w:rFonts w:eastAsia="Calibri"/>
        </w:rPr>
      </w:pPr>
    </w:p>
    <w:p w14:paraId="25A77F1F" w14:textId="77777777" w:rsidR="002402CC"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17F698EA" w14:textId="77777777" w:rsidTr="00A4268A">
        <w:trPr>
          <w:cantSplit/>
        </w:trPr>
        <w:tc>
          <w:tcPr>
            <w:tcW w:w="10206" w:type="dxa"/>
            <w:vAlign w:val="center"/>
          </w:tcPr>
          <w:p w14:paraId="25C47FA3" w14:textId="77777777" w:rsidR="002402CC"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E614C9B" w14:textId="77777777" w:rsidR="002402CC" w:rsidRPr="00621629" w:rsidRDefault="002402C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C4BF94" w14:textId="77777777" w:rsidR="002402CC"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A54FE21" w14:textId="77777777" w:rsidR="002402CC"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long-term care plans are developed and implemented. The general practitioner or nurse practitioner completes a medical assessment on admission, and reviews occur thereafter on a regular basis. The residents’ files reviewed demonstrated evaluations are completed at least six-monthly. Residents have their needs met in a manner respecting their cultural values and beliefs. </w:t>
      </w:r>
    </w:p>
    <w:p w14:paraId="59A62FDF" w14:textId="77777777" w:rsidR="00C90523" w:rsidRPr="00A4268A" w:rsidRDefault="00000000" w:rsidP="00621629">
      <w:pPr>
        <w:spacing w:before="240" w:line="276" w:lineRule="auto"/>
        <w:rPr>
          <w:rFonts w:eastAsia="Calibri"/>
        </w:rPr>
      </w:pPr>
      <w:r w:rsidRPr="00A4268A">
        <w:rPr>
          <w:rFonts w:eastAsia="Calibri"/>
        </w:rPr>
        <w:lastRenderedPageBreak/>
        <w:t>There are policies and processes that describe medication management were aligned with accepted guidelines. Staff responsible for medication administration have completed annual competencies and education. All medication charts were completed correctly and evidenced allergies and sensitivities.</w:t>
      </w:r>
    </w:p>
    <w:p w14:paraId="57876FD4" w14:textId="77777777" w:rsidR="00C90523" w:rsidRPr="00A4268A" w:rsidRDefault="00000000"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a high degree of satisfaction with the meals provided. </w:t>
      </w:r>
    </w:p>
    <w:p w14:paraId="01D9EE7D" w14:textId="77777777" w:rsidR="00C90523"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throughout the facility. There is a varied activities programme tailored to meet residents’ needs in each area of the facility. Residents have a choice of activities that are meaningful to them. Residents are satisfied with the activities on offer. </w:t>
      </w:r>
    </w:p>
    <w:p w14:paraId="209ED60D" w14:textId="77777777" w:rsidR="00C90523"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088683C0" w14:textId="77777777" w:rsidR="00C90523" w:rsidRPr="00A4268A" w:rsidRDefault="00C90523" w:rsidP="00621629">
      <w:pPr>
        <w:spacing w:before="240" w:line="276" w:lineRule="auto"/>
        <w:rPr>
          <w:rFonts w:eastAsia="Calibri"/>
        </w:rPr>
      </w:pPr>
    </w:p>
    <w:p w14:paraId="2B790AC2" w14:textId="77777777" w:rsidR="002402CC"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04147A1E" w14:textId="77777777" w:rsidTr="00A4268A">
        <w:trPr>
          <w:cantSplit/>
        </w:trPr>
        <w:tc>
          <w:tcPr>
            <w:tcW w:w="10206" w:type="dxa"/>
            <w:vAlign w:val="center"/>
          </w:tcPr>
          <w:p w14:paraId="5D9E7C2E" w14:textId="77777777" w:rsidR="002402CC"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0EEA66" w14:textId="77777777" w:rsidR="002402CC" w:rsidRPr="00621629" w:rsidRDefault="002402C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B42FDEE" w14:textId="77777777" w:rsidR="002402CC"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9D7EAF" w14:textId="77777777" w:rsidR="002402CC"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special care unit (dementia)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5511B260" w14:textId="77777777" w:rsidR="00C90523"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w:t>
      </w:r>
      <w:r w:rsidRPr="00A4268A">
        <w:rPr>
          <w:rFonts w:eastAsia="Calibri"/>
        </w:rPr>
        <w:lastRenderedPageBreak/>
        <w:t>supplies for at least three days. A staff member trained in resuscitation skills and first aid is on duty at all times. The appropriate security measures are undertaken.</w:t>
      </w:r>
    </w:p>
    <w:bookmarkEnd w:id="25"/>
    <w:p w14:paraId="22F4EC8F" w14:textId="77777777" w:rsidR="00C90523" w:rsidRPr="00A4268A" w:rsidRDefault="00C90523">
      <w:pPr>
        <w:spacing w:before="240" w:line="276" w:lineRule="auto"/>
        <w:rPr>
          <w:rFonts w:eastAsia="Calibri"/>
        </w:rPr>
      </w:pPr>
    </w:p>
    <w:p w14:paraId="29240211" w14:textId="77777777" w:rsidR="002402CC"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6A0E531F" w14:textId="77777777" w:rsidTr="00A4268A">
        <w:trPr>
          <w:cantSplit/>
        </w:trPr>
        <w:tc>
          <w:tcPr>
            <w:tcW w:w="10206" w:type="dxa"/>
            <w:vAlign w:val="center"/>
          </w:tcPr>
          <w:p w14:paraId="65701107" w14:textId="77777777" w:rsidR="002402CC"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74A24FE" w14:textId="77777777" w:rsidR="002402CC" w:rsidRPr="00621629" w:rsidRDefault="002402C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79E9E3" w14:textId="77777777" w:rsidR="002402CC"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297CC2A" w14:textId="77777777" w:rsidR="002402CC"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and control programme is implemented and meets the needs of the organisation and provides information and resources to inform the staff. Documentation evidenced that relevant infection prevention and control education is provided to all staff as part of their orientation, and as part of the ongoing in-service education programme. Antimicrobial usage is monitored.</w:t>
      </w:r>
    </w:p>
    <w:p w14:paraId="5480436B" w14:textId="77777777" w:rsidR="00C90523"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analysed, evaluated, and shared with relevant personnel in a timely manner. Covid-19 response plans are in place, and the service has access to personal protective equipment supplies. There were four outbreaks reported since the previous audit and records reviewed confirmed these were managed in line with policy and reported appropriately.</w:t>
      </w:r>
    </w:p>
    <w:p w14:paraId="57A749BE" w14:textId="77777777" w:rsidR="00C90523"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47C4F11D" w14:textId="77777777" w:rsidR="00C90523" w:rsidRPr="00A4268A" w:rsidRDefault="00C90523">
      <w:pPr>
        <w:spacing w:before="240" w:line="276" w:lineRule="auto"/>
        <w:rPr>
          <w:rFonts w:eastAsia="Calibri"/>
        </w:rPr>
      </w:pPr>
    </w:p>
    <w:p w14:paraId="6962BF5F" w14:textId="77777777" w:rsidR="002402CC"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0523" w14:paraId="00F22C14" w14:textId="77777777" w:rsidTr="00A4268A">
        <w:trPr>
          <w:cantSplit/>
        </w:trPr>
        <w:tc>
          <w:tcPr>
            <w:tcW w:w="10206" w:type="dxa"/>
            <w:vAlign w:val="center"/>
          </w:tcPr>
          <w:p w14:paraId="0C54978D" w14:textId="77777777" w:rsidR="002402CC"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446AF40" w14:textId="77777777" w:rsidR="002402CC" w:rsidRPr="00621629" w:rsidRDefault="002402C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BDF87A" w14:textId="77777777" w:rsidR="002402CC"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591A0E1" w14:textId="77777777" w:rsidR="002402CC" w:rsidRDefault="00000000">
      <w:pPr>
        <w:spacing w:before="240" w:line="276" w:lineRule="auto"/>
        <w:rPr>
          <w:rFonts w:eastAsia="Calibri"/>
        </w:rPr>
      </w:pPr>
      <w:bookmarkStart w:id="31" w:name="InfectionPreventionAndControl"/>
      <w:r w:rsidRPr="00A4268A">
        <w:rPr>
          <w:rFonts w:eastAsia="Calibri"/>
        </w:rPr>
        <w:t xml:space="preserve">The clinical manager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1ED5B8A0" w14:textId="77777777" w:rsidR="00C90523" w:rsidRPr="00A4268A" w:rsidRDefault="00000000">
      <w:pPr>
        <w:spacing w:before="240" w:line="276" w:lineRule="auto"/>
        <w:rPr>
          <w:rFonts w:eastAsia="Calibri"/>
        </w:rPr>
      </w:pPr>
      <w:r w:rsidRPr="00A4268A">
        <w:rPr>
          <w:rFonts w:eastAsia="Calibri"/>
        </w:rPr>
        <w:t>Staff receive training and mentoring on strategies for individual residents to ensure restraint is not used.</w:t>
      </w:r>
    </w:p>
    <w:bookmarkEnd w:id="31"/>
    <w:p w14:paraId="08188BC0" w14:textId="77777777" w:rsidR="00C90523" w:rsidRPr="00A4268A" w:rsidRDefault="00C90523">
      <w:pPr>
        <w:spacing w:before="240" w:line="276" w:lineRule="auto"/>
        <w:rPr>
          <w:rFonts w:eastAsia="Calibri"/>
        </w:rPr>
      </w:pPr>
    </w:p>
    <w:p w14:paraId="30B5EC04" w14:textId="77777777" w:rsidR="002402CC" w:rsidRDefault="00000000" w:rsidP="000E6E02">
      <w:pPr>
        <w:pStyle w:val="Heading2"/>
        <w:spacing w:before="0"/>
        <w:rPr>
          <w:rFonts w:cs="Arial"/>
        </w:rPr>
      </w:pPr>
      <w:r>
        <w:rPr>
          <w:rFonts w:cs="Arial"/>
        </w:rPr>
        <w:lastRenderedPageBreak/>
        <w:t>Summary of attainment</w:t>
      </w:r>
    </w:p>
    <w:p w14:paraId="4E2C0FD2" w14:textId="77777777" w:rsidR="002402CC"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90523" w14:paraId="4E5ADACF" w14:textId="77777777">
        <w:tc>
          <w:tcPr>
            <w:tcW w:w="1384" w:type="dxa"/>
            <w:vAlign w:val="center"/>
          </w:tcPr>
          <w:p w14:paraId="0B67D83D" w14:textId="77777777" w:rsidR="002402CC"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9DF53AF" w14:textId="77777777" w:rsidR="002402CC" w:rsidRDefault="00000000">
            <w:pPr>
              <w:keepNext/>
              <w:spacing w:before="60" w:after="60"/>
              <w:jc w:val="center"/>
              <w:rPr>
                <w:rFonts w:cs="Arial"/>
                <w:b/>
                <w:sz w:val="20"/>
                <w:szCs w:val="20"/>
              </w:rPr>
            </w:pPr>
            <w:r>
              <w:rPr>
                <w:rFonts w:cs="Arial"/>
                <w:b/>
                <w:sz w:val="20"/>
                <w:szCs w:val="20"/>
              </w:rPr>
              <w:t>Continuous Improvement</w:t>
            </w:r>
          </w:p>
          <w:p w14:paraId="779A2AE6" w14:textId="77777777" w:rsidR="002402CC"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6CC0F3" w14:textId="77777777" w:rsidR="002402CC" w:rsidRDefault="00000000">
            <w:pPr>
              <w:keepNext/>
              <w:spacing w:before="60" w:after="60"/>
              <w:jc w:val="center"/>
              <w:rPr>
                <w:rFonts w:cs="Arial"/>
                <w:b/>
                <w:sz w:val="20"/>
                <w:szCs w:val="20"/>
              </w:rPr>
            </w:pPr>
            <w:r>
              <w:rPr>
                <w:rFonts w:cs="Arial"/>
                <w:b/>
                <w:sz w:val="20"/>
                <w:szCs w:val="20"/>
              </w:rPr>
              <w:t>Fully Attained</w:t>
            </w:r>
          </w:p>
          <w:p w14:paraId="17330CD0" w14:textId="77777777" w:rsidR="002402CC"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C7F35A5" w14:textId="77777777" w:rsidR="002402CC" w:rsidRDefault="00000000">
            <w:pPr>
              <w:keepNext/>
              <w:spacing w:before="60" w:after="60"/>
              <w:jc w:val="center"/>
              <w:rPr>
                <w:rFonts w:cs="Arial"/>
                <w:b/>
                <w:sz w:val="20"/>
                <w:szCs w:val="20"/>
              </w:rPr>
            </w:pPr>
            <w:r>
              <w:rPr>
                <w:rFonts w:cs="Arial"/>
                <w:b/>
                <w:sz w:val="20"/>
                <w:szCs w:val="20"/>
              </w:rPr>
              <w:t>Partially Attained Negligible Risk</w:t>
            </w:r>
          </w:p>
          <w:p w14:paraId="5739C99D" w14:textId="77777777" w:rsidR="002402CC"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EF88199" w14:textId="77777777" w:rsidR="002402CC" w:rsidRDefault="00000000">
            <w:pPr>
              <w:keepNext/>
              <w:spacing w:before="60" w:after="60"/>
              <w:jc w:val="center"/>
              <w:rPr>
                <w:rFonts w:cs="Arial"/>
                <w:b/>
                <w:sz w:val="20"/>
                <w:szCs w:val="20"/>
              </w:rPr>
            </w:pPr>
            <w:r>
              <w:rPr>
                <w:rFonts w:cs="Arial"/>
                <w:b/>
                <w:sz w:val="20"/>
                <w:szCs w:val="20"/>
              </w:rPr>
              <w:t>Partially Attained Low Risk</w:t>
            </w:r>
          </w:p>
          <w:p w14:paraId="7E90A431" w14:textId="77777777" w:rsidR="002402CC"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DF7F54C" w14:textId="77777777" w:rsidR="002402CC" w:rsidRDefault="00000000">
            <w:pPr>
              <w:keepNext/>
              <w:spacing w:before="60" w:after="60"/>
              <w:jc w:val="center"/>
              <w:rPr>
                <w:rFonts w:cs="Arial"/>
                <w:b/>
                <w:sz w:val="20"/>
                <w:szCs w:val="20"/>
              </w:rPr>
            </w:pPr>
            <w:r>
              <w:rPr>
                <w:rFonts w:cs="Arial"/>
                <w:b/>
                <w:sz w:val="20"/>
                <w:szCs w:val="20"/>
              </w:rPr>
              <w:t>Partially Attained Moderate Risk</w:t>
            </w:r>
          </w:p>
          <w:p w14:paraId="7C8A2412" w14:textId="77777777" w:rsidR="002402CC"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A96C0F8" w14:textId="77777777" w:rsidR="002402CC" w:rsidRDefault="00000000">
            <w:pPr>
              <w:keepNext/>
              <w:spacing w:before="60" w:after="60"/>
              <w:jc w:val="center"/>
              <w:rPr>
                <w:rFonts w:cs="Arial"/>
                <w:b/>
                <w:sz w:val="20"/>
                <w:szCs w:val="20"/>
              </w:rPr>
            </w:pPr>
            <w:r>
              <w:rPr>
                <w:rFonts w:cs="Arial"/>
                <w:b/>
                <w:sz w:val="20"/>
                <w:szCs w:val="20"/>
              </w:rPr>
              <w:t>Partially Attained High Risk</w:t>
            </w:r>
          </w:p>
          <w:p w14:paraId="6475E2CD" w14:textId="77777777" w:rsidR="002402CC"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98AC437" w14:textId="77777777" w:rsidR="002402CC" w:rsidRDefault="00000000">
            <w:pPr>
              <w:keepNext/>
              <w:spacing w:before="60" w:after="60"/>
              <w:jc w:val="center"/>
              <w:rPr>
                <w:rFonts w:cs="Arial"/>
                <w:b/>
                <w:sz w:val="20"/>
                <w:szCs w:val="20"/>
              </w:rPr>
            </w:pPr>
            <w:r>
              <w:rPr>
                <w:rFonts w:cs="Arial"/>
                <w:b/>
                <w:sz w:val="20"/>
                <w:szCs w:val="20"/>
              </w:rPr>
              <w:t>Partially Attained Critical Risk</w:t>
            </w:r>
          </w:p>
          <w:p w14:paraId="7B96417A" w14:textId="77777777" w:rsidR="002402CC" w:rsidRDefault="00000000">
            <w:pPr>
              <w:keepNext/>
              <w:spacing w:before="60" w:after="60"/>
              <w:jc w:val="center"/>
              <w:rPr>
                <w:rFonts w:cs="Arial"/>
                <w:b/>
                <w:sz w:val="20"/>
                <w:szCs w:val="20"/>
              </w:rPr>
            </w:pPr>
            <w:r>
              <w:rPr>
                <w:rFonts w:cs="Arial"/>
                <w:b/>
                <w:sz w:val="20"/>
                <w:szCs w:val="20"/>
              </w:rPr>
              <w:t>(PA Critical)</w:t>
            </w:r>
          </w:p>
        </w:tc>
      </w:tr>
      <w:tr w:rsidR="00C90523" w14:paraId="3B94CF11" w14:textId="77777777">
        <w:tc>
          <w:tcPr>
            <w:tcW w:w="1384" w:type="dxa"/>
            <w:vAlign w:val="center"/>
          </w:tcPr>
          <w:p w14:paraId="0E8909D9" w14:textId="77777777" w:rsidR="002402CC" w:rsidRDefault="00000000">
            <w:pPr>
              <w:keepNext/>
              <w:spacing w:before="60" w:after="60"/>
              <w:rPr>
                <w:rFonts w:cs="Arial"/>
                <w:b/>
                <w:sz w:val="20"/>
                <w:szCs w:val="20"/>
              </w:rPr>
            </w:pPr>
            <w:r>
              <w:rPr>
                <w:rFonts w:cs="Arial"/>
                <w:b/>
                <w:sz w:val="20"/>
                <w:szCs w:val="20"/>
              </w:rPr>
              <w:t>Subsection</w:t>
            </w:r>
          </w:p>
        </w:tc>
        <w:tc>
          <w:tcPr>
            <w:tcW w:w="1701" w:type="dxa"/>
            <w:vAlign w:val="center"/>
          </w:tcPr>
          <w:p w14:paraId="3A4B8AB8" w14:textId="77777777" w:rsidR="002402CC"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F159A38" w14:textId="77777777" w:rsidR="002402CC"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ACA4D54" w14:textId="77777777" w:rsidR="002402CC"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057A70" w14:textId="77777777" w:rsidR="002402CC"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336FC51" w14:textId="77777777" w:rsidR="002402CC"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7AA344" w14:textId="77777777" w:rsidR="002402CC"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ED63AA6" w14:textId="77777777" w:rsidR="002402CC"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90523" w14:paraId="33CF2149" w14:textId="77777777">
        <w:tc>
          <w:tcPr>
            <w:tcW w:w="1384" w:type="dxa"/>
            <w:vAlign w:val="center"/>
          </w:tcPr>
          <w:p w14:paraId="56D89412" w14:textId="77777777" w:rsidR="002402CC" w:rsidRDefault="00000000">
            <w:pPr>
              <w:keepNext/>
              <w:spacing w:before="60" w:after="60"/>
              <w:rPr>
                <w:rFonts w:cs="Arial"/>
                <w:b/>
                <w:sz w:val="20"/>
                <w:szCs w:val="20"/>
              </w:rPr>
            </w:pPr>
            <w:r>
              <w:rPr>
                <w:rFonts w:cs="Arial"/>
                <w:b/>
                <w:sz w:val="20"/>
                <w:szCs w:val="20"/>
              </w:rPr>
              <w:t>Criteria</w:t>
            </w:r>
          </w:p>
        </w:tc>
        <w:tc>
          <w:tcPr>
            <w:tcW w:w="1701" w:type="dxa"/>
            <w:vAlign w:val="center"/>
          </w:tcPr>
          <w:p w14:paraId="4DB548A9" w14:textId="77777777" w:rsidR="002402CC"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EB1583B" w14:textId="77777777" w:rsidR="002402CC"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492AB4C" w14:textId="77777777" w:rsidR="002402CC"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9C2509B" w14:textId="77777777" w:rsidR="002402CC"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E9B4DE2" w14:textId="77777777" w:rsidR="002402CC"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707AF72" w14:textId="77777777" w:rsidR="002402CC"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E261D0" w14:textId="77777777" w:rsidR="002402CC"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3CB441" w14:textId="77777777" w:rsidR="002402CC" w:rsidRDefault="002402C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90523" w14:paraId="617620D1" w14:textId="77777777">
        <w:tc>
          <w:tcPr>
            <w:tcW w:w="1384" w:type="dxa"/>
            <w:vAlign w:val="center"/>
          </w:tcPr>
          <w:p w14:paraId="2FDBE713" w14:textId="77777777" w:rsidR="002402CC"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3C85FE" w14:textId="77777777" w:rsidR="002402CC" w:rsidRDefault="00000000">
            <w:pPr>
              <w:keepNext/>
              <w:spacing w:before="60" w:after="60"/>
              <w:jc w:val="center"/>
              <w:rPr>
                <w:rFonts w:cs="Arial"/>
                <w:b/>
                <w:sz w:val="20"/>
                <w:szCs w:val="20"/>
              </w:rPr>
            </w:pPr>
            <w:r>
              <w:rPr>
                <w:rFonts w:cs="Arial"/>
                <w:b/>
                <w:sz w:val="20"/>
                <w:szCs w:val="20"/>
              </w:rPr>
              <w:t>Unattained Negligible Risk</w:t>
            </w:r>
          </w:p>
          <w:p w14:paraId="06ED1CB2" w14:textId="77777777" w:rsidR="002402CC"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1728DB6" w14:textId="77777777" w:rsidR="002402CC" w:rsidRDefault="00000000">
            <w:pPr>
              <w:keepNext/>
              <w:spacing w:before="60" w:after="60"/>
              <w:jc w:val="center"/>
              <w:rPr>
                <w:rFonts w:cs="Arial"/>
                <w:b/>
                <w:sz w:val="20"/>
                <w:szCs w:val="20"/>
              </w:rPr>
            </w:pPr>
            <w:r>
              <w:rPr>
                <w:rFonts w:cs="Arial"/>
                <w:b/>
                <w:sz w:val="20"/>
                <w:szCs w:val="20"/>
              </w:rPr>
              <w:t>Unattained Low Risk</w:t>
            </w:r>
          </w:p>
          <w:p w14:paraId="32B37009" w14:textId="77777777" w:rsidR="002402CC"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8DDD8D8" w14:textId="77777777" w:rsidR="002402CC" w:rsidRDefault="00000000">
            <w:pPr>
              <w:keepNext/>
              <w:spacing w:before="60" w:after="60"/>
              <w:jc w:val="center"/>
              <w:rPr>
                <w:rFonts w:cs="Arial"/>
                <w:b/>
                <w:sz w:val="20"/>
                <w:szCs w:val="20"/>
              </w:rPr>
            </w:pPr>
            <w:r>
              <w:rPr>
                <w:rFonts w:cs="Arial"/>
                <w:b/>
                <w:sz w:val="20"/>
                <w:szCs w:val="20"/>
              </w:rPr>
              <w:t>Unattained Moderate Risk</w:t>
            </w:r>
          </w:p>
          <w:p w14:paraId="61D4AC8F" w14:textId="77777777" w:rsidR="002402CC"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6ECDED7" w14:textId="77777777" w:rsidR="002402CC" w:rsidRDefault="00000000">
            <w:pPr>
              <w:keepNext/>
              <w:spacing w:before="60" w:after="60"/>
              <w:jc w:val="center"/>
              <w:rPr>
                <w:rFonts w:cs="Arial"/>
                <w:b/>
                <w:sz w:val="20"/>
                <w:szCs w:val="20"/>
              </w:rPr>
            </w:pPr>
            <w:r>
              <w:rPr>
                <w:rFonts w:cs="Arial"/>
                <w:b/>
                <w:sz w:val="20"/>
                <w:szCs w:val="20"/>
              </w:rPr>
              <w:t>Unattained High Risk</w:t>
            </w:r>
          </w:p>
          <w:p w14:paraId="382D9F5E" w14:textId="77777777" w:rsidR="002402CC"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947BB01" w14:textId="77777777" w:rsidR="002402CC" w:rsidRDefault="00000000">
            <w:pPr>
              <w:keepNext/>
              <w:spacing w:before="60" w:after="60"/>
              <w:jc w:val="center"/>
              <w:rPr>
                <w:rFonts w:cs="Arial"/>
                <w:b/>
                <w:sz w:val="20"/>
                <w:szCs w:val="20"/>
              </w:rPr>
            </w:pPr>
            <w:r>
              <w:rPr>
                <w:rFonts w:cs="Arial"/>
                <w:b/>
                <w:sz w:val="20"/>
                <w:szCs w:val="20"/>
              </w:rPr>
              <w:t>Unattained Critical Risk</w:t>
            </w:r>
          </w:p>
          <w:p w14:paraId="5FDDF7BE" w14:textId="77777777" w:rsidR="002402CC" w:rsidRDefault="00000000">
            <w:pPr>
              <w:keepNext/>
              <w:spacing w:before="60" w:after="60"/>
              <w:jc w:val="center"/>
              <w:rPr>
                <w:rFonts w:cs="Arial"/>
                <w:b/>
                <w:sz w:val="20"/>
                <w:szCs w:val="20"/>
              </w:rPr>
            </w:pPr>
            <w:r>
              <w:rPr>
                <w:rFonts w:cs="Arial"/>
                <w:b/>
                <w:sz w:val="20"/>
                <w:szCs w:val="20"/>
              </w:rPr>
              <w:t>(UA Critical)</w:t>
            </w:r>
          </w:p>
        </w:tc>
      </w:tr>
      <w:tr w:rsidR="00C90523" w14:paraId="48E46914" w14:textId="77777777">
        <w:tc>
          <w:tcPr>
            <w:tcW w:w="1384" w:type="dxa"/>
            <w:vAlign w:val="center"/>
          </w:tcPr>
          <w:p w14:paraId="0BD5E83E" w14:textId="77777777" w:rsidR="002402CC" w:rsidRDefault="00000000">
            <w:pPr>
              <w:keepNext/>
              <w:spacing w:before="60" w:after="60"/>
              <w:rPr>
                <w:rFonts w:cs="Arial"/>
                <w:b/>
                <w:sz w:val="20"/>
                <w:szCs w:val="20"/>
              </w:rPr>
            </w:pPr>
            <w:r>
              <w:rPr>
                <w:rFonts w:cs="Arial"/>
                <w:b/>
                <w:sz w:val="20"/>
                <w:szCs w:val="20"/>
              </w:rPr>
              <w:t>Subsection</w:t>
            </w:r>
          </w:p>
        </w:tc>
        <w:tc>
          <w:tcPr>
            <w:tcW w:w="1701" w:type="dxa"/>
            <w:vAlign w:val="center"/>
          </w:tcPr>
          <w:p w14:paraId="283B3EBC" w14:textId="77777777" w:rsidR="002402CC"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E26C38" w14:textId="77777777" w:rsidR="002402CC"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5E637B" w14:textId="77777777" w:rsidR="002402CC"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01B35EE" w14:textId="77777777" w:rsidR="002402CC"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EF0D9E9" w14:textId="77777777" w:rsidR="002402CC"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90523" w14:paraId="7F3B8CA2" w14:textId="77777777">
        <w:tc>
          <w:tcPr>
            <w:tcW w:w="1384" w:type="dxa"/>
            <w:vAlign w:val="center"/>
          </w:tcPr>
          <w:p w14:paraId="7DA00F43" w14:textId="77777777" w:rsidR="002402CC" w:rsidRDefault="00000000">
            <w:pPr>
              <w:spacing w:before="60" w:after="60"/>
              <w:rPr>
                <w:rFonts w:cs="Arial"/>
                <w:b/>
                <w:sz w:val="20"/>
                <w:szCs w:val="20"/>
              </w:rPr>
            </w:pPr>
            <w:r>
              <w:rPr>
                <w:rFonts w:cs="Arial"/>
                <w:b/>
                <w:sz w:val="20"/>
                <w:szCs w:val="20"/>
              </w:rPr>
              <w:t>Criteria</w:t>
            </w:r>
          </w:p>
        </w:tc>
        <w:tc>
          <w:tcPr>
            <w:tcW w:w="1701" w:type="dxa"/>
            <w:vAlign w:val="center"/>
          </w:tcPr>
          <w:p w14:paraId="007665DE" w14:textId="77777777" w:rsidR="002402CC"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92EB81C" w14:textId="77777777" w:rsidR="002402CC"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59E86E" w14:textId="77777777" w:rsidR="002402CC"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36BC98" w14:textId="77777777" w:rsidR="002402CC"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2EDFE25" w14:textId="77777777" w:rsidR="002402CC"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8F0FBA" w14:textId="77777777" w:rsidR="002402CC"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D5B1A20" w14:textId="77777777" w:rsidR="002402CC"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3B06295F" w14:textId="77777777" w:rsidR="002402CC"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6E02FE" w14:textId="77777777" w:rsidR="002402CC"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C90523" w14:paraId="3C9868AF" w14:textId="77777777">
        <w:tc>
          <w:tcPr>
            <w:tcW w:w="0" w:type="auto"/>
          </w:tcPr>
          <w:p w14:paraId="7575B02C" w14:textId="77777777" w:rsidR="002402CC"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EF48963"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47691D"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90523" w14:paraId="39B39E91" w14:textId="77777777">
        <w:tc>
          <w:tcPr>
            <w:tcW w:w="0" w:type="auto"/>
          </w:tcPr>
          <w:p w14:paraId="3DF4D1AC" w14:textId="77777777" w:rsidR="002402CC"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41C93FD" w14:textId="77777777" w:rsidR="002402CC"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7664F51" w14:textId="77777777" w:rsidR="002402CC" w:rsidRPr="00BE00C7" w:rsidRDefault="002402CC" w:rsidP="00BE00C7">
            <w:pPr>
              <w:pStyle w:val="OutcomeDescription"/>
              <w:spacing w:before="120" w:after="120"/>
              <w:rPr>
                <w:rFonts w:cs="Arial"/>
                <w:lang w:eastAsia="en-NZ"/>
              </w:rPr>
            </w:pPr>
          </w:p>
        </w:tc>
        <w:tc>
          <w:tcPr>
            <w:tcW w:w="0" w:type="auto"/>
          </w:tcPr>
          <w:p w14:paraId="7AFD9A62"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189823" w14:textId="77777777" w:rsidR="002402CC" w:rsidRPr="00BE00C7" w:rsidRDefault="00000000"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unspoken and unconscious fears that can occur in residents and their family/whānau. Policies are developed in partnership with relevant teams, whānau representation, and cultural groups. The current policies and documents were developed by a Ryman quality team member, who identifies as Māori and Pasifika. Policies supporting Māori mana motuhake and cultural safety are actively implemented across the service. Policies and procedures are developed in partnership with Māori team members, kaumātua, and cultural groups, and are reviewed regularly to ensure alignment with Te Tiriti o Waitangi principles. Additionally, a dedicated Nau Mai Haere Mai Māori Cultural Resource SharePoint page, developed with internal and external collaboration, including kaumātua, and team members who identify as Māori. Residents and family/whānau can access all policies.</w:t>
            </w:r>
          </w:p>
          <w:p w14:paraId="40915E57"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Hauora Māori Plan Partnership and Te Tiriti o Waitangi policy is documented to guide practice and the services provided by staff at Bert Sutcliffe Retirement Village (hereafter referred to as Bert Sutcliffe) and training is based on this. The Hauora Māori Plan Partnership identifies the service is committed to enabling the achievement of equitable health outcomes between Māori and non-Māori residents. This is achieved by </w:t>
            </w:r>
            <w:r w:rsidRPr="00BE00C7">
              <w:rPr>
                <w:rFonts w:cs="Arial"/>
                <w:lang w:eastAsia="en-NZ"/>
              </w:rPr>
              <w:lastRenderedPageBreak/>
              <w:t>applying the Te Tiriti o Waitangi principles and enabling residents and family/whānau to provide input into care planning, activities, and dietary needs. At the time of the audit the service had staff who identify as Māori. There were no residents in the care facility who identify as Māori, although there are residents in the independent living areas of the village that the management team are able to consult with. The service has links with local schools who visit to perform kapa haka.</w:t>
            </w:r>
          </w:p>
          <w:p w14:paraId="23DD118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Hauora Māori Plan Partnership and Te Tiriti o Waitangi policy identifies the service is committed to enabling the achievement of equitable health outcomes between Māori and non-Māori residents. This is achieved by applying Te Tiriti o Waitangi principles and enabling residents and their whānau to direct their care in the way they choose. The service has developed a site-specific Māori health plan. The document is based around implementing the principles of Te Whare Tapa Whā, which will ensure the wellbeing of the resident and their whānau are enabled. </w:t>
            </w:r>
          </w:p>
          <w:p w14:paraId="72F69E1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managers (the village manager, resident services manager, acting clinical manager, and regional clinical lead) and 20 staff (seven registered nurses (RNs), five caregivers, two diversional therapists, one activities and lifestyle coordinator, one chef, one laundry staff member, one housekeeper and two gardeners) described examples of providing culturally safe services in relation to their role. </w:t>
            </w:r>
          </w:p>
          <w:p w14:paraId="7A1CCD92" w14:textId="77777777" w:rsidR="002402CC" w:rsidRPr="00BE00C7" w:rsidRDefault="00000000" w:rsidP="00BE00C7">
            <w:pPr>
              <w:pStyle w:val="OutcomeDescription"/>
              <w:spacing w:before="120" w:after="120"/>
              <w:rPr>
                <w:rFonts w:cs="Arial"/>
                <w:lang w:eastAsia="en-NZ"/>
              </w:rPr>
            </w:pPr>
            <w:r w:rsidRPr="00BE00C7">
              <w:rPr>
                <w:rFonts w:cs="Arial"/>
                <w:lang w:eastAsia="en-NZ"/>
              </w:rPr>
              <w:t>Interview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 includes ways in which the hui process can support culturally safe care and services. All staff are encouraged to participate in the education programme and to gain qualifications in relation to their role. A karakia was said before the opening meeting and waiata was sung at the closing meeting.</w:t>
            </w:r>
          </w:p>
          <w:p w14:paraId="3E0750CD" w14:textId="77777777" w:rsidR="002402CC" w:rsidRPr="00BE00C7" w:rsidRDefault="002402CC" w:rsidP="00BE00C7">
            <w:pPr>
              <w:pStyle w:val="OutcomeDescription"/>
              <w:spacing w:before="120" w:after="120"/>
              <w:rPr>
                <w:rFonts w:cs="Arial"/>
                <w:lang w:eastAsia="en-NZ"/>
              </w:rPr>
            </w:pPr>
          </w:p>
        </w:tc>
      </w:tr>
      <w:tr w:rsidR="00C90523" w14:paraId="07B625F9" w14:textId="77777777">
        <w:tc>
          <w:tcPr>
            <w:tcW w:w="0" w:type="auto"/>
          </w:tcPr>
          <w:p w14:paraId="3AD6EF34"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2A35F27"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0863D07" w14:textId="77777777" w:rsidR="002402CC" w:rsidRPr="00BE00C7" w:rsidRDefault="002402CC" w:rsidP="00BE00C7">
            <w:pPr>
              <w:pStyle w:val="OutcomeDescription"/>
              <w:spacing w:before="120" w:after="120"/>
              <w:rPr>
                <w:rFonts w:cs="Arial"/>
                <w:lang w:eastAsia="en-NZ"/>
              </w:rPr>
            </w:pPr>
          </w:p>
        </w:tc>
        <w:tc>
          <w:tcPr>
            <w:tcW w:w="0" w:type="auto"/>
          </w:tcPr>
          <w:p w14:paraId="28DFF19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42E7BF"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Ryman New Zealand have health plans for Pacific and Māori residents. The Providing Services for Pacific Elders and Other Ethnicities policy is </w:t>
            </w:r>
            <w:r w:rsidRPr="00BE00C7">
              <w:rPr>
                <w:rFonts w:cs="Arial"/>
                <w:lang w:eastAsia="en-NZ"/>
              </w:rPr>
              <w:lastRenderedPageBreak/>
              <w:t xml:space="preserve">documented. The service has Pacific linkages through their own staff with community activities, cultural celebrations, leaders, and church groups where relevant to residents’ preferences and needs. </w:t>
            </w:r>
          </w:p>
          <w:p w14:paraId="4BC15A56" w14:textId="77777777" w:rsidR="002402CC"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 On admission all residents state their ethnicity, which is recorded in their individual files. The unit coordinators and RNs advised that family/whānau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53B367D0"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any staff who identify as Pasifika through the employment process. Applicants who apply for positions are always provided with an opportunity to be interviewed. At the time of the audit there were staff who identified as Pasifika and when interviewed, confirmed management are supportive and use their skills within the team to connect with residents. </w:t>
            </w:r>
          </w:p>
          <w:p w14:paraId="24A276D9" w14:textId="77777777" w:rsidR="002402CC" w:rsidRPr="00BE00C7" w:rsidRDefault="002402CC" w:rsidP="00BE00C7">
            <w:pPr>
              <w:pStyle w:val="OutcomeDescription"/>
              <w:spacing w:before="120" w:after="120"/>
              <w:rPr>
                <w:rFonts w:cs="Arial"/>
                <w:lang w:eastAsia="en-NZ"/>
              </w:rPr>
            </w:pPr>
          </w:p>
        </w:tc>
      </w:tr>
      <w:tr w:rsidR="00C90523" w14:paraId="1FC2FF8F" w14:textId="77777777">
        <w:tc>
          <w:tcPr>
            <w:tcW w:w="0" w:type="auto"/>
          </w:tcPr>
          <w:p w14:paraId="71DB6B57"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9B1D70E"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93DDAD" w14:textId="77777777" w:rsidR="002402CC" w:rsidRPr="00BE00C7" w:rsidRDefault="002402CC" w:rsidP="00BE00C7">
            <w:pPr>
              <w:pStyle w:val="OutcomeDescription"/>
              <w:spacing w:before="120" w:after="120"/>
              <w:rPr>
                <w:rFonts w:cs="Arial"/>
                <w:lang w:eastAsia="en-NZ"/>
              </w:rPr>
            </w:pPr>
          </w:p>
        </w:tc>
        <w:tc>
          <w:tcPr>
            <w:tcW w:w="0" w:type="auto"/>
          </w:tcPr>
          <w:p w14:paraId="71ABE20D"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0C135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family/whānau meetings provide a forum for residents to discuss any concerns.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 Six family/whānau (one rest home, two hospital and three dementia level of care) and nine residents (four rest home and five hospital level of care) who were interviewed stated they felt their rights are upheld, and they are treated with dignity, respect, and kindness. The residents and family/whānau expressed they are encouraged to make </w:t>
            </w:r>
            <w:r w:rsidRPr="00BE00C7">
              <w:rPr>
                <w:rFonts w:cs="Arial"/>
                <w:lang w:eastAsia="en-NZ"/>
              </w:rPr>
              <w:lastRenderedPageBreak/>
              <w:t xml:space="preserve">their own choices. Interactions observed between staff and residents were respectful. </w:t>
            </w:r>
          </w:p>
          <w:p w14:paraId="6C4FE6B8" w14:textId="77777777" w:rsidR="002402CC" w:rsidRPr="00BE00C7" w:rsidRDefault="00000000"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be as independent as they can be. The service recognises Māori mana motuhake through the development of a Māori specific care plan to promote and respect independence and autonomy. Clinical staff described their commitment to supporting Māori residents (if there were any) and their whānau by identifying what is important to them, enabling self-determination and authority in decision-making that supports their health and wellbeing.</w:t>
            </w:r>
          </w:p>
          <w:p w14:paraId="50531E6C" w14:textId="77777777" w:rsidR="002402CC" w:rsidRPr="00BE00C7" w:rsidRDefault="002402CC" w:rsidP="00BE00C7">
            <w:pPr>
              <w:pStyle w:val="OutcomeDescription"/>
              <w:spacing w:before="120" w:after="120"/>
              <w:rPr>
                <w:rFonts w:cs="Arial"/>
                <w:lang w:eastAsia="en-NZ"/>
              </w:rPr>
            </w:pPr>
          </w:p>
        </w:tc>
      </w:tr>
      <w:tr w:rsidR="00C90523" w14:paraId="7C7B7B6E" w14:textId="77777777">
        <w:tc>
          <w:tcPr>
            <w:tcW w:w="0" w:type="auto"/>
          </w:tcPr>
          <w:p w14:paraId="16D2E12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31349BD"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600AB95" w14:textId="77777777" w:rsidR="002402CC" w:rsidRPr="00BE00C7" w:rsidRDefault="002402CC" w:rsidP="00BE00C7">
            <w:pPr>
              <w:pStyle w:val="OutcomeDescription"/>
              <w:spacing w:before="120" w:after="120"/>
              <w:rPr>
                <w:rFonts w:cs="Arial"/>
                <w:lang w:eastAsia="en-NZ"/>
              </w:rPr>
            </w:pPr>
          </w:p>
        </w:tc>
        <w:tc>
          <w:tcPr>
            <w:tcW w:w="0" w:type="auto"/>
          </w:tcPr>
          <w:p w14:paraId="62C33763"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0BD02"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Residents choose whether they would like family/whānau to be involved in their journey at Bert Sutcliffe. Interviews with staff confirmed they understand what Te Tiriti o Waitangi means to their practice and examples were provided in interview. There are a range of cultural safety policies in place, including access to services for kaumātua, tikanga Māori best practice, services to kaumātua and providing services for Pacific elders and other ethnic groups. Bert Sutcliffe has delivered training that is responsive to the diverse needs of people accessing services and training provided in 2024 and this has included sexuality/intimacy; informed consent; Code of Rights; intimacy and consent; abuse and neglect; advocacy; spirituality; cultural safety, and tikanga Māori. Matariki and Māori language week are celebrated throughout the village. </w:t>
            </w:r>
          </w:p>
          <w:p w14:paraId="46CFF315"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spirituality, counselling and chaplaincy policy is in place and is understood by care staff. Staff described how they implement a rights-based model of service provision through their focus on delivering a person-centred model of care. The recognition of values and beliefs policy is implemented, and staff interviewed could describe professional boundaries and practice in line with the policy. Privacy and independence were actively promoted, and the service was described as caring and responsive. Spiritual needs are identified, and interdenominational services are held. It was observed that residents are treated with dignity and respect. Staff were observed to use person-centred and respectful language with residents. Residents and </w:t>
            </w:r>
            <w:r w:rsidRPr="00BE00C7">
              <w:rPr>
                <w:rFonts w:cs="Arial"/>
                <w:lang w:eastAsia="en-NZ"/>
              </w:rPr>
              <w:lastRenderedPageBreak/>
              <w:t xml:space="preserve">family/whānau interviewed were positive about the service in relation to their values and beliefs being considered and met. Privacy is ensured and independence is encouraged. The storage and security of health information policy is implemented. </w:t>
            </w:r>
          </w:p>
          <w:p w14:paraId="32AD4220" w14:textId="77777777" w:rsidR="002402CC" w:rsidRPr="00BE00C7" w:rsidRDefault="00000000" w:rsidP="00BE00C7">
            <w:pPr>
              <w:pStyle w:val="OutcomeDescription"/>
              <w:spacing w:before="120" w:after="120"/>
              <w:rPr>
                <w:rFonts w:cs="Arial"/>
                <w:lang w:eastAsia="en-NZ"/>
              </w:rPr>
            </w:pPr>
            <w:r w:rsidRPr="00BE00C7">
              <w:rPr>
                <w:rFonts w:cs="Arial"/>
                <w:lang w:eastAsia="en-NZ"/>
              </w:rPr>
              <w:t>Orientation and ongoing education for staff covers the concepts of personal privacy and dignity. The care planning process is resident focused with resident and family/whānau input. Resident values, beliefs, and identity are captured in initial assessments, resident life experiences and identity map as part of the assessment and care planning process. This information forms the foundation of the resident’s care plan. Cultural assessments were evident in files reviewed. Electronic myRyman care plans identified residents’ preferred names. The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3BCE82C4" w14:textId="77777777" w:rsidR="002402CC" w:rsidRPr="00BE00C7" w:rsidRDefault="002402CC" w:rsidP="00BE00C7">
            <w:pPr>
              <w:pStyle w:val="OutcomeDescription"/>
              <w:spacing w:before="120" w:after="120"/>
              <w:rPr>
                <w:rFonts w:cs="Arial"/>
                <w:lang w:eastAsia="en-NZ"/>
              </w:rPr>
            </w:pPr>
          </w:p>
        </w:tc>
      </w:tr>
      <w:tr w:rsidR="00C90523" w14:paraId="0524F235" w14:textId="77777777">
        <w:tc>
          <w:tcPr>
            <w:tcW w:w="0" w:type="auto"/>
          </w:tcPr>
          <w:p w14:paraId="283B302F"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1B4536B"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F0E943" w14:textId="77777777" w:rsidR="002402CC" w:rsidRPr="00BE00C7" w:rsidRDefault="002402CC" w:rsidP="00BE00C7">
            <w:pPr>
              <w:pStyle w:val="OutcomeDescription"/>
              <w:spacing w:before="120" w:after="120"/>
              <w:rPr>
                <w:rFonts w:cs="Arial"/>
                <w:lang w:eastAsia="en-NZ"/>
              </w:rPr>
            </w:pPr>
          </w:p>
        </w:tc>
        <w:tc>
          <w:tcPr>
            <w:tcW w:w="0" w:type="auto"/>
          </w:tcPr>
          <w:p w14:paraId="1E31B4CB"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F1871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 and discrimination. The service aligns with the Code, which supports each resident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 and house rules is discussed during the new employee’s induction to the service and is signed by the new employee. 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w:t>
            </w:r>
          </w:p>
          <w:p w14:paraId="13D96CA8"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easily describe signs and symptoms of abuse they may witness and were aware of how to escalate their concerns. Staff, residents, family/whānau and the general practitioner GP) </w:t>
            </w:r>
            <w:r w:rsidRPr="00BE00C7">
              <w:rPr>
                <w:rFonts w:cs="Arial"/>
                <w:lang w:eastAsia="en-NZ"/>
              </w:rPr>
              <w:lastRenderedPageBreak/>
              <w:t xml:space="preserve">interviewed stated there was no evidence of abuse or neglect. Residents have enduring power of attorney (EPOA) for property and health and wellbeing documented in their files (sighted) where these have been activated. Residents have property documented and signed for at entry to the service. Residents and family/whānau have written information on residents’ possessions and accountability management of resident’s possessions within the resident’s signed service level agreement. The service implements a process to manage residents’ comfort funds. </w:t>
            </w:r>
          </w:p>
          <w:p w14:paraId="172A2C18" w14:textId="77777777" w:rsidR="002402CC" w:rsidRPr="00BE00C7" w:rsidRDefault="00000000" w:rsidP="00BE00C7">
            <w:pPr>
              <w:pStyle w:val="OutcomeDescription"/>
              <w:spacing w:before="120" w:after="120"/>
              <w:rPr>
                <w:rFonts w:cs="Arial"/>
                <w:lang w:eastAsia="en-NZ"/>
              </w:rPr>
            </w:pPr>
            <w:r w:rsidRPr="00BE00C7">
              <w:rPr>
                <w:rFonts w:cs="Arial"/>
                <w:lang w:eastAsia="en-NZ"/>
              </w:rPr>
              <w:t>Te Whare Tapa Whā is recognised and implemented in the workplace as part of staff wellbeing and to improve outcomes for Māori staff and for future Māori residents. The service provides education on cultural safety, cultural diversity, and boundaries. Cultural days are held to celebrate diversity. Staff complete education on orientation and annually as per the training plan on how to identify abuse and neglect. All residents interviewed confirmed staff are caring and responsive to their needs. Family/whānau interviewed confirmed the care provided to their family/whānau was of a high standard.</w:t>
            </w:r>
          </w:p>
          <w:p w14:paraId="47EA5E00" w14:textId="77777777" w:rsidR="002402CC" w:rsidRPr="00BE00C7" w:rsidRDefault="002402CC" w:rsidP="00BE00C7">
            <w:pPr>
              <w:pStyle w:val="OutcomeDescription"/>
              <w:spacing w:before="120" w:after="120"/>
              <w:rPr>
                <w:rFonts w:cs="Arial"/>
                <w:lang w:eastAsia="en-NZ"/>
              </w:rPr>
            </w:pPr>
          </w:p>
        </w:tc>
      </w:tr>
      <w:tr w:rsidR="00C90523" w14:paraId="71A9D8E4" w14:textId="77777777">
        <w:tc>
          <w:tcPr>
            <w:tcW w:w="0" w:type="auto"/>
          </w:tcPr>
          <w:p w14:paraId="756C845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F1CDF9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1BA2DF8" w14:textId="77777777" w:rsidR="002402CC" w:rsidRPr="00BE00C7" w:rsidRDefault="002402CC" w:rsidP="00BE00C7">
            <w:pPr>
              <w:pStyle w:val="OutcomeDescription"/>
              <w:spacing w:before="120" w:after="120"/>
              <w:rPr>
                <w:rFonts w:cs="Arial"/>
                <w:lang w:eastAsia="en-NZ"/>
              </w:rPr>
            </w:pPr>
          </w:p>
        </w:tc>
        <w:tc>
          <w:tcPr>
            <w:tcW w:w="0" w:type="auto"/>
          </w:tcPr>
          <w:p w14:paraId="0E8270F1"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338C1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 is provided to residents and family/whānau on admission and is also available on the Ryman website. Policies and procedures relating to accident, incidents, complaints, and open disclosure policy alert staff to their responsibility to notify family/whānau or EPOA of any accident or incident that occurs. All correspondence with family/whānau is documented in the myRyman resident file. The accident and incident forms reviewed identified family/whānau are kept informed of any adverse event. Family/whānau interviewed confirmed communication with them is maintained consistently and comprehensively, with any change or review of care escalated immediately. An interpreter policy and contact details of interpreters is available. Interpreter services are used where indicated. During the audit there were no residents who were unable to communicate in English. </w:t>
            </w:r>
          </w:p>
          <w:p w14:paraId="7D932812"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 use of staff as interpreter’s, family/whānau members, picture charts and online translation tools if required. Staff when interviewed gave examples of how they </w:t>
            </w:r>
            <w:r w:rsidRPr="00BE00C7">
              <w:rPr>
                <w:rFonts w:cs="Arial"/>
                <w:lang w:eastAsia="en-NZ"/>
              </w:rPr>
              <w:lastRenderedPageBreak/>
              <w:t xml:space="preserve">communicate with residents when there are difficulties for residents understanding information or directions. This included the use of body language, simple choices, patience, and direction if required. Staff also gave examples of residents who were extremely hard of hearing, with white boards used to communicate information.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11753E31" w14:textId="77777777" w:rsidR="002402CC"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including mental health services for older people. The service uses suppliers for training and resources, for example continence product supplier to ensure the right equipment is used. The delivery of care includes a multidisciplinary team review. Residents and family/whānau provide consent and are communicated with regarding services involved. The unit coordinator and RNs described an implemented process around providing residents with time for discussion around care, time to consider decisions, and opportunity for further discussion, if required. Family/whānau members interviewed stated they receive appropriate and timely notification to attend.</w:t>
            </w:r>
          </w:p>
          <w:p w14:paraId="59DF96D2" w14:textId="77777777" w:rsidR="002402CC" w:rsidRPr="00BE00C7" w:rsidRDefault="002402CC" w:rsidP="00BE00C7">
            <w:pPr>
              <w:pStyle w:val="OutcomeDescription"/>
              <w:spacing w:before="120" w:after="120"/>
              <w:rPr>
                <w:rFonts w:cs="Arial"/>
                <w:lang w:eastAsia="en-NZ"/>
              </w:rPr>
            </w:pPr>
          </w:p>
        </w:tc>
      </w:tr>
      <w:tr w:rsidR="00C90523" w14:paraId="297547D5" w14:textId="77777777">
        <w:tc>
          <w:tcPr>
            <w:tcW w:w="0" w:type="auto"/>
          </w:tcPr>
          <w:p w14:paraId="1BF2A488"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69EB911"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22E9BD7" w14:textId="77777777" w:rsidR="002402CC" w:rsidRPr="00BE00C7" w:rsidRDefault="002402CC" w:rsidP="00BE00C7">
            <w:pPr>
              <w:pStyle w:val="OutcomeDescription"/>
              <w:spacing w:before="120" w:after="120"/>
              <w:rPr>
                <w:rFonts w:cs="Arial"/>
                <w:lang w:eastAsia="en-NZ"/>
              </w:rPr>
            </w:pPr>
          </w:p>
        </w:tc>
        <w:tc>
          <w:tcPr>
            <w:tcW w:w="0" w:type="auto"/>
          </w:tcPr>
          <w:p w14:paraId="611D58B3"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E0C3D0" w14:textId="77777777" w:rsidR="002402CC" w:rsidRPr="00BE00C7" w:rsidRDefault="00000000" w:rsidP="00BE00C7">
            <w:pPr>
              <w:pStyle w:val="OutcomeDescription"/>
              <w:spacing w:before="120" w:after="120"/>
              <w:rPr>
                <w:rFonts w:cs="Arial"/>
                <w:lang w:eastAsia="en-NZ"/>
              </w:rPr>
            </w:pPr>
            <w:r w:rsidRPr="00BE00C7">
              <w:rPr>
                <w:rFonts w:cs="Arial"/>
                <w:lang w:eastAsia="en-NZ"/>
              </w:rPr>
              <w:t>The informed consent policy guides staff in obtaining informed consent for cares, outings, photographs, and vaccinations. Completed consent forms were sighted in residents’ files. These are either signed by the resident or their EPOA. Where the EPOA signs the consent, the resident is also involved in discussions. Residents and family/whānau confirm they are informed and given choices about their care and given time to make decisions. Where a resident chooses not to give their consent for certain cares, there is evidence in their file of extensive conversations with the resident and their family/whānau about the risks, but the resident has the choice to make decisions for themselves. The appropriate best practice tikanga guidelines are followed in relation to consent.</w:t>
            </w:r>
          </w:p>
          <w:p w14:paraId="72C4D4E8"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Advanced directives were sighted in residents’ files. These are also signed by the resident, their EPOA and the GP. The policy guides staff </w:t>
            </w:r>
            <w:r w:rsidRPr="00BE00C7">
              <w:rPr>
                <w:rFonts w:cs="Arial"/>
                <w:lang w:eastAsia="en-NZ"/>
              </w:rPr>
              <w:lastRenderedPageBreak/>
              <w:t>in adhering to tikanga in obtaining informed consent. All residents in the special care (dementia unit) had letters of assessment of mental incapacity by a certified medical professional for invoking EPOA for personal care and welfare.</w:t>
            </w:r>
          </w:p>
          <w:p w14:paraId="0428BA07" w14:textId="77777777" w:rsidR="002402CC" w:rsidRPr="00BE00C7" w:rsidRDefault="002402CC" w:rsidP="00BE00C7">
            <w:pPr>
              <w:pStyle w:val="OutcomeDescription"/>
              <w:spacing w:before="120" w:after="120"/>
              <w:rPr>
                <w:rFonts w:cs="Arial"/>
                <w:lang w:eastAsia="en-NZ"/>
              </w:rPr>
            </w:pPr>
          </w:p>
        </w:tc>
      </w:tr>
      <w:tr w:rsidR="00C90523" w14:paraId="2B6D5CF0" w14:textId="77777777">
        <w:tc>
          <w:tcPr>
            <w:tcW w:w="0" w:type="auto"/>
          </w:tcPr>
          <w:p w14:paraId="13516D14"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5D262AC"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20221F" w14:textId="77777777" w:rsidR="002402CC" w:rsidRPr="00BE00C7" w:rsidRDefault="002402CC" w:rsidP="00BE00C7">
            <w:pPr>
              <w:pStyle w:val="OutcomeDescription"/>
              <w:spacing w:before="120" w:after="120"/>
              <w:rPr>
                <w:rFonts w:cs="Arial"/>
                <w:lang w:eastAsia="en-NZ"/>
              </w:rPr>
            </w:pPr>
          </w:p>
        </w:tc>
        <w:tc>
          <w:tcPr>
            <w:tcW w:w="0" w:type="auto"/>
          </w:tcPr>
          <w:p w14:paraId="62C9DD98"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47045B" w14:textId="77777777" w:rsidR="002402CC" w:rsidRPr="00BE00C7" w:rsidRDefault="00000000" w:rsidP="00BE00C7">
            <w:pPr>
              <w:pStyle w:val="OutcomeDescription"/>
              <w:spacing w:before="120" w:after="120"/>
              <w:rPr>
                <w:rFonts w:cs="Arial"/>
                <w:lang w:eastAsia="en-NZ"/>
              </w:rPr>
            </w:pPr>
            <w:r w:rsidRPr="00BE00C7">
              <w:rPr>
                <w:rFonts w:cs="Arial"/>
                <w:lang w:eastAsia="en-NZ"/>
              </w:rPr>
              <w:t>The Ryman complaints policy is implemented.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as sighted in meeting minutes reviewed. Five complaints have been received in 2025 to date, and there were seven complaints received in 2024. The complaints reviewed evidenced acknowledgement of the lodged complaint and an investigation and communication with the complainants. No trends were identified. There is documented evidence of complaint resolution with positive outcomes documented from complainants in the five complaints reviewed. One complaint was made to the Health and Disability Commissioner in 2023. There has been no response from the Health and Disability Commissioner, and the service has advised the family/whānau to contact them again.</w:t>
            </w:r>
          </w:p>
          <w:p w14:paraId="407F05BA" w14:textId="77777777" w:rsidR="002402CC" w:rsidRPr="00BE00C7" w:rsidRDefault="00000000"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Resources for Māori (when admitted) who wish to complain are available to staff to assist Māori in the complaints process. The management team acknowledged the understanding that for Māori, there is a preference for face-to-face communication.</w:t>
            </w:r>
          </w:p>
          <w:p w14:paraId="640B9559" w14:textId="77777777" w:rsidR="002402CC" w:rsidRPr="00BE00C7" w:rsidRDefault="002402CC" w:rsidP="00BE00C7">
            <w:pPr>
              <w:pStyle w:val="OutcomeDescription"/>
              <w:spacing w:before="120" w:after="120"/>
              <w:rPr>
                <w:rFonts w:cs="Arial"/>
                <w:lang w:eastAsia="en-NZ"/>
              </w:rPr>
            </w:pPr>
          </w:p>
        </w:tc>
      </w:tr>
      <w:tr w:rsidR="00C90523" w14:paraId="5683A9DD" w14:textId="77777777">
        <w:tc>
          <w:tcPr>
            <w:tcW w:w="0" w:type="auto"/>
          </w:tcPr>
          <w:p w14:paraId="1D93225B" w14:textId="77777777" w:rsidR="002402CC"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099B542"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3CB614C" w14:textId="77777777" w:rsidR="002402CC" w:rsidRPr="00BE00C7" w:rsidRDefault="002402CC" w:rsidP="00BE00C7">
            <w:pPr>
              <w:pStyle w:val="OutcomeDescription"/>
              <w:spacing w:before="120" w:after="120"/>
              <w:rPr>
                <w:rFonts w:cs="Arial"/>
                <w:lang w:eastAsia="en-NZ"/>
              </w:rPr>
            </w:pPr>
          </w:p>
        </w:tc>
        <w:tc>
          <w:tcPr>
            <w:tcW w:w="0" w:type="auto"/>
          </w:tcPr>
          <w:p w14:paraId="7C605C8C"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CB730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Bert Sutcliffe is a Ryman Healthcare retirement village providing rest home, hospital, and dementia levels of care for up to 120 residents in the care centre. The facility is certified to provide rest home level of care in 30 serviced apartments. There are 41 rest home beds (dual purpose), 41 hospital level beds (dual-purpose), and two 19-bed secure dementia care units. There are no double or shared rooms. There was one </w:t>
            </w:r>
            <w:r w:rsidRPr="00BE00C7">
              <w:rPr>
                <w:rFonts w:cs="Arial"/>
                <w:lang w:eastAsia="en-NZ"/>
              </w:rPr>
              <w:lastRenderedPageBreak/>
              <w:t xml:space="preserve">married couple who were in single rooms. </w:t>
            </w:r>
          </w:p>
          <w:p w14:paraId="73098DDD"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106 residents in the care facility and six residents in serviced apartments: 33 residents at rest home level of care (including one respite); 44 hospital level residents (including six respite, one funded by the Accident Compensation Corporation [ACC] and one on long-term support chronic health conditions [LTS-CHC]). There were 29 residents across the two special care units. Aside from the residents on respite, ACC and LTL-CHC funding all remaining residents are on the age-related residential care (ARRC) agreement. </w:t>
            </w:r>
          </w:p>
          <w:p w14:paraId="509456D0" w14:textId="77777777" w:rsidR="002402CC" w:rsidRPr="00BE00C7" w:rsidRDefault="00000000" w:rsidP="00BE00C7">
            <w:pPr>
              <w:pStyle w:val="OutcomeDescription"/>
              <w:spacing w:before="120" w:after="120"/>
              <w:rPr>
                <w:rFonts w:cs="Arial"/>
                <w:lang w:eastAsia="en-NZ"/>
              </w:rPr>
            </w:pPr>
            <w:r w:rsidRPr="00BE00C7">
              <w:rPr>
                <w:rFonts w:cs="Arial"/>
                <w:lang w:eastAsia="en-NZ"/>
              </w:rPr>
              <w:t>Ryman Healthcare head office is based in Christchurch. There has been a recent change in organisational structure. Village managers’ report to the general manager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village managers operations on a weekly basis. Dashboards on the electronic systems provide a quick overview of performance around measuring key performance indicators (KPIs). The village manager presents weekly reports to the general manager operations, and chief operating officer against targets.</w:t>
            </w:r>
          </w:p>
          <w:p w14:paraId="65D34965" w14:textId="29FEECED" w:rsidR="002402CC"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equity, </w:t>
            </w:r>
            <w:r w:rsidR="00E12DFB">
              <w:rPr>
                <w:rFonts w:cs="Arial"/>
                <w:lang w:eastAsia="en-NZ"/>
              </w:rPr>
              <w:t xml:space="preserve">to </w:t>
            </w:r>
            <w:r w:rsidRPr="00BE00C7">
              <w:rPr>
                <w:rFonts w:cs="Arial"/>
                <w:lang w:eastAsia="en-NZ"/>
              </w:rPr>
              <w:t xml:space="preserve">improve Māori and people with disabilities wellbeing outcomes. Reports are regularly provided to the Board and senior leadership to address inequity as required. A dedicated Nau Mai Haere Mai Māori Cultural Resource SharePoint page, developed with internal and external collaboration, including kaumātua supports the Board. </w:t>
            </w:r>
          </w:p>
          <w:p w14:paraId="75B38DB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Training is in place to ensure competence with Te Tiriti o Waitangi, health equity, and cultural safety. The quality auditor incorporates cultural interactions and events to provide training on correct protocols and customs. The senior leadership team and Board members have received training in the Mihi Whakatau process. Mauri Oho Ryman’s </w:t>
            </w:r>
            <w:r w:rsidRPr="00BE00C7">
              <w:rPr>
                <w:rFonts w:cs="Arial"/>
                <w:lang w:eastAsia="en-NZ"/>
              </w:rPr>
              <w:lastRenderedPageBreak/>
              <w:t xml:space="preserve">Māori engagement strategy also includes objectives for developing learning modules specifically designed to meet the needs of the Board and Governance team. There is a clinical governance committee whose focus is the clinical aspects of operations. The clinical council sits under the clinical governance committee and is comprised of managers that are subject matter experts, leaders from the clinical, quality and risk teams and includes members of the senior leadership team. Terms of reference are available; this also contains the aim of the committees. </w:t>
            </w:r>
          </w:p>
          <w:p w14:paraId="04519B00" w14:textId="77777777" w:rsidR="002402CC" w:rsidRPr="00BE00C7" w:rsidRDefault="00000000" w:rsidP="00BE00C7">
            <w:pPr>
              <w:pStyle w:val="OutcomeDescription"/>
              <w:spacing w:before="120" w:after="120"/>
              <w:rPr>
                <w:rFonts w:cs="Arial"/>
                <w:lang w:eastAsia="en-NZ"/>
              </w:rPr>
            </w:pPr>
            <w:r w:rsidRPr="00BE00C7">
              <w:rPr>
                <w:rFonts w:cs="Arial"/>
                <w:lang w:eastAsia="en-NZ"/>
              </w:rPr>
              <w:t>As per the terms of reference of the clinical governance committee, they review and monitor, among others, audit results, resident satisfaction, complaints, mandatory reporting requirements, and clinical indicators for all villages. Ryman engages with residents and family/whānau through input into care planning. Resident and family/whānau feedback and satisfaction and improvements for the service are captured in the annual satisfaction surveys, through feedback forms, and through resident and family/whānau meetings. These avenues provide tāngata whaikaha the opportunity to provide feedback around how Bert Sutcliffe can deliver a service to improve outcomes and achieve equity for tāngata whaikaha. The Board, senior executive team, and village managers operations approve the Ryman organisational business plan. From this, the individual villages develop their own operational objectives.</w:t>
            </w:r>
          </w:p>
          <w:p w14:paraId="49B414E8"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Bert Sutcliffe business plan FY25/26 is based around Ryman strategic direction and reflect the values and philosophy of providing quality of care, manage internal and external risk, and sustainable financial results. There are village objectives documented with evidence of quarterly review of the objectives. New village objectives for 2025/2026 are expected to be reviewed quarterly against key milestones to measure village success. Performance of the service is monitored through satisfaction surveys, clinical indicators, staff incident reporting, audit results, complaints, resident, and staff input through feedback and meetings. All of this is discussed and reviewed from Board level down to village level, with corrective actions being filtered through all committees at all levels. </w:t>
            </w:r>
          </w:p>
          <w:p w14:paraId="1C92F42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at Bert Sutcliffe has extensive leadership and management experience with Ryman and has been in the role for 12 months. The village manager is supported by a clinical manager, whose role was being covered by an experienced acting </w:t>
            </w:r>
            <w:r w:rsidRPr="00BE00C7">
              <w:rPr>
                <w:rFonts w:cs="Arial"/>
                <w:lang w:eastAsia="en-NZ"/>
              </w:rPr>
              <w:lastRenderedPageBreak/>
              <w:t xml:space="preserve">clinical manager and resident services manager. The management team are supported to advance in the Ryman Leadership programme (Lead and Empower). </w:t>
            </w:r>
          </w:p>
          <w:p w14:paraId="4CAE51C4" w14:textId="77777777" w:rsidR="002402CC" w:rsidRPr="00BE00C7" w:rsidRDefault="002402CC" w:rsidP="00BE00C7">
            <w:pPr>
              <w:pStyle w:val="OutcomeDescription"/>
              <w:spacing w:before="120" w:after="120"/>
              <w:rPr>
                <w:rFonts w:cs="Arial"/>
                <w:lang w:eastAsia="en-NZ"/>
              </w:rPr>
            </w:pPr>
          </w:p>
        </w:tc>
      </w:tr>
      <w:tr w:rsidR="00C90523" w14:paraId="613DE71F" w14:textId="77777777">
        <w:tc>
          <w:tcPr>
            <w:tcW w:w="0" w:type="auto"/>
          </w:tcPr>
          <w:p w14:paraId="14185F13"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60422F0"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BD0C27" w14:textId="77777777" w:rsidR="002402CC" w:rsidRPr="00BE00C7" w:rsidRDefault="002402CC" w:rsidP="00BE00C7">
            <w:pPr>
              <w:pStyle w:val="OutcomeDescription"/>
              <w:spacing w:before="120" w:after="120"/>
              <w:rPr>
                <w:rFonts w:cs="Arial"/>
                <w:lang w:eastAsia="en-NZ"/>
              </w:rPr>
            </w:pPr>
          </w:p>
        </w:tc>
        <w:tc>
          <w:tcPr>
            <w:tcW w:w="0" w:type="auto"/>
          </w:tcPr>
          <w:p w14:paraId="5A88327F"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6156B" w14:textId="77777777" w:rsidR="002402CC" w:rsidRPr="00BE00C7" w:rsidRDefault="00000000" w:rsidP="00BE00C7">
            <w:pPr>
              <w:pStyle w:val="OutcomeDescription"/>
              <w:spacing w:before="120" w:after="120"/>
              <w:rPr>
                <w:rFonts w:cs="Arial"/>
                <w:lang w:eastAsia="en-NZ"/>
              </w:rPr>
            </w:pPr>
            <w:r w:rsidRPr="00BE00C7">
              <w:rPr>
                <w:rFonts w:cs="Arial"/>
                <w:lang w:eastAsia="en-NZ"/>
              </w:rPr>
              <w:t>Bert Sutcliffe is implementing the Ryman quality and risk management programme. A strength, weakness, opportunities, and threats (SWOT) analysis is included as part of the business plan. Quality goals for 2025 are documented and progress towards quality goals is reviewed regularly at management and quality meetings. Quality goals for 2025 include reducing distressed behaviour; increasing engagement and activities by increasing cultural connections; improving the dining experience through food focus groups; maintaining high occupancy levels; and managing operational costs. The quality and risk management systems include performance monitoring through internal audits and through the collection of clinical indicator data. The service actively looks for opportunities to improve through quality initiatives. The facility meetings include quality and risk, all staff (includes restraint, RNs, health and safety, activities, kitchen staff and infection prevention and stewardship (IPAS) meeting), and resident and family/whānau meetings for each level of care. Discussions at meetings include quality data; health and safety; infection control and pandemic strategies; complaints and compliments received; staffing and education; and corrective actions identified through internal audits, complaints, and clinical indicator data.</w:t>
            </w:r>
          </w:p>
          <w:p w14:paraId="22707733"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Meeting minutes include quality data and trends with staff able to access these documents in the staffroom. Data is benchmarked and analysed within the organisation and at a national level. Staff have received a wide range of culturally diverse training, including cultural sensitivity awareness, with resources made available on the intranet, to ensure a high-quality service is provided for Māori and other residents with diverse ethnicities and identities. A resident and family/whānau satisfaction survey from April 2025 evidence a high degree of satisfaction for all aspects of the service. The meal service had previously been an area for improvement and this was one of the goals in the current business plan. Residents, family/whānau and staff were informed of the results of the satisfaction survey at their respective meetings. Internal audits are delegated to staff and have been </w:t>
            </w:r>
            <w:r w:rsidRPr="00BE00C7">
              <w:rPr>
                <w:rFonts w:cs="Arial"/>
                <w:lang w:eastAsia="en-NZ"/>
              </w:rPr>
              <w:lastRenderedPageBreak/>
              <w:t>competed according to schedule. Once completed, they are returned to the village manager and incorporated into the required meetings and reports. Corrective actions are closed when completed.</w:t>
            </w:r>
          </w:p>
          <w:p w14:paraId="4F99A463"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w:t>
            </w:r>
          </w:p>
          <w:p w14:paraId="54444108"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hazard and risk register were sighted. Health and safety policies are implemented and monitored monthly at the health and safety committee meeting. Ryman have implemented the DoneSafe health and safety electronic system, which assists in capturing reporting of near misses and hazards. Reminders are set to ensure timely completion of investigation and reporting occurs. The internal audit schedule includes health and safety, maintenance, and environmental audits. All resident’s incidents and accidents are reported on the myRyman system, and data is extracted and displayed on Power BI.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597FAC4B" w14:textId="77777777" w:rsidR="002402CC"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Section 31 events were reported appropriately to the Ministry of Health and reports to the Health Quality and Safety Commission were also reported appropriately. Since the last audit, there have been seven outbreaks of infection, three in 2024 and four in 2025, including an outbreak of influenza A in the special care unit during the audit. All outbreaks have been reported to Public Health as required.</w:t>
            </w:r>
          </w:p>
          <w:p w14:paraId="120191AA" w14:textId="77777777" w:rsidR="002402CC" w:rsidRPr="00BE00C7" w:rsidRDefault="002402CC" w:rsidP="00BE00C7">
            <w:pPr>
              <w:pStyle w:val="OutcomeDescription"/>
              <w:spacing w:before="120" w:after="120"/>
              <w:rPr>
                <w:rFonts w:cs="Arial"/>
                <w:lang w:eastAsia="en-NZ"/>
              </w:rPr>
            </w:pPr>
          </w:p>
        </w:tc>
      </w:tr>
      <w:tr w:rsidR="00C90523" w14:paraId="0BAEDCE0" w14:textId="77777777">
        <w:tc>
          <w:tcPr>
            <w:tcW w:w="0" w:type="auto"/>
          </w:tcPr>
          <w:p w14:paraId="1ED86B3A"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F96572D"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59B41A5" w14:textId="77777777" w:rsidR="002402CC" w:rsidRPr="00BE00C7" w:rsidRDefault="002402CC" w:rsidP="00BE00C7">
            <w:pPr>
              <w:pStyle w:val="OutcomeDescription"/>
              <w:spacing w:before="120" w:after="120"/>
              <w:rPr>
                <w:rFonts w:cs="Arial"/>
                <w:lang w:eastAsia="en-NZ"/>
              </w:rPr>
            </w:pPr>
          </w:p>
        </w:tc>
        <w:tc>
          <w:tcPr>
            <w:tcW w:w="0" w:type="auto"/>
          </w:tcPr>
          <w:p w14:paraId="60325126"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0028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A ‘cover-pool’ of staff are additional staff that are added to the roster to cover staff absences. The village manager works full time from Monday to Friday and the acting clinical manager works full time. They are supported by four-unit coordinators (one hospital, one rest home, one special care unit and one for the serviced apartments). The acting clinical manager and the hospital unit coordinators share the on call after hours for all clinical matters. The village manager is available 24/7 for any operational related matters. They are supported by a team of RNs and caregivers. Staff on the floor on the days of the audit were visible and were attending to call bells in a timely manner, as confirmed by all residents interviewed. Staff interviewed stated that staffing levels are satisfactory and that the management team provides good support. The serviced apartment calls escalate to the hospital RN overnight. The emergency call bells in the care centre and in the serviced apartments show on all displays at any given time. Staff carry pagers. </w:t>
            </w:r>
          </w:p>
          <w:p w14:paraId="4F4E128B"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All caregivers are encouraged to complete New Zealand Qualification Authority (NZQA) through Careerforce. There are 60 caregivers in total. Thirty-eight caregivers work in the special care unit and of these, thirty have completed the dementia standards, two are currently in progress, and six have yet to enrol and were employed within 18 months. </w:t>
            </w:r>
          </w:p>
          <w:p w14:paraId="012A30FF"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Caregivers’ complete competencies, including manual handling, medication (as relevant), donning and doffing of personal protective equipment, and hand hygiene. Registered nurses are supported to maintain their professional competency. Registered nurses attend regular journal club meetings. There are implemented competencies for RNs related to specialised procedures or treatments, including infection control, wound management, male catheterisation, medication, syringe driver, and insulin competencies. At the time of the audit there were 18 </w:t>
            </w:r>
            <w:r w:rsidRPr="00BE00C7">
              <w:rPr>
                <w:rFonts w:cs="Arial"/>
                <w:lang w:eastAsia="en-NZ"/>
              </w:rPr>
              <w:lastRenderedPageBreak/>
              <w:t xml:space="preserve">RNs, including the four-unit coordinators. Eight RNs are interRAI trained. Staff have completed online training that covers Māori health development, cultural diversity and cultural awareness, safety and spirituality training that support the principles of Te Tiriti o Waitangi. </w:t>
            </w:r>
          </w:p>
          <w:p w14:paraId="4AA65996" w14:textId="77777777" w:rsidR="002402CC" w:rsidRPr="00BE00C7" w:rsidRDefault="00000000" w:rsidP="00BE00C7">
            <w:pPr>
              <w:pStyle w:val="OutcomeDescription"/>
              <w:spacing w:before="120" w:after="120"/>
              <w:rPr>
                <w:rFonts w:cs="Arial"/>
                <w:lang w:eastAsia="en-NZ"/>
              </w:rPr>
            </w:pPr>
            <w:r w:rsidRPr="00BE00C7">
              <w:rPr>
                <w:rFonts w:cs="Arial"/>
                <w:lang w:eastAsia="en-NZ"/>
              </w:rPr>
              <w:t>Learning opportunities are created that encourage collecting and sharing of high-quality Māori health information. Training topics for 2025 year to date and 2024, include (but not limited to) dementia model of care; ageing process; skin management and wound care; management of distressed behaviour; restraint; Code of Rights; continence management; informed consent; complaints management; responding to changes in residents (Stop and Watch); nutrition; and hydration. Clinical topics for RNs include management of acute deterioration, palliative care, pressure injury and wound management, mandatory reporting, infection control, and pain management. Staff interviewed report a positive work environment with a team approach and supportive management. Ryman as an organisation have initiatives implemented around staff wellness, including the monthly kindness award and staff appreciation award.</w:t>
            </w:r>
          </w:p>
          <w:p w14:paraId="6AC7BD1C" w14:textId="77777777" w:rsidR="002402CC" w:rsidRPr="00BE00C7" w:rsidRDefault="002402CC" w:rsidP="00BE00C7">
            <w:pPr>
              <w:pStyle w:val="OutcomeDescription"/>
              <w:spacing w:before="120" w:after="120"/>
              <w:rPr>
                <w:rFonts w:cs="Arial"/>
                <w:lang w:eastAsia="en-NZ"/>
              </w:rPr>
            </w:pPr>
          </w:p>
        </w:tc>
      </w:tr>
      <w:tr w:rsidR="00C90523" w14:paraId="66CD5CAD" w14:textId="77777777">
        <w:tc>
          <w:tcPr>
            <w:tcW w:w="0" w:type="auto"/>
          </w:tcPr>
          <w:p w14:paraId="4E5C4109"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437D0EF"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57326C" w14:textId="77777777" w:rsidR="002402CC" w:rsidRPr="00BE00C7" w:rsidRDefault="002402CC" w:rsidP="00BE00C7">
            <w:pPr>
              <w:pStyle w:val="OutcomeDescription"/>
              <w:spacing w:before="120" w:after="120"/>
              <w:rPr>
                <w:rFonts w:cs="Arial"/>
                <w:lang w:eastAsia="en-NZ"/>
              </w:rPr>
            </w:pPr>
          </w:p>
        </w:tc>
        <w:tc>
          <w:tcPr>
            <w:tcW w:w="0" w:type="auto"/>
          </w:tcPr>
          <w:p w14:paraId="28362BA8"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59E6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Fourteen files were reviewed (two activities and lifestyle coordinators, a lounge caregiver, four RNs (including one unit coordinator), one laundry staff, one chef, one cooks assistant, two housekeepers, one gardener and one caregiver) and included a signed employment contract, job description, police check, orientation documentation relevant to the role,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current registration. </w:t>
            </w:r>
          </w:p>
          <w:p w14:paraId="4109BA9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Following any incident or accident, </w:t>
            </w:r>
            <w:r w:rsidRPr="00BE00C7">
              <w:rPr>
                <w:rFonts w:cs="Arial"/>
                <w:lang w:eastAsia="en-NZ"/>
              </w:rPr>
              <w:lastRenderedPageBreak/>
              <w:t>evidence of debriefing and follow-up action taken are documented. Wellbeing support is provided to staff and is a focus of the health and safety team. Staff wellbeing is acknowledged through social events. Employee assistance programmes are made available through the occupational counselling programme.</w:t>
            </w:r>
          </w:p>
          <w:p w14:paraId="2D490EE6" w14:textId="77777777" w:rsidR="002402CC" w:rsidRPr="00BE00C7" w:rsidRDefault="002402CC" w:rsidP="00BE00C7">
            <w:pPr>
              <w:pStyle w:val="OutcomeDescription"/>
              <w:spacing w:before="120" w:after="120"/>
              <w:rPr>
                <w:rFonts w:cs="Arial"/>
                <w:lang w:eastAsia="en-NZ"/>
              </w:rPr>
            </w:pPr>
          </w:p>
        </w:tc>
      </w:tr>
      <w:tr w:rsidR="00C90523" w14:paraId="0D13CC13" w14:textId="77777777">
        <w:tc>
          <w:tcPr>
            <w:tcW w:w="0" w:type="auto"/>
          </w:tcPr>
          <w:p w14:paraId="6F6951DB"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67625D0"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955BB9" w14:textId="77777777" w:rsidR="002402CC" w:rsidRPr="00BE00C7" w:rsidRDefault="002402CC" w:rsidP="00BE00C7">
            <w:pPr>
              <w:pStyle w:val="OutcomeDescription"/>
              <w:spacing w:before="120" w:after="120"/>
              <w:rPr>
                <w:rFonts w:cs="Arial"/>
                <w:lang w:eastAsia="en-NZ"/>
              </w:rPr>
            </w:pPr>
          </w:p>
        </w:tc>
        <w:tc>
          <w:tcPr>
            <w:tcW w:w="0" w:type="auto"/>
          </w:tcPr>
          <w:p w14:paraId="15ECCD22"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864DD2" w14:textId="77777777" w:rsidR="002402CC"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Residents entering the service have all relevant initial information recorded within 24 hours of entry into the residents’ individual records.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Past residents’ files are archived and remain on site for two years, then are transferred to an offsite secured location to be archived for ten years. The village manager is the privacy officer and manages requests for health information in a manner according to the Privacy Act 2020.</w:t>
            </w:r>
          </w:p>
          <w:p w14:paraId="13643B2C" w14:textId="77777777" w:rsidR="002402CC"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073EBE36" w14:textId="77777777" w:rsidR="002402CC" w:rsidRPr="00BE00C7" w:rsidRDefault="002402CC" w:rsidP="00BE00C7">
            <w:pPr>
              <w:pStyle w:val="OutcomeDescription"/>
              <w:spacing w:before="120" w:after="120"/>
              <w:rPr>
                <w:rFonts w:cs="Arial"/>
                <w:lang w:eastAsia="en-NZ"/>
              </w:rPr>
            </w:pPr>
          </w:p>
        </w:tc>
      </w:tr>
      <w:tr w:rsidR="00C90523" w14:paraId="073BC9F5" w14:textId="77777777">
        <w:tc>
          <w:tcPr>
            <w:tcW w:w="0" w:type="auto"/>
          </w:tcPr>
          <w:p w14:paraId="4B88C00E" w14:textId="77777777" w:rsidR="002402CC"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83CBA0B"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BA137C" w14:textId="77777777" w:rsidR="002402CC" w:rsidRPr="00BE00C7" w:rsidRDefault="002402CC" w:rsidP="00BE00C7">
            <w:pPr>
              <w:pStyle w:val="OutcomeDescription"/>
              <w:spacing w:before="120" w:after="120"/>
              <w:rPr>
                <w:rFonts w:cs="Arial"/>
                <w:lang w:eastAsia="en-NZ"/>
              </w:rPr>
            </w:pPr>
          </w:p>
        </w:tc>
        <w:tc>
          <w:tcPr>
            <w:tcW w:w="0" w:type="auto"/>
          </w:tcPr>
          <w:p w14:paraId="798A4D91"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CEA57E" w14:textId="77777777" w:rsidR="002402CC"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and a commitment to equity, inclusion, and the wellbeing of the residents they serve.</w:t>
            </w:r>
          </w:p>
          <w:p w14:paraId="17AFA952"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To date the facility has not declined entry; however, if a prospective resident does not meet the entry criteria, they would be referred back to NASC and this would be explained to the prospective resident and their family/whānau. The service collects ethnicity data on all referrals for entry. The service has links with a Māori marae and there are staff who identify as Māori who are available to support residents and whānau. At the time of the audit, there were no residents who identified as Māori.</w:t>
            </w:r>
          </w:p>
          <w:p w14:paraId="48FF5A66" w14:textId="77777777" w:rsidR="002402CC" w:rsidRPr="00BE00C7" w:rsidRDefault="002402CC" w:rsidP="00BE00C7">
            <w:pPr>
              <w:pStyle w:val="OutcomeDescription"/>
              <w:spacing w:before="120" w:after="120"/>
              <w:rPr>
                <w:rFonts w:cs="Arial"/>
                <w:lang w:eastAsia="en-NZ"/>
              </w:rPr>
            </w:pPr>
          </w:p>
        </w:tc>
      </w:tr>
      <w:tr w:rsidR="00C90523" w14:paraId="5927F65B" w14:textId="77777777">
        <w:tc>
          <w:tcPr>
            <w:tcW w:w="0" w:type="auto"/>
          </w:tcPr>
          <w:p w14:paraId="1BBF79BF"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AE61A4"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E48E79" w14:textId="77777777" w:rsidR="002402CC" w:rsidRPr="00BE00C7" w:rsidRDefault="002402CC" w:rsidP="00BE00C7">
            <w:pPr>
              <w:pStyle w:val="OutcomeDescription"/>
              <w:spacing w:before="120" w:after="120"/>
              <w:rPr>
                <w:rFonts w:cs="Arial"/>
                <w:lang w:eastAsia="en-NZ"/>
              </w:rPr>
            </w:pPr>
          </w:p>
        </w:tc>
        <w:tc>
          <w:tcPr>
            <w:tcW w:w="0" w:type="auto"/>
          </w:tcPr>
          <w:p w14:paraId="5A3A6CC8" w14:textId="77777777" w:rsidR="002402CC"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6C10AC"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Eleven resident files were reviewed (four rest home, including one LTS-CHC, one ACC on respite and one in the serviced apartments; four hospital level, including one respite; and three from the secure dementia unit). There is evidence of resident and family/whānau involvement in the interRAI assessments and long-term care plans. This is documented in progress notes, and all communication is linked to the electronic system. </w:t>
            </w:r>
          </w:p>
          <w:p w14:paraId="62C84C0E" w14:textId="77777777" w:rsidR="002402CC" w:rsidRPr="00BE00C7" w:rsidRDefault="00000000" w:rsidP="00BE00C7">
            <w:pPr>
              <w:pStyle w:val="OutcomeDescription"/>
              <w:spacing w:before="120" w:after="120"/>
              <w:rPr>
                <w:rFonts w:cs="Arial"/>
                <w:lang w:eastAsia="en-NZ"/>
              </w:rPr>
            </w:pPr>
            <w:r w:rsidRPr="00BE00C7">
              <w:rPr>
                <w:rFonts w:cs="Arial"/>
                <w:lang w:eastAsia="en-NZ"/>
              </w:rPr>
              <w:t>An initial assessment is undertaken by a RN on admission, and an initial care plan is developed on the same day. The initial assessment is documented in the electronic system, which includes the use of various validated assessment tools.</w:t>
            </w:r>
          </w:p>
          <w:p w14:paraId="391AB06B"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All interRAI assessments are currently up to date; however, when the files were reviewed, it was identified interRAI assessments are not always completed within three weeks from admission, six-monthly or prior to the care plan. MyRyman assessments, along with input from resident, family/whānau, caregivers, RNs, and activities staff and interRAI assessments (when completed) inform the development of the long-term care plans. Long-term care plans are developed by the RNs, and the planned interventions are holistic, covering physical needs, assistance required with activities of daily living, psychosocial and cultural needs and preferences, and interventions to address medical conditions. Long-term care plans were updated to reflect changes in care interventions. The residents on ACC and respite contracts had appropriate assessments completed and detailed care plans were in place. </w:t>
            </w:r>
          </w:p>
          <w:p w14:paraId="4FEED1F6"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they participate in </w:t>
            </w:r>
            <w:r w:rsidRPr="00BE00C7">
              <w:rPr>
                <w:rFonts w:cs="Arial"/>
                <w:lang w:eastAsia="en-NZ"/>
              </w:rPr>
              <w:lastRenderedPageBreak/>
              <w:t>care planning and review processes. Further to this, residents and family/whānau interviewed confirmed they are supported to have choice and control in meeting their needs and goals, and confirm staff facilitate access to information about other health services, such as allied health and alternative health care providers. Resident files show evidence of resident and family/whānau input. Feedback is sought from residents and family/whānau as part of the quality system to reduce barriers to care.</w:t>
            </w:r>
          </w:p>
          <w:p w14:paraId="17F9A316"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GP or register with the facilities two contracted GPs and nurse practitioner service. General practitioners visit regularly in each area on designated days. The GP and nurse practitioner are on site four days per week, or more often if required to undertake three-monthly resident and medication reviews, and to review residents with acute needs. Initial medical assessments occur within the required timeframes. The contracted general practice service provides medical cover after hours and on weekends for urgent care or advice to the RNs. The GP was interviewed and was very happy with the communication from the RNs and unit coordinators. Allied health care professionals involved in the care of the resident include (but are not limited to): physiotherapist who is onsite 15 hours per week; podiatrist; hospice community staff; speech language therapist; older persons health clinicians; wound specialist; continence specialist; and dietitian, document their notes in the resident’s files. </w:t>
            </w:r>
          </w:p>
          <w:p w14:paraId="5EF238DD" w14:textId="77777777" w:rsidR="002402CC"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the care plan is being reviewed.</w:t>
            </w:r>
          </w:p>
          <w:p w14:paraId="0D7C6721" w14:textId="33D3F8BF" w:rsidR="002402CC"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RNs and activities staff involved in contributing to the residents’ files. </w:t>
            </w:r>
          </w:p>
          <w:p w14:paraId="788D2597" w14:textId="77777777" w:rsidR="002402CC"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59E8126E"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care plans, and include (but are not limited to) intentional rounding, wound monitoring, distressed behaviour monitoring, regular repositioning, and food and fluid management. </w:t>
            </w:r>
          </w:p>
          <w:p w14:paraId="3717FA7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34 wounds, including one non-facility acquired unstageable pressure injury, three stage I pressure injuries, skin tears, skin lesions, and a vascular ulcer. Review of the wound register confirms all are being assessed, monitored, and dressed as per their care plans. Wound assessments include photographs and measurements of wounds. Registered nurses complete annual training in wound management. </w:t>
            </w:r>
          </w:p>
          <w:p w14:paraId="2DF0DF1B" w14:textId="77777777" w:rsidR="002402CC"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and includes input from the RNs, caregivers, residents and family/whānau, and activities staff. The care plan is reviewed to ensure the residents goals are being met, and if there are new goals identified, the care plan is reviewed and updated.</w:t>
            </w:r>
          </w:p>
          <w:p w14:paraId="0CABDEE9" w14:textId="77777777" w:rsidR="002402CC" w:rsidRPr="00BE00C7" w:rsidRDefault="00000000" w:rsidP="00BE00C7">
            <w:pPr>
              <w:pStyle w:val="OutcomeDescription"/>
              <w:spacing w:before="120" w:after="120"/>
              <w:rPr>
                <w:rFonts w:cs="Arial"/>
                <w:lang w:eastAsia="en-NZ"/>
              </w:rPr>
            </w:pPr>
            <w:r w:rsidRPr="00BE00C7">
              <w:rPr>
                <w:rFonts w:cs="Arial"/>
                <w:lang w:eastAsia="en-NZ"/>
              </w:rPr>
              <w:t>The Hauora Māori Plan Partnership and Te Tiriti o Waitangi policy supports residents and family/whānau, as applicable, to identify their own pae ora outcomes in their care and support wellbeing. Tikanga principles would be included within the care plan for Māori. The unit coordinators reported any barriers that prevent tāngata whaikaha and whānau from independently accessing information or services would be identified, and strategies to manage these would be documented. Staff confirmed they understood the processes to support residents and family/whānau. The cultural safety assessment process validates Māori healing methodologies, such as karakia, Rongoā and spiritual assistance. Cultural assessments are completed by staff who have completed cultural safety training.</w:t>
            </w:r>
          </w:p>
          <w:p w14:paraId="38934AC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Care plans for residents in the dementia unit include activities over the 24-hour period and strategies to manage disorientation and behaviours that challenge, including triggers and strategies that have worked previously. Also included is information about the resident’s past life and significant people and events for staff to use for reminiscing and conversations that engage the resident meaningfully. Family/whānau confirmed on interview they are involved in assessments, care planning </w:t>
            </w:r>
            <w:r w:rsidRPr="00BE00C7">
              <w:rPr>
                <w:rFonts w:cs="Arial"/>
                <w:lang w:eastAsia="en-NZ"/>
              </w:rPr>
              <w:lastRenderedPageBreak/>
              <w:t>and review.</w:t>
            </w:r>
          </w:p>
          <w:p w14:paraId="7875C588" w14:textId="1E50CD19" w:rsidR="002402CC" w:rsidRPr="00BE00C7" w:rsidRDefault="002402CC" w:rsidP="00E12DFB">
            <w:pPr>
              <w:pStyle w:val="OutcomeDescription"/>
              <w:spacing w:before="120" w:after="120"/>
              <w:rPr>
                <w:rFonts w:cs="Arial"/>
                <w:lang w:eastAsia="en-NZ"/>
              </w:rPr>
            </w:pPr>
          </w:p>
        </w:tc>
      </w:tr>
      <w:tr w:rsidR="00C90523" w14:paraId="22669483" w14:textId="77777777">
        <w:tc>
          <w:tcPr>
            <w:tcW w:w="0" w:type="auto"/>
          </w:tcPr>
          <w:p w14:paraId="6D22D5F3"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76C3C2"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340ECAE" w14:textId="77777777" w:rsidR="002402CC" w:rsidRPr="00BE00C7" w:rsidRDefault="002402CC" w:rsidP="00BE00C7">
            <w:pPr>
              <w:pStyle w:val="OutcomeDescription"/>
              <w:spacing w:before="120" w:after="120"/>
              <w:rPr>
                <w:rFonts w:cs="Arial"/>
                <w:lang w:eastAsia="en-NZ"/>
              </w:rPr>
            </w:pPr>
          </w:p>
        </w:tc>
        <w:tc>
          <w:tcPr>
            <w:tcW w:w="0" w:type="auto"/>
          </w:tcPr>
          <w:p w14:paraId="0CC484CA"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26E7FC"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are lifestyle and activities coordinators in each area and two are diversional therapists (DT). The rest home lifestyle and activities coordinator is currently completing diversional therapy training. Activities are provided seven days per week. In all areas (except the special care unit), activities (jigsaws, arts and crafts, board games) are left out on a table for residents to enjoy. In the special care unit, caregivers assist in provision of activities throughout the day and evening. The lifestyle and activity coordinators implement the activities programme in each unit, and this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are completed within two to three weeks of admission. </w:t>
            </w:r>
          </w:p>
          <w:p w14:paraId="719EADFF" w14:textId="77777777" w:rsidR="002402CC"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board in the lounges in each unit and in resident rooms on pin boards. Interested family/whānau are also given a copy of the activities calendar if desired.</w:t>
            </w:r>
          </w:p>
          <w:p w14:paraId="6F860EB6"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The activities on the programme included: walks; exercises to music; pet therapy; happy hour; church services; news and views; bingo; floor games; table games; van outings; art and craft; and baking. There are regular outings weekly for each level of care (as appropriate). The lifestyle and activities coordinators stated when planning monthly activities, residents are asked what they would like to do, and where they would like to go on outings. Activity participation registers are completed daily. Residents were observed participating in a variety of activities on the audit days. For residents who chose not to participate in group activities or preferred to stay in their room, individual activities such as conversations, hand massage, and books and music are provided.</w:t>
            </w:r>
          </w:p>
          <w:p w14:paraId="04EF5EB9"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Entertainers visit at least weekly and sometimes perform in the special </w:t>
            </w:r>
            <w:r w:rsidRPr="00BE00C7">
              <w:rPr>
                <w:rFonts w:cs="Arial"/>
                <w:lang w:eastAsia="en-NZ"/>
              </w:rPr>
              <w:lastRenderedPageBreak/>
              <w:t>care unit, or some residents are escorted to another level for entertainers if appropriate. Residents were observed enjoying a piano accordion performance. There is a weekly church service, and a Catholic priest visits to give Mass. Some residents are taken out to church by family/whānau.</w:t>
            </w:r>
          </w:p>
          <w:p w14:paraId="6E118365" w14:textId="77777777" w:rsidR="002402CC" w:rsidRPr="00BE00C7" w:rsidRDefault="00000000" w:rsidP="00BE00C7">
            <w:pPr>
              <w:pStyle w:val="OutcomeDescription"/>
              <w:spacing w:before="120" w:after="120"/>
              <w:rPr>
                <w:rFonts w:cs="Arial"/>
                <w:lang w:eastAsia="en-NZ"/>
              </w:rPr>
            </w:pPr>
            <w:r w:rsidRPr="00BE00C7">
              <w:rPr>
                <w:rFonts w:cs="Arial"/>
                <w:lang w:eastAsia="en-NZ"/>
              </w:rPr>
              <w:t>Calendar and cultural events are celebrated, including (but not limited to) Christmas, Easter, ANZAC Day, Diwali, Te Wiki o Te Reo Māori, Samoan language week, Matariki and Waitangi Day.</w:t>
            </w:r>
          </w:p>
          <w:p w14:paraId="30EAAFA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Activities for residents in the special care unit are tailored to meet the needs of the residents. Long-term care plans include strategies for distraction and de-escalation. Activities are offered at times when residents are most physically active and/or restless. During the audit, the residents were seen to be enjoying exercises and sing-a-longs. </w:t>
            </w:r>
          </w:p>
          <w:p w14:paraId="366089BB" w14:textId="77777777" w:rsidR="002402CC" w:rsidRPr="00BE00C7" w:rsidRDefault="00000000" w:rsidP="00BE00C7">
            <w:pPr>
              <w:pStyle w:val="OutcomeDescription"/>
              <w:spacing w:before="120" w:after="120"/>
              <w:rPr>
                <w:rFonts w:cs="Arial"/>
                <w:lang w:eastAsia="en-NZ"/>
              </w:rPr>
            </w:pPr>
            <w:r w:rsidRPr="00BE00C7">
              <w:rPr>
                <w:rFonts w:cs="Arial"/>
                <w:lang w:eastAsia="en-NZ"/>
              </w:rPr>
              <w:t>Lifestyle and activity coordinators reported opportunities for Māori and whānau to participate in te ao Māori is facilitated through community engagement with a local marae and visiting kapa haka groups.</w:t>
            </w:r>
          </w:p>
          <w:p w14:paraId="3090A765" w14:textId="77777777" w:rsidR="002402CC" w:rsidRPr="00BE00C7" w:rsidRDefault="00000000" w:rsidP="00BE00C7">
            <w:pPr>
              <w:pStyle w:val="OutcomeDescription"/>
              <w:spacing w:before="120" w:after="120"/>
              <w:rPr>
                <w:rFonts w:cs="Arial"/>
                <w:lang w:eastAsia="en-NZ"/>
              </w:rPr>
            </w:pPr>
            <w:r w:rsidRPr="00BE00C7">
              <w:rPr>
                <w:rFonts w:cs="Arial"/>
                <w:lang w:eastAsia="en-NZ"/>
              </w:rPr>
              <w:t>Family/whānau, EPOAs and residents reported satisfaction with the level and variety of activities provided.</w:t>
            </w:r>
          </w:p>
          <w:p w14:paraId="3872AD13" w14:textId="77777777" w:rsidR="002402CC" w:rsidRPr="00BE00C7" w:rsidRDefault="002402CC" w:rsidP="00BE00C7">
            <w:pPr>
              <w:pStyle w:val="OutcomeDescription"/>
              <w:spacing w:before="120" w:after="120"/>
              <w:rPr>
                <w:rFonts w:cs="Arial"/>
                <w:lang w:eastAsia="en-NZ"/>
              </w:rPr>
            </w:pPr>
          </w:p>
        </w:tc>
      </w:tr>
      <w:tr w:rsidR="00C90523" w14:paraId="55E0363A" w14:textId="77777777">
        <w:tc>
          <w:tcPr>
            <w:tcW w:w="0" w:type="auto"/>
          </w:tcPr>
          <w:p w14:paraId="545C1A9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C73F042"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D50E09" w14:textId="77777777" w:rsidR="002402CC" w:rsidRPr="00BE00C7" w:rsidRDefault="002402CC" w:rsidP="00BE00C7">
            <w:pPr>
              <w:pStyle w:val="OutcomeDescription"/>
              <w:spacing w:before="120" w:after="120"/>
              <w:rPr>
                <w:rFonts w:cs="Arial"/>
                <w:lang w:eastAsia="en-NZ"/>
              </w:rPr>
            </w:pPr>
          </w:p>
        </w:tc>
        <w:tc>
          <w:tcPr>
            <w:tcW w:w="0" w:type="auto"/>
          </w:tcPr>
          <w:p w14:paraId="26884510"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CE4FD4"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which meet legislative requirements for safe medicine management. Medications in each unit are stored safely in a locked treatment room. Caregivers and RNs complete an annual medication competency and training in medication management. Regular medications and ‘as required’ medications are delivered in prepackaged packs. The RNs check the packs against the electronic and some paper-based medication charts, and a record of medication reconciliation is maintained. Any discrepancies are fed back to the supplying pharmacy. Expired medications are returned to pharmacy in a safe and timely manner. There were two residents who self-administer their medications on the day of audit. The residents have a current competency in place, which is reviewed regularly evidencing they are safe to do this, and their medicines were seen to be stored in a locked cabinet in their room. Residents who are on regular or ‘as required’ medications have clinical assessments/pain assessments conducted by a registered nurse. A medication round was observed in </w:t>
            </w:r>
            <w:r w:rsidRPr="00BE00C7">
              <w:rPr>
                <w:rFonts w:cs="Arial"/>
                <w:lang w:eastAsia="en-NZ"/>
              </w:rPr>
              <w:lastRenderedPageBreak/>
              <w:t>each area and seen to be safe. Staff interviewed could describe their role and responsibilities in relation to receipt, storage, checking expiry dates, administering, and returning medications to the pharmacy.</w:t>
            </w:r>
          </w:p>
          <w:p w14:paraId="09D949C4"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and the GPs are available to discuss treatment options to ensure timely access to medications. </w:t>
            </w:r>
          </w:p>
          <w:p w14:paraId="6FEF9E32" w14:textId="77777777" w:rsidR="002402CC" w:rsidRPr="00BE00C7" w:rsidRDefault="00000000" w:rsidP="00BE00C7">
            <w:pPr>
              <w:pStyle w:val="OutcomeDescription"/>
              <w:spacing w:before="120" w:after="120"/>
              <w:rPr>
                <w:rFonts w:cs="Arial"/>
                <w:lang w:eastAsia="en-NZ"/>
              </w:rPr>
            </w:pPr>
            <w:r w:rsidRPr="00BE00C7">
              <w:rPr>
                <w:rFonts w:cs="Arial"/>
                <w:lang w:eastAsia="en-NZ"/>
              </w:rPr>
              <w:t>There are medication rooms, and the medication fridge and room air temperature are checked daily, recorded, and all were within the acceptable temperature ranges. Eye drops were dated on opening and within expiry date. Twenty-two medication charts were reviewed (twenty electronic and two paper based) and met prescribing requirements. Medication charts had photographic identification and allergy status notified. The GP or nurse practitioner had reviewed the medication charts three-monthly and discussion and consultation with residents takes place during these reviews, and if additions or changes are made. All ‘as required’ medications had prescribed indications for use. The effectiveness of ‘as required’ medication had been documented in the medication system and in the progress notes. All regular and ‘as required’ medications on the paper-based charts had been signed as administered.</w:t>
            </w:r>
          </w:p>
          <w:p w14:paraId="5694D4A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Over the counter medications and supplements are prescribed on the electronic medication system. </w:t>
            </w:r>
          </w:p>
          <w:p w14:paraId="26AE170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described processes for working in partnership with Māori residents and whānau to ensure the appropriate support is in place, advice is timely, easily accessed, and treatment is prioritised to achieve better health outcomes. </w:t>
            </w:r>
          </w:p>
          <w:p w14:paraId="7FB74382" w14:textId="77777777" w:rsidR="002402CC" w:rsidRPr="00BE00C7" w:rsidRDefault="00000000" w:rsidP="00BE00C7">
            <w:pPr>
              <w:pStyle w:val="OutcomeDescription"/>
              <w:spacing w:before="120" w:after="120"/>
              <w:rPr>
                <w:rFonts w:cs="Arial"/>
                <w:lang w:eastAsia="en-NZ"/>
              </w:rPr>
            </w:pPr>
            <w:r w:rsidRPr="00BE00C7">
              <w:rPr>
                <w:rFonts w:cs="Arial"/>
                <w:lang w:eastAsia="en-NZ"/>
              </w:rPr>
              <w:t>Staff receive medication training in medication management/pain management as part of their annual scheduled training programme. The Hauora Māori Plan Partnership and Te Tiriti o Waitangi policy includes a requirement for support, advice, and treatment for Māori.</w:t>
            </w:r>
          </w:p>
          <w:p w14:paraId="34A5C0BF" w14:textId="77777777" w:rsidR="002402CC" w:rsidRPr="00BE00C7" w:rsidRDefault="002402CC" w:rsidP="00BE00C7">
            <w:pPr>
              <w:pStyle w:val="OutcomeDescription"/>
              <w:spacing w:before="120" w:after="120"/>
              <w:rPr>
                <w:rFonts w:cs="Arial"/>
                <w:lang w:eastAsia="en-NZ"/>
              </w:rPr>
            </w:pPr>
          </w:p>
        </w:tc>
      </w:tr>
      <w:tr w:rsidR="00C90523" w14:paraId="6D44121E" w14:textId="77777777">
        <w:tc>
          <w:tcPr>
            <w:tcW w:w="0" w:type="auto"/>
          </w:tcPr>
          <w:p w14:paraId="158D3CEB"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666C1C9"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2521A0" w14:textId="77777777" w:rsidR="002402CC" w:rsidRPr="00BE00C7" w:rsidRDefault="002402CC" w:rsidP="00BE00C7">
            <w:pPr>
              <w:pStyle w:val="OutcomeDescription"/>
              <w:spacing w:before="120" w:after="120"/>
              <w:rPr>
                <w:rFonts w:cs="Arial"/>
                <w:lang w:eastAsia="en-NZ"/>
              </w:rPr>
            </w:pPr>
          </w:p>
        </w:tc>
        <w:tc>
          <w:tcPr>
            <w:tcW w:w="0" w:type="auto"/>
          </w:tcPr>
          <w:p w14:paraId="1E87B64B"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69137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food is prepared and cooked on site in a well-appointed, clean, and organised kitchen. The kitchen is managed by a senior lead chef, </w:t>
            </w:r>
            <w:r w:rsidRPr="00BE00C7">
              <w:rPr>
                <w:rFonts w:cs="Arial"/>
                <w:lang w:eastAsia="en-NZ"/>
              </w:rPr>
              <w:lastRenderedPageBreak/>
              <w:t xml:space="preserve">assisted by two chefs and four cook assistants, plus kitchen assistants. All have recognised food safety qualifications. Food is prepared in line with recognised nutritional guidelines for older people. The food control plan is verified until 9 May 2026. Kitchen staff were observed following appropriate infection prevention measures during food preparation and serving. </w:t>
            </w:r>
          </w:p>
          <w:p w14:paraId="751BB8B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electronically on a tablet, and there is a summary on a noticeboard in the kitchen. There is a four-weekly seasonal menu. The menu has been reviewed by a registered dietitian. During the audit, the meal service was observed, and residents were seen to be enjoying their meals. Where needed, staff discreetly assisted residents with their meal. The dining rooms are spacious and have the days menu recorded on a board in large writing. Residents were observed at mealtimes to be having enjoyable dining experiences. </w:t>
            </w:r>
          </w:p>
          <w:p w14:paraId="438AC03D" w14:textId="77777777" w:rsidR="002402CC"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3CFDC9FD" w14:textId="77777777" w:rsidR="002402CC"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scan-boxes, bain-marie, and freezers are maintained. All food is plated in the kitchen and delivered to the respective wing serveries in scan-boxes. All decanted food had records of use by dates recorded on the containers, and no expired items were sighted. Family/whānau and residents interviewed indicated satisfaction with the food service. The head chef visits residents regularly to ask what food they enjoy and endeavours to provide this. There is a residents’ food group who meet with the village manager regularly to discuss any concerns.</w:t>
            </w:r>
          </w:p>
          <w:p w14:paraId="6F3AC2F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chef interviewed reported the service prepares food that is culturally specific to different cultures. The chef stated that for Māori, they were able to provide ‘boil ups,” Māori bread and other individual options if </w:t>
            </w:r>
            <w:r w:rsidRPr="00BE00C7">
              <w:rPr>
                <w:rFonts w:cs="Arial"/>
                <w:lang w:eastAsia="en-NZ"/>
              </w:rPr>
              <w:lastRenderedPageBreak/>
              <w:t>required.</w:t>
            </w:r>
          </w:p>
          <w:p w14:paraId="3C56E961" w14:textId="77777777" w:rsidR="002402CC" w:rsidRPr="00BE00C7" w:rsidRDefault="002402CC" w:rsidP="00BE00C7">
            <w:pPr>
              <w:pStyle w:val="OutcomeDescription"/>
              <w:spacing w:before="120" w:after="120"/>
              <w:rPr>
                <w:rFonts w:cs="Arial"/>
                <w:lang w:eastAsia="en-NZ"/>
              </w:rPr>
            </w:pPr>
          </w:p>
        </w:tc>
      </w:tr>
      <w:tr w:rsidR="00C90523" w14:paraId="18CCC099" w14:textId="77777777">
        <w:tc>
          <w:tcPr>
            <w:tcW w:w="0" w:type="auto"/>
          </w:tcPr>
          <w:p w14:paraId="6777E79B"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DFD15EC"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3EFF29" w14:textId="77777777" w:rsidR="002402CC" w:rsidRPr="00BE00C7" w:rsidRDefault="002402CC" w:rsidP="00BE00C7">
            <w:pPr>
              <w:pStyle w:val="OutcomeDescription"/>
              <w:spacing w:before="120" w:after="120"/>
              <w:rPr>
                <w:rFonts w:cs="Arial"/>
                <w:lang w:eastAsia="en-NZ"/>
              </w:rPr>
            </w:pPr>
          </w:p>
        </w:tc>
        <w:tc>
          <w:tcPr>
            <w:tcW w:w="0" w:type="auto"/>
          </w:tcPr>
          <w:p w14:paraId="18CFAEA0"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6AE4CC" w14:textId="77777777" w:rsidR="002402CC"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w:t>
            </w:r>
          </w:p>
          <w:p w14:paraId="09D85A8D" w14:textId="77777777" w:rsidR="002402CC" w:rsidRPr="00BE00C7" w:rsidRDefault="00000000"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is informed, the RN completes a set of transfer documents, and the nurse practitioner makes the referral to hospital. Relevant documentation sent with the resident includes a printout of their current medications, care needs, and a copy of enduring power of attorney documents. Resident needs and potential risks are communicated to the health service by the RN. Where resident’s wish or need to be seen by another health service, referral is made, and examples sighted included a referral to the dietitian, speech language therapist, and dentist. Residents attending external appointments are encouraged to be accompanied by their family/whānau.</w:t>
            </w:r>
          </w:p>
          <w:p w14:paraId="4C169130" w14:textId="77777777" w:rsidR="002402CC" w:rsidRPr="00BE00C7" w:rsidRDefault="002402CC" w:rsidP="00BE00C7">
            <w:pPr>
              <w:pStyle w:val="OutcomeDescription"/>
              <w:spacing w:before="120" w:after="120"/>
              <w:rPr>
                <w:rFonts w:cs="Arial"/>
                <w:lang w:eastAsia="en-NZ"/>
              </w:rPr>
            </w:pPr>
          </w:p>
        </w:tc>
      </w:tr>
      <w:tr w:rsidR="00C90523" w14:paraId="510CAD83" w14:textId="77777777">
        <w:tc>
          <w:tcPr>
            <w:tcW w:w="0" w:type="auto"/>
          </w:tcPr>
          <w:p w14:paraId="02055F1D" w14:textId="77777777" w:rsidR="002402CC"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31E917C"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C0137F" w14:textId="77777777" w:rsidR="002402CC" w:rsidRPr="00BE00C7" w:rsidRDefault="002402CC" w:rsidP="00BE00C7">
            <w:pPr>
              <w:pStyle w:val="OutcomeDescription"/>
              <w:spacing w:before="120" w:after="120"/>
              <w:rPr>
                <w:rFonts w:cs="Arial"/>
                <w:lang w:eastAsia="en-NZ"/>
              </w:rPr>
            </w:pPr>
          </w:p>
        </w:tc>
        <w:tc>
          <w:tcPr>
            <w:tcW w:w="0" w:type="auto"/>
          </w:tcPr>
          <w:p w14:paraId="71B8CA9F"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422DA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11 June 2026. The facilities manager works full time and is assisted by the gardeners. Compliance for the building warrant of fitness, lifts and air conditioning is contracted out. The annual preventative maintenance schedule is online. This comes from head office and the facilities manager completes a form of checks monthly (sighted for June and July 2025). Staff can request repairs and maintenance via an electronic system, that automatically alerts the facilities manager. For urgent repairs, staff call the facilities manager, who can access essential contractors, such as plumbers and electricians at any time. The facilities manager signs off all requests when completed. Fixtures, fittings, and flooring are appropriate.</w:t>
            </w:r>
          </w:p>
          <w:p w14:paraId="5ADE04C2"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Electrical testing and tagging of all appliances were completed on 15 </w:t>
            </w:r>
            <w:r w:rsidRPr="00BE00C7">
              <w:rPr>
                <w:rFonts w:cs="Arial"/>
                <w:lang w:eastAsia="en-NZ"/>
              </w:rPr>
              <w:lastRenderedPageBreak/>
              <w:t>May 2025. Clinical equipment was last checked and calibrated on 17 and 18 February 2025. Hot water temperatures are checked monthly in each area and records show a safe temperature is maintained. The building has ducted air conditioning for temperature control. All hand washing areas have free flowing soap and paper towels in the toilet areas, sluice rooms, medication rooms, kitchenettes, and main kitchen.</w:t>
            </w:r>
          </w:p>
          <w:p w14:paraId="12695CF2"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special care unit is situated on the second floor in two wings, with up to 19 residents in each wing. Entry to the special care unit is by electronic passcode. Each wing is a mirror image of each other, with one main lounge and a dining area and a domestic style kitchen. Each wing has a separate family/whānau lounge, and a lounge at the end of the wing for residents to sit quietly, or visit with family/whānau. There is an additional lounge area set up for visiting families/whānau with children’s toys and books. Resident room doors have a box with pictures and name for residents to easily identify which is their room. There is ample room for residents to walk freely and safely. There are handrails in ensuites and ledges in hallways. All rooms and communal areas allow for safe use of mobility equipment. The special care unit includes a security system, which includes sensors in resident beds and rooms. When a resident gets up at night, the lights illuminate depending on the location of the resident within the room. This is connected to the security system and can be timed to alarm if the resident does not go back to their bed. Staff stated a low-level alert will sound if the resident changes position in bed, and staff will check on the resident. The roster has been designed to ensure supervision of the lounge and the closed-circuit monitoring system also assists with supervising residents in the long hallways and outdoor area. The unit has been designed specifically for residents with a confused state. There is plenty of natural light with large windows in each resident room. </w:t>
            </w:r>
          </w:p>
          <w:p w14:paraId="6F1F7AEA"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special care unit is carpeted with vinyl surfaces in bathrooms/toilets and kitchen areas. There is adequate space for storage of mobility equipment. The design layout enhances the resident’s freedom of movement and ensures staff are able to supervise and monitor residents as they go about their day in a non-intrusive manner. </w:t>
            </w:r>
          </w:p>
          <w:p w14:paraId="25BB5C65"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special care unit has a spacious and secure outdoor area off the open plan living area. This allows for easy indoor/outdoor flow and supervision. The outdoor area has safe pathways for residents to walk </w:t>
            </w:r>
            <w:r w:rsidRPr="00BE00C7">
              <w:rPr>
                <w:rFonts w:cs="Arial"/>
                <w:lang w:eastAsia="en-NZ"/>
              </w:rPr>
              <w:lastRenderedPageBreak/>
              <w:t>without any dead ends. There are raised gardens, including a herb garden. There is outdoor seating and shade. There is a covered deck in one wing of the special care unit that has seating and tables.</w:t>
            </w:r>
          </w:p>
          <w:p w14:paraId="1FD44C0F" w14:textId="77777777" w:rsidR="002402CC" w:rsidRPr="00BE00C7" w:rsidRDefault="00000000" w:rsidP="00BE00C7">
            <w:pPr>
              <w:pStyle w:val="OutcomeDescription"/>
              <w:spacing w:before="120" w:after="120"/>
              <w:rPr>
                <w:rFonts w:cs="Arial"/>
                <w:lang w:eastAsia="en-NZ"/>
              </w:rPr>
            </w:pPr>
            <w:r w:rsidRPr="00BE00C7">
              <w:rPr>
                <w:rFonts w:cs="Arial"/>
                <w:lang w:eastAsia="en-NZ"/>
              </w:rPr>
              <w:t>The dual-purpose wings are located on level four and the hospital level rooms are on level three. Each floor has lounges, dining rooms and nurses’ stations in the middle with resident rooms on either side. Furniture is appropriate for residents. There is a domestic style kitchen in each dining room and a large communal lounge. There is an additional lounge on each floor for residents to meet with family/whānau, or for staff to have family/whānau meetings.</w:t>
            </w:r>
          </w:p>
          <w:p w14:paraId="2E76AC39" w14:textId="77777777" w:rsidR="002402CC" w:rsidRPr="00BE00C7" w:rsidRDefault="00000000" w:rsidP="00BE00C7">
            <w:pPr>
              <w:pStyle w:val="OutcomeDescription"/>
              <w:spacing w:before="120" w:after="120"/>
              <w:rPr>
                <w:rFonts w:cs="Arial"/>
                <w:lang w:eastAsia="en-NZ"/>
              </w:rPr>
            </w:pPr>
            <w:r w:rsidRPr="00BE00C7">
              <w:rPr>
                <w:rFonts w:cs="Arial"/>
                <w:lang w:eastAsia="en-NZ"/>
              </w:rPr>
              <w:t>All resident rooms are single rooms with full ensuites. 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 level of care. The gardens and grounds are well maintained, and have seating and shade, and safe walking pathways. Serviced apartments have a kitchen, lounge and dining area and separate bedroom with full ensuite. During the audit, residents in serviced apartments were seen to dine in a main dining room and participate in various activities in the communal lounge areas.</w:t>
            </w:r>
          </w:p>
          <w:p w14:paraId="19B9D93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09CE7935" w14:textId="77777777" w:rsidR="002402CC" w:rsidRPr="00BE00C7" w:rsidRDefault="002402CC" w:rsidP="00BE00C7">
            <w:pPr>
              <w:pStyle w:val="OutcomeDescription"/>
              <w:spacing w:before="120" w:after="120"/>
              <w:rPr>
                <w:rFonts w:cs="Arial"/>
                <w:lang w:eastAsia="en-NZ"/>
              </w:rPr>
            </w:pPr>
          </w:p>
        </w:tc>
      </w:tr>
      <w:tr w:rsidR="00C90523" w14:paraId="3CC65015" w14:textId="77777777">
        <w:tc>
          <w:tcPr>
            <w:tcW w:w="0" w:type="auto"/>
          </w:tcPr>
          <w:p w14:paraId="6E694A76"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85A82D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235A09DC" w14:textId="77777777" w:rsidR="002402CC" w:rsidRPr="00BE00C7" w:rsidRDefault="002402CC" w:rsidP="00BE00C7">
            <w:pPr>
              <w:pStyle w:val="OutcomeDescription"/>
              <w:spacing w:before="120" w:after="120"/>
              <w:rPr>
                <w:rFonts w:cs="Arial"/>
                <w:lang w:eastAsia="en-NZ"/>
              </w:rPr>
            </w:pPr>
          </w:p>
        </w:tc>
        <w:tc>
          <w:tcPr>
            <w:tcW w:w="0" w:type="auto"/>
          </w:tcPr>
          <w:p w14:paraId="503906A7"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C1045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w:t>
            </w:r>
            <w:r w:rsidRPr="00BE00C7">
              <w:rPr>
                <w:rFonts w:cs="Arial"/>
                <w:lang w:eastAsia="en-NZ"/>
              </w:rPr>
              <w:lastRenderedPageBreak/>
              <w:t>approved by the Fire Emergency New Zealand on 10 May 2021. Fire evacuation drills are conducted every six months, and these are added to the training programme. The latest evacuation drill was completed on 7 May 2025 and a record of attendance was sighted. The staff orientation programme includes fire and security training.</w:t>
            </w:r>
          </w:p>
          <w:p w14:paraId="25CF747D"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All required fire equipment is checked within the required timeframes by an external contractor. A civil defence plan is in place. There are adequate supplies in the event of a civil defence emergency, including food for at least three days, 60 litres of bottled water, plus six 25,000 litre tanks of non-potable water (there are water purifying tablets in each civil defence kit on each level), continence products, and a generator. Emergency lighting is available and is regularly tested. All registered nurses and senior caregivers have current first aid certificates. An automated external defibrillator is located at reception and on each level of the care centre, and all staff receive training in its use. Staff demonstrated their understanding of emergency procedures. </w:t>
            </w:r>
          </w:p>
          <w:p w14:paraId="22B4A9D1" w14:textId="77777777" w:rsidR="002402CC"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facilities manager, and records were sighted for June and July 2025. Residents and family/whānau confirmed staff respond to call bells promptly.</w:t>
            </w:r>
          </w:p>
          <w:p w14:paraId="07E37891" w14:textId="77777777" w:rsidR="002402CC"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special care unit is secure. External doors are automatically locked at predetermined times and entry is by electronic passcode. A security firm patrols the grounds four times each night.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3C950AA6" w14:textId="77777777" w:rsidR="002402CC" w:rsidRPr="00BE00C7" w:rsidRDefault="002402CC" w:rsidP="00BE00C7">
            <w:pPr>
              <w:pStyle w:val="OutcomeDescription"/>
              <w:spacing w:before="120" w:after="120"/>
              <w:rPr>
                <w:rFonts w:cs="Arial"/>
                <w:lang w:eastAsia="en-NZ"/>
              </w:rPr>
            </w:pPr>
          </w:p>
        </w:tc>
      </w:tr>
      <w:tr w:rsidR="00C90523" w14:paraId="2440D423" w14:textId="77777777">
        <w:tc>
          <w:tcPr>
            <w:tcW w:w="0" w:type="auto"/>
          </w:tcPr>
          <w:p w14:paraId="1EFAFDF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DEC9E88"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lastRenderedPageBreak/>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98A7FAE" w14:textId="77777777" w:rsidR="002402CC" w:rsidRPr="00BE00C7" w:rsidRDefault="002402CC" w:rsidP="00BE00C7">
            <w:pPr>
              <w:pStyle w:val="OutcomeDescription"/>
              <w:spacing w:before="120" w:after="120"/>
              <w:rPr>
                <w:rFonts w:cs="Arial"/>
                <w:lang w:eastAsia="en-NZ"/>
              </w:rPr>
            </w:pPr>
          </w:p>
        </w:tc>
        <w:tc>
          <w:tcPr>
            <w:tcW w:w="0" w:type="auto"/>
          </w:tcPr>
          <w:p w14:paraId="7150F97E"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805B52" w14:textId="5D7F0A3D" w:rsidR="002402CC"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w:t>
            </w:r>
            <w:r w:rsidRPr="00BE00C7">
              <w:rPr>
                <w:rFonts w:cs="Arial"/>
                <w:lang w:eastAsia="en-NZ"/>
              </w:rPr>
              <w:lastRenderedPageBreak/>
              <w:t>an environment that minimises the risk of infection to residents, staff, and visitors. The Infection Prevention and Antimicrobial Stewardship (IPAS) Governance policy was updated in January 2025, which refers to a set of commitments and actions the village follows</w:t>
            </w:r>
            <w:r w:rsidR="00225616">
              <w:rPr>
                <w:rFonts w:cs="Arial"/>
                <w:lang w:eastAsia="en-NZ"/>
              </w:rPr>
              <w:t xml:space="preserve"> that</w:t>
            </w:r>
            <w:r w:rsidRPr="00BE00C7">
              <w:rPr>
                <w:rFonts w:cs="Arial"/>
                <w:lang w:eastAsia="en-NZ"/>
              </w:rPr>
              <w:t xml:space="preserve"> “optimises the treatment of infections while reducing adverse events associated with antibiotic use”.</w:t>
            </w:r>
          </w:p>
          <w:p w14:paraId="393C3F11"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Advice around infection control matters is also sought via Ryman’s IPAS Nurse Specialist (RN), Regional operations manager and Operations manager (RN), Group Clinical Care Manager (RN), and local infection control specialist team at Public Health and liaising with GPs. The Infection Prevention and Antimicrobial Stewardship (IPAS) governance committee structure consists of organisational and village committees. The Village IPAS Committee reports to the IPAS Operational Team, which in turn reports to the IPAS Advisory Committee, who report to the clinical governance committee (advisory to the Chief Executive Officer (CEO) and Board of Directors). The Infection Prevention and Antimicrobial SharePoint page is comprehensive and reference for IPAS programme and escalation procedures within the organisation. </w:t>
            </w:r>
          </w:p>
          <w:p w14:paraId="574C46B1" w14:textId="77777777" w:rsidR="002402CC" w:rsidRPr="00BE00C7" w:rsidRDefault="002402CC" w:rsidP="00BE00C7">
            <w:pPr>
              <w:pStyle w:val="OutcomeDescription"/>
              <w:spacing w:before="120" w:after="120"/>
              <w:rPr>
                <w:rFonts w:cs="Arial"/>
                <w:lang w:eastAsia="en-NZ"/>
              </w:rPr>
            </w:pPr>
          </w:p>
        </w:tc>
      </w:tr>
      <w:tr w:rsidR="00C90523" w14:paraId="204FD419" w14:textId="77777777">
        <w:tc>
          <w:tcPr>
            <w:tcW w:w="0" w:type="auto"/>
          </w:tcPr>
          <w:p w14:paraId="66170267"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BC4126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027286" w14:textId="77777777" w:rsidR="002402CC" w:rsidRPr="00BE00C7" w:rsidRDefault="002402CC" w:rsidP="00BE00C7">
            <w:pPr>
              <w:pStyle w:val="OutcomeDescription"/>
              <w:spacing w:before="120" w:after="120"/>
              <w:rPr>
                <w:rFonts w:cs="Arial"/>
                <w:lang w:eastAsia="en-NZ"/>
              </w:rPr>
            </w:pPr>
          </w:p>
        </w:tc>
        <w:tc>
          <w:tcPr>
            <w:tcW w:w="0" w:type="auto"/>
          </w:tcPr>
          <w:p w14:paraId="14F0639C"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2A24D9" w14:textId="6B9F5759" w:rsidR="002402CC"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are reviewed annually by the IPAS nurse specialist. The Infection Prevention and Antimicrobial SharePoint page is </w:t>
            </w:r>
            <w:r w:rsidR="00225616">
              <w:rPr>
                <w:rFonts w:cs="Arial"/>
                <w:lang w:eastAsia="en-NZ"/>
              </w:rPr>
              <w:t xml:space="preserve">a </w:t>
            </w:r>
            <w:r w:rsidRPr="00BE00C7">
              <w:rPr>
                <w:rFonts w:cs="Arial"/>
                <w:lang w:eastAsia="en-NZ"/>
              </w:rPr>
              <w:t xml:space="preserve">comprehensive reference for </w:t>
            </w:r>
            <w:r w:rsidR="00225616">
              <w:rPr>
                <w:rFonts w:cs="Arial"/>
                <w:lang w:eastAsia="en-NZ"/>
              </w:rPr>
              <w:t xml:space="preserve">the </w:t>
            </w:r>
            <w:r w:rsidRPr="00BE00C7">
              <w:rPr>
                <w:rFonts w:cs="Arial"/>
                <w:lang w:eastAsia="en-NZ"/>
              </w:rPr>
              <w:t>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training for the role.</w:t>
            </w:r>
          </w:p>
          <w:p w14:paraId="1CD4761F"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Village IPAS meets every two months. Meetings discuss relevant policy and document changes, relevant education, data and analysis, and audits and any concerns. The Village IPAS consists of village </w:t>
            </w:r>
            <w:r w:rsidRPr="00BE00C7">
              <w:rPr>
                <w:rFonts w:cs="Arial"/>
                <w:lang w:eastAsia="en-NZ"/>
              </w:rPr>
              <w:lastRenderedPageBreak/>
              <w:t>manager, clinical manager (IPCL), RNs, unit coordinator, and housekeeper. They are currently discussing including a caregiver on the committee.</w:t>
            </w:r>
          </w:p>
          <w:p w14:paraId="1DC43C36"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IPAS nurse specialist. The IPCL described the outbreak management plan in place to manage previous Covid-19 and influenza outbreaks within the facility. Outbreak management plans and post outbreak meetings were sighted for the outbreaks of Covid-19 and influenza. These included notifying Public Health, completion of daily case logs, and daily updates to Health New Zealand, notifying family/whānau, increased monitoring of residents, cleaning, catering, laundry, waste disposal, recovery, communication, and a summary of the successfulness of the response. On interview, staff were familiar with infection prevention practices and confirmed ongoing training and annual competencies for hand hygiene and correct use of personal protective clothing. The IPCL audit monitors the effectiveness of education and infection control practices. The IPCL has input in the procurement of consumables and personal protective equipment (PPE). Sufficient IP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IPCL conducts spot audits on hand hygiene practices six-monthly. The service has infection prevention information and hand hygiene posters in te reo Māori. </w:t>
            </w:r>
          </w:p>
          <w:p w14:paraId="0C4698E5"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IPCL stated that when the service has any Māori residents, they would work in partnership with them and their whānau for the protection of culturally safe practices in infection prevention, acknowledging the spirit of Te Tiriti.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IPCL be involved, should there be any changes or refurbishment of the facility. There are procedures to check these are included in the internal audit system. Infection prevention and control is part of staff orientation and included in the annual training plan. Staff have completed hand hygiene and personal protective </w:t>
            </w:r>
            <w:r w:rsidRPr="00BE00C7">
              <w:rPr>
                <w:rFonts w:cs="Arial"/>
                <w:lang w:eastAsia="en-NZ"/>
              </w:rPr>
              <w:lastRenderedPageBreak/>
              <w:t>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0B64424A" w14:textId="77777777" w:rsidR="002402CC" w:rsidRPr="00BE00C7" w:rsidRDefault="002402CC" w:rsidP="00BE00C7">
            <w:pPr>
              <w:pStyle w:val="OutcomeDescription"/>
              <w:spacing w:before="120" w:after="120"/>
              <w:rPr>
                <w:rFonts w:cs="Arial"/>
                <w:lang w:eastAsia="en-NZ"/>
              </w:rPr>
            </w:pPr>
          </w:p>
        </w:tc>
      </w:tr>
      <w:tr w:rsidR="00C90523" w14:paraId="6CEF512C" w14:textId="77777777">
        <w:tc>
          <w:tcPr>
            <w:tcW w:w="0" w:type="auto"/>
          </w:tcPr>
          <w:p w14:paraId="318873F0"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AD48225"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591BBFB" w14:textId="77777777" w:rsidR="002402CC" w:rsidRPr="00BE00C7" w:rsidRDefault="002402CC" w:rsidP="00BE00C7">
            <w:pPr>
              <w:pStyle w:val="OutcomeDescription"/>
              <w:spacing w:before="120" w:after="120"/>
              <w:rPr>
                <w:rFonts w:cs="Arial"/>
                <w:lang w:eastAsia="en-NZ"/>
              </w:rPr>
            </w:pPr>
          </w:p>
        </w:tc>
        <w:tc>
          <w:tcPr>
            <w:tcW w:w="0" w:type="auto"/>
          </w:tcPr>
          <w:p w14:paraId="62E54D4B"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D33088" w14:textId="77777777" w:rsidR="002402CC"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w:t>
            </w:r>
          </w:p>
          <w:p w14:paraId="6DF995AA"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Responsible use of antimicrobials is promoted. Quantity and types of antibiotic usage is monitored monthly. The Ryman Medication Advisory Committee (MAC) collaborates with the Village IPCL, IPAS nurse specialist, general practitioners, and pharmacists to monitor antibiotic use nationally. Antibiotic usage, including quantity and type, is monitored monthly.</w:t>
            </w:r>
          </w:p>
          <w:p w14:paraId="1AEF86CF"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nurse practitioner. </w:t>
            </w:r>
          </w:p>
          <w:p w14:paraId="721363FA" w14:textId="77777777" w:rsidR="002402CC" w:rsidRPr="00BE00C7" w:rsidRDefault="002402CC" w:rsidP="00BE00C7">
            <w:pPr>
              <w:pStyle w:val="OutcomeDescription"/>
              <w:spacing w:before="120" w:after="120"/>
              <w:rPr>
                <w:rFonts w:cs="Arial"/>
                <w:lang w:eastAsia="en-NZ"/>
              </w:rPr>
            </w:pPr>
          </w:p>
        </w:tc>
      </w:tr>
      <w:tr w:rsidR="00C90523" w14:paraId="4FDC40FD" w14:textId="77777777">
        <w:tc>
          <w:tcPr>
            <w:tcW w:w="0" w:type="auto"/>
          </w:tcPr>
          <w:p w14:paraId="3409FFCB" w14:textId="77777777" w:rsidR="002402CC"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EA6DD7E"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628C274D" w14:textId="77777777" w:rsidR="002402CC" w:rsidRPr="00BE00C7" w:rsidRDefault="002402CC" w:rsidP="00BE00C7">
            <w:pPr>
              <w:pStyle w:val="OutcomeDescription"/>
              <w:spacing w:before="120" w:after="120"/>
              <w:rPr>
                <w:rFonts w:cs="Arial"/>
                <w:lang w:eastAsia="en-NZ"/>
              </w:rPr>
            </w:pPr>
          </w:p>
        </w:tc>
        <w:tc>
          <w:tcPr>
            <w:tcW w:w="0" w:type="auto"/>
          </w:tcPr>
          <w:p w14:paraId="35CCB0FB"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AE5844"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reported in my Ryman electronic system and data is extracted into Power BI for analysis. Surveillance of </w:t>
            </w:r>
            <w:r w:rsidRPr="00BE00C7">
              <w:rPr>
                <w:rFonts w:cs="Arial"/>
                <w:lang w:eastAsia="en-NZ"/>
              </w:rPr>
              <w:lastRenderedPageBreak/>
              <w:t>all infections (including organisms) is entered onto a monthly infection summary. This data is monitored and analysed for trends, monthly and six-monthly.</w:t>
            </w:r>
          </w:p>
          <w:p w14:paraId="237CDC55"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 Infection control surveillance is discussed during the infection control committee meeting held every two months and monthly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associated infection. </w:t>
            </w:r>
          </w:p>
          <w:p w14:paraId="081D6221" w14:textId="77777777" w:rsidR="002402CC" w:rsidRPr="00BE00C7" w:rsidRDefault="00000000" w:rsidP="00BE00C7">
            <w:pPr>
              <w:pStyle w:val="OutcomeDescription"/>
              <w:spacing w:before="120" w:after="120"/>
              <w:rPr>
                <w:rFonts w:cs="Arial"/>
                <w:lang w:eastAsia="en-NZ"/>
              </w:rPr>
            </w:pPr>
            <w:r w:rsidRPr="00BE00C7">
              <w:rPr>
                <w:rFonts w:cs="Arial"/>
                <w:lang w:eastAsia="en-NZ"/>
              </w:rPr>
              <w:t>Since the last audit (2023), there have been seven outbreaks, including influenza A, Covid -19 (two), respiratory syncytial virus (RSV), gastroenteritis, and scabies. The IPCL described the outbreak management plan in place to manage previous outbreaks within the facility. Outbreak management plans and post outbreak meetings were sighted for the outbreaks of Covid-19, influenza A, gastroenteritis, and scabies. These included notifying Public Health, completion of daily case logs, and daily updates to Health New Zealand, notifying family/whānau, increased monitoring of residents, cleaning, catering, laundry, waste disposal, recovery, communication, and a summary of the successfulness of the response.</w:t>
            </w:r>
          </w:p>
          <w:p w14:paraId="6A4A36C5" w14:textId="77777777" w:rsidR="002402CC" w:rsidRPr="00BE00C7" w:rsidRDefault="00000000" w:rsidP="00BE00C7">
            <w:pPr>
              <w:pStyle w:val="OutcomeDescription"/>
              <w:spacing w:before="120" w:after="120"/>
              <w:rPr>
                <w:rFonts w:cs="Arial"/>
                <w:lang w:eastAsia="en-NZ"/>
              </w:rPr>
            </w:pPr>
            <w:r w:rsidRPr="00BE00C7">
              <w:rPr>
                <w:rFonts w:cs="Arial"/>
                <w:lang w:eastAsia="en-NZ"/>
              </w:rPr>
              <w:t>On the days of audit there was an influenza A outbreak in the special care unit. This was observed to be well managed as above.</w:t>
            </w:r>
          </w:p>
          <w:p w14:paraId="3C2418E8" w14:textId="77777777" w:rsidR="002402CC" w:rsidRPr="00BE00C7" w:rsidRDefault="002402CC" w:rsidP="00BE00C7">
            <w:pPr>
              <w:pStyle w:val="OutcomeDescription"/>
              <w:spacing w:before="120" w:after="120"/>
              <w:rPr>
                <w:rFonts w:cs="Arial"/>
                <w:lang w:eastAsia="en-NZ"/>
              </w:rPr>
            </w:pPr>
          </w:p>
        </w:tc>
      </w:tr>
      <w:tr w:rsidR="00C90523" w14:paraId="6BB8F2EE" w14:textId="77777777">
        <w:tc>
          <w:tcPr>
            <w:tcW w:w="0" w:type="auto"/>
          </w:tcPr>
          <w:p w14:paraId="4FB61967"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7F9690D"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563FC906" w14:textId="77777777" w:rsidR="002402CC" w:rsidRPr="00BE00C7" w:rsidRDefault="002402CC" w:rsidP="00BE00C7">
            <w:pPr>
              <w:pStyle w:val="OutcomeDescription"/>
              <w:spacing w:before="120" w:after="120"/>
              <w:rPr>
                <w:rFonts w:cs="Arial"/>
                <w:lang w:eastAsia="en-NZ"/>
              </w:rPr>
            </w:pPr>
          </w:p>
        </w:tc>
        <w:tc>
          <w:tcPr>
            <w:tcW w:w="0" w:type="auto"/>
          </w:tcPr>
          <w:p w14:paraId="680FD8F3"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02C016"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face shields and masks are available for staff, and they were observed to be wearing these as they </w:t>
            </w:r>
            <w:r w:rsidRPr="00BE00C7">
              <w:rPr>
                <w:rFonts w:cs="Arial"/>
                <w:lang w:eastAsia="en-NZ"/>
              </w:rPr>
              <w:lastRenderedPageBreak/>
              <w:t xml:space="preserve">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and confirmed they had received training in the use of different coloured cloths and mops and in the dilution of chemicals used. The facility was seen to be clean throughout. </w:t>
            </w:r>
          </w:p>
          <w:p w14:paraId="5B8FF5B7" w14:textId="77777777" w:rsidR="002402CC"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All laundry is completed on site.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checked and serviced regularly. The IPCL oversees the completion of cleaning, laundry, and environmental audits.</w:t>
            </w:r>
          </w:p>
          <w:p w14:paraId="3CD252A2" w14:textId="77777777" w:rsidR="002402CC" w:rsidRPr="00BE00C7" w:rsidRDefault="002402CC" w:rsidP="00BE00C7">
            <w:pPr>
              <w:pStyle w:val="OutcomeDescription"/>
              <w:spacing w:before="120" w:after="120"/>
              <w:rPr>
                <w:rFonts w:cs="Arial"/>
                <w:lang w:eastAsia="en-NZ"/>
              </w:rPr>
            </w:pPr>
          </w:p>
        </w:tc>
      </w:tr>
      <w:tr w:rsidR="00C90523" w14:paraId="6CD54B49" w14:textId="77777777">
        <w:tc>
          <w:tcPr>
            <w:tcW w:w="0" w:type="auto"/>
          </w:tcPr>
          <w:p w14:paraId="314C8BBF" w14:textId="77777777" w:rsidR="002402CC"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99FED1" w14:textId="77777777" w:rsidR="002402CC"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D18F5D" w14:textId="77777777" w:rsidR="002402CC" w:rsidRPr="00BE00C7" w:rsidRDefault="002402CC" w:rsidP="00BE00C7">
            <w:pPr>
              <w:pStyle w:val="OutcomeDescription"/>
              <w:spacing w:before="120" w:after="120"/>
              <w:rPr>
                <w:rFonts w:cs="Arial"/>
                <w:lang w:eastAsia="en-NZ"/>
              </w:rPr>
            </w:pPr>
          </w:p>
        </w:tc>
        <w:tc>
          <w:tcPr>
            <w:tcW w:w="0" w:type="auto"/>
          </w:tcPr>
          <w:p w14:paraId="1875AACB" w14:textId="77777777" w:rsidR="002402CC"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25F693"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family/whānau, and the choice of device must be the least restrictive possible. Ryman Bert Sutcliffe is committed to providing a restraint-free environment to the best of their ability. This is supported by the governing body, management, unit coordinators and staff. At all times when restraint is considered, the facility will work in partnership with Māori, to ensure resident voices are heard, to promote and ensure services are mana enhancing. At the time of the audit, the facility was restraint free. </w:t>
            </w:r>
          </w:p>
          <w:p w14:paraId="4C715485"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(hospital unit coordinator) confirmed the service is committed to providing services to residents without use of restraint.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w:t>
            </w:r>
            <w:r w:rsidRPr="00BE00C7">
              <w:rPr>
                <w:rFonts w:cs="Arial"/>
                <w:lang w:eastAsia="en-NZ"/>
              </w:rPr>
              <w:lastRenderedPageBreak/>
              <w:t xml:space="preserve">and educating staff on maintaining safety for individual residents. The use of restraint (if any) would be reported in the clinical, quality meetings and in a monthly restraint summary, which is shared with Ryman head office. The monthly report showed there is no use of restraint and training is up to date. A restraint approval committee meets every six months (the minutes were available for the 2024 and 2025 years) to review falls, unsettled residents, use of antipsychotic medications and if appropriate, strategies are in place for residents and staff education needs. </w:t>
            </w:r>
          </w:p>
          <w:p w14:paraId="32C45A8B" w14:textId="77777777" w:rsidR="002402CC"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 Staff complete an annual competency test.</w:t>
            </w:r>
          </w:p>
          <w:p w14:paraId="31D25360" w14:textId="77777777" w:rsidR="002402CC" w:rsidRPr="00BE00C7" w:rsidRDefault="002402CC" w:rsidP="00BE00C7">
            <w:pPr>
              <w:pStyle w:val="OutcomeDescription"/>
              <w:spacing w:before="120" w:after="120"/>
              <w:rPr>
                <w:rFonts w:cs="Arial"/>
                <w:lang w:eastAsia="en-NZ"/>
              </w:rPr>
            </w:pPr>
          </w:p>
        </w:tc>
      </w:tr>
    </w:tbl>
    <w:p w14:paraId="4DB61F50" w14:textId="77777777" w:rsidR="002402CC" w:rsidRPr="00BE00C7" w:rsidRDefault="002402CC" w:rsidP="00BE00C7">
      <w:pPr>
        <w:pStyle w:val="OutcomeDescription"/>
        <w:spacing w:before="120" w:after="120"/>
        <w:rPr>
          <w:rFonts w:cs="Arial"/>
          <w:lang w:eastAsia="en-NZ"/>
        </w:rPr>
      </w:pPr>
      <w:bookmarkStart w:id="56" w:name="AuditSummaryAttainment"/>
      <w:bookmarkEnd w:id="56"/>
    </w:p>
    <w:p w14:paraId="5EDC1A33" w14:textId="77777777" w:rsidR="002402CC" w:rsidRDefault="00000000">
      <w:pPr>
        <w:pStyle w:val="Heading1"/>
        <w:rPr>
          <w:rFonts w:cs="Arial"/>
        </w:rPr>
      </w:pPr>
      <w:r>
        <w:rPr>
          <w:rFonts w:cs="Arial"/>
        </w:rPr>
        <w:lastRenderedPageBreak/>
        <w:t>Specific results for criterion where corrective actions are required</w:t>
      </w:r>
    </w:p>
    <w:p w14:paraId="3CE60413" w14:textId="77777777" w:rsidR="002402CC"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F3715CE" w14:textId="77777777" w:rsidR="002402CC"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4C75EC" w14:textId="77777777" w:rsidR="002402CC"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325"/>
        <w:gridCol w:w="4250"/>
        <w:gridCol w:w="3408"/>
        <w:gridCol w:w="2181"/>
      </w:tblGrid>
      <w:tr w:rsidR="00C90523" w14:paraId="3794545F" w14:textId="77777777">
        <w:tc>
          <w:tcPr>
            <w:tcW w:w="0" w:type="auto"/>
          </w:tcPr>
          <w:p w14:paraId="1354C2C4" w14:textId="77777777" w:rsidR="002402CC"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C09F7D"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B3406C"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BB4A0D"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8148DE5" w14:textId="77777777" w:rsidR="002402CC"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90523" w14:paraId="27F21D61" w14:textId="77777777">
        <w:tc>
          <w:tcPr>
            <w:tcW w:w="0" w:type="auto"/>
          </w:tcPr>
          <w:p w14:paraId="5075939B" w14:textId="77777777" w:rsidR="002402CC" w:rsidRPr="00BE00C7" w:rsidRDefault="00000000" w:rsidP="00BE00C7">
            <w:pPr>
              <w:pStyle w:val="OutcomeDescription"/>
              <w:spacing w:before="120" w:after="120"/>
              <w:rPr>
                <w:rFonts w:cs="Arial"/>
                <w:lang w:eastAsia="en-NZ"/>
              </w:rPr>
            </w:pPr>
            <w:r w:rsidRPr="00BE00C7">
              <w:rPr>
                <w:rFonts w:cs="Arial"/>
                <w:lang w:eastAsia="en-NZ"/>
              </w:rPr>
              <w:t>Criterion 3.2.1</w:t>
            </w:r>
          </w:p>
          <w:p w14:paraId="49AC8C02" w14:textId="77777777" w:rsidR="002402CC"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B83F560" w14:textId="77777777" w:rsidR="002402CC"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0695D1D" w14:textId="77777777" w:rsidR="002402CC" w:rsidRPr="00BE00C7" w:rsidRDefault="00000000" w:rsidP="00BE00C7">
            <w:pPr>
              <w:pStyle w:val="OutcomeDescription"/>
              <w:spacing w:before="120" w:after="120"/>
              <w:rPr>
                <w:rFonts w:cs="Arial"/>
                <w:lang w:eastAsia="en-NZ"/>
              </w:rPr>
            </w:pPr>
            <w:r w:rsidRPr="00BE00C7">
              <w:rPr>
                <w:rFonts w:cs="Arial"/>
                <w:lang w:eastAsia="en-NZ"/>
              </w:rPr>
              <w:t>All resident files reviewed had initial assessments and care plans completed within required timeframes. All resident files where required (one ACC and one respite resident did not require an interRAI) had a current interRAI assessment; however, this was not consistently completed within required timeframes, and did not always inform the long-term care plan.</w:t>
            </w:r>
          </w:p>
          <w:p w14:paraId="3525D11E" w14:textId="77777777" w:rsidR="002402CC" w:rsidRPr="00BE00C7" w:rsidRDefault="002402CC" w:rsidP="00BE00C7">
            <w:pPr>
              <w:pStyle w:val="OutcomeDescription"/>
              <w:spacing w:before="120" w:after="120"/>
              <w:rPr>
                <w:rFonts w:cs="Arial"/>
                <w:lang w:eastAsia="en-NZ"/>
              </w:rPr>
            </w:pPr>
          </w:p>
        </w:tc>
        <w:tc>
          <w:tcPr>
            <w:tcW w:w="0" w:type="auto"/>
          </w:tcPr>
          <w:p w14:paraId="06D42C7E" w14:textId="77777777" w:rsidR="002402CC"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were not completed within required timeframes for five of nine files (two rest home, one hospital, one serviced apartment and one special care unit) where this was required, and assessments did not consistently inform the care plans. </w:t>
            </w:r>
          </w:p>
          <w:p w14:paraId="14BB80EB" w14:textId="77777777" w:rsidR="002402CC" w:rsidRPr="00BE00C7" w:rsidRDefault="002402CC" w:rsidP="00BE00C7">
            <w:pPr>
              <w:pStyle w:val="OutcomeDescription"/>
              <w:spacing w:before="120" w:after="120"/>
              <w:rPr>
                <w:rFonts w:cs="Arial"/>
                <w:lang w:eastAsia="en-NZ"/>
              </w:rPr>
            </w:pPr>
          </w:p>
        </w:tc>
        <w:tc>
          <w:tcPr>
            <w:tcW w:w="0" w:type="auto"/>
          </w:tcPr>
          <w:p w14:paraId="784D721D" w14:textId="77777777" w:rsidR="002402CC" w:rsidRPr="00BE00C7" w:rsidRDefault="00000000" w:rsidP="00BE00C7">
            <w:pPr>
              <w:pStyle w:val="OutcomeDescription"/>
              <w:spacing w:before="120" w:after="120"/>
              <w:rPr>
                <w:rFonts w:cs="Arial"/>
                <w:lang w:eastAsia="en-NZ"/>
              </w:rPr>
            </w:pPr>
            <w:r w:rsidRPr="00BE00C7">
              <w:rPr>
                <w:rFonts w:cs="Arial"/>
                <w:lang w:eastAsia="en-NZ"/>
              </w:rPr>
              <w:t>Ensure interRAI assessments are completed within required timeframes and prior to the long-term care plan.</w:t>
            </w:r>
          </w:p>
          <w:p w14:paraId="4E1FABF5" w14:textId="77777777" w:rsidR="002402CC" w:rsidRPr="00BE00C7" w:rsidRDefault="002402CC" w:rsidP="00BE00C7">
            <w:pPr>
              <w:pStyle w:val="OutcomeDescription"/>
              <w:spacing w:before="120" w:after="120"/>
              <w:rPr>
                <w:rFonts w:cs="Arial"/>
                <w:lang w:eastAsia="en-NZ"/>
              </w:rPr>
            </w:pPr>
          </w:p>
          <w:p w14:paraId="3014C5B9" w14:textId="77777777" w:rsidR="002402CC"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0E5DDD8B" w14:textId="77777777" w:rsidR="002402CC" w:rsidRPr="00BE00C7" w:rsidRDefault="002402CC" w:rsidP="00BE00C7">
      <w:pPr>
        <w:pStyle w:val="OutcomeDescription"/>
        <w:spacing w:before="120" w:after="120"/>
        <w:rPr>
          <w:rFonts w:cs="Arial"/>
          <w:lang w:eastAsia="en-NZ"/>
        </w:rPr>
      </w:pPr>
      <w:bookmarkStart w:id="57" w:name="AuditSummaryCAMCriterion"/>
      <w:bookmarkEnd w:id="57"/>
    </w:p>
    <w:p w14:paraId="4208E607" w14:textId="77777777" w:rsidR="002402CC" w:rsidRDefault="00000000">
      <w:pPr>
        <w:pStyle w:val="Heading1"/>
        <w:rPr>
          <w:rFonts w:cs="Arial"/>
        </w:rPr>
      </w:pPr>
      <w:r>
        <w:rPr>
          <w:rFonts w:cs="Arial"/>
        </w:rPr>
        <w:lastRenderedPageBreak/>
        <w:t>Specific results for criterion where a continuous improvement has been recorded</w:t>
      </w:r>
    </w:p>
    <w:p w14:paraId="6A6D6DC9" w14:textId="77777777" w:rsidR="002402CC"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319B0A8" w14:textId="77777777" w:rsidR="002402CC"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B9AE172" w14:textId="77777777" w:rsidR="002402CC"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90523" w14:paraId="3379CF3B" w14:textId="77777777">
        <w:tc>
          <w:tcPr>
            <w:tcW w:w="0" w:type="auto"/>
          </w:tcPr>
          <w:p w14:paraId="4FC77FAC" w14:textId="77777777" w:rsidR="002402CC"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0FC83F" w14:textId="77777777" w:rsidR="002402CC" w:rsidRPr="00BE00C7" w:rsidRDefault="002402CC" w:rsidP="00BE00C7">
      <w:pPr>
        <w:pStyle w:val="OutcomeDescription"/>
        <w:spacing w:before="120" w:after="120"/>
        <w:rPr>
          <w:rFonts w:cs="Arial"/>
          <w:lang w:eastAsia="en-NZ"/>
        </w:rPr>
      </w:pPr>
      <w:bookmarkStart w:id="58" w:name="AuditSummaryCAMImprovment"/>
      <w:bookmarkEnd w:id="58"/>
    </w:p>
    <w:p w14:paraId="6F821378" w14:textId="77777777" w:rsidR="002402CC" w:rsidRDefault="00000000">
      <w:pPr>
        <w:pStyle w:val="OutcomeDescription"/>
        <w:spacing w:before="240"/>
        <w:rPr>
          <w:rFonts w:cs="Arial"/>
          <w:sz w:val="24"/>
          <w:lang w:eastAsia="en-NZ"/>
        </w:rPr>
      </w:pPr>
      <w:r>
        <w:rPr>
          <w:rFonts w:cs="Arial"/>
          <w:sz w:val="24"/>
          <w:lang w:eastAsia="en-NZ"/>
        </w:rPr>
        <w:t>End of the report.</w:t>
      </w:r>
    </w:p>
    <w:sectPr w:rsidR="002402CC"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8C8D" w14:textId="77777777" w:rsidR="005F130D" w:rsidRDefault="005F130D">
      <w:r>
        <w:separator/>
      </w:r>
    </w:p>
  </w:endnote>
  <w:endnote w:type="continuationSeparator" w:id="0">
    <w:p w14:paraId="2E87ACC7" w14:textId="77777777" w:rsidR="005F130D" w:rsidRDefault="005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7C39" w14:textId="77777777" w:rsidR="002402CC" w:rsidRDefault="002402CC">
    <w:pPr>
      <w:pStyle w:val="Footer"/>
    </w:pPr>
  </w:p>
  <w:p w14:paraId="21256C6D" w14:textId="77777777" w:rsidR="002402CC" w:rsidRDefault="002402CC"/>
  <w:p w14:paraId="33BD63A5" w14:textId="77777777" w:rsidR="002402CC"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932E" w14:textId="77777777" w:rsidR="002402C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Bert Sutcliffe Retirement Village Limited - Bert Sutcliffe Retirement Village</w:t>
    </w:r>
    <w:bookmarkEnd w:id="59"/>
    <w:r>
      <w:rPr>
        <w:rFonts w:cs="Arial"/>
        <w:sz w:val="16"/>
        <w:szCs w:val="20"/>
      </w:rPr>
      <w:tab/>
      <w:t xml:space="preserve">Date of Audit: </w:t>
    </w:r>
    <w:bookmarkStart w:id="60" w:name="AuditStartDate1"/>
    <w:r>
      <w:rPr>
        <w:rFonts w:cs="Arial"/>
        <w:sz w:val="16"/>
        <w:szCs w:val="20"/>
      </w:rPr>
      <w:t>18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1F3FB3" w14:textId="77777777" w:rsidR="002402CC" w:rsidRDefault="002402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DAB" w14:textId="77777777" w:rsidR="002402CC" w:rsidRDefault="0024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60A7" w14:textId="77777777" w:rsidR="005F130D" w:rsidRDefault="005F130D">
      <w:r>
        <w:separator/>
      </w:r>
    </w:p>
  </w:footnote>
  <w:footnote w:type="continuationSeparator" w:id="0">
    <w:p w14:paraId="7F1FE25D" w14:textId="77777777" w:rsidR="005F130D" w:rsidRDefault="005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F6B" w14:textId="77777777" w:rsidR="002402CC" w:rsidRDefault="002402CC">
    <w:pPr>
      <w:pStyle w:val="Header"/>
    </w:pPr>
  </w:p>
  <w:p w14:paraId="3D0D3855" w14:textId="77777777" w:rsidR="002402CC" w:rsidRDefault="00240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0F2" w14:textId="77777777" w:rsidR="002402CC" w:rsidRDefault="002402CC">
    <w:pPr>
      <w:pStyle w:val="Header"/>
    </w:pPr>
  </w:p>
  <w:p w14:paraId="19D66F41" w14:textId="77777777" w:rsidR="002402CC" w:rsidRDefault="002402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7D6C" w14:textId="77777777" w:rsidR="002402CC" w:rsidRDefault="00240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9285D98">
      <w:start w:val="1"/>
      <w:numFmt w:val="decimal"/>
      <w:lvlText w:val="%1."/>
      <w:lvlJc w:val="left"/>
      <w:pPr>
        <w:ind w:left="360" w:hanging="360"/>
      </w:pPr>
    </w:lvl>
    <w:lvl w:ilvl="1" w:tplc="2CA05004" w:tentative="1">
      <w:start w:val="1"/>
      <w:numFmt w:val="lowerLetter"/>
      <w:lvlText w:val="%2."/>
      <w:lvlJc w:val="left"/>
      <w:pPr>
        <w:ind w:left="1080" w:hanging="360"/>
      </w:pPr>
    </w:lvl>
    <w:lvl w:ilvl="2" w:tplc="414A40A6" w:tentative="1">
      <w:start w:val="1"/>
      <w:numFmt w:val="lowerRoman"/>
      <w:lvlText w:val="%3."/>
      <w:lvlJc w:val="right"/>
      <w:pPr>
        <w:ind w:left="1800" w:hanging="180"/>
      </w:pPr>
    </w:lvl>
    <w:lvl w:ilvl="3" w:tplc="836C6684" w:tentative="1">
      <w:start w:val="1"/>
      <w:numFmt w:val="decimal"/>
      <w:lvlText w:val="%4."/>
      <w:lvlJc w:val="left"/>
      <w:pPr>
        <w:ind w:left="2520" w:hanging="360"/>
      </w:pPr>
    </w:lvl>
    <w:lvl w:ilvl="4" w:tplc="523080C4" w:tentative="1">
      <w:start w:val="1"/>
      <w:numFmt w:val="lowerLetter"/>
      <w:lvlText w:val="%5."/>
      <w:lvlJc w:val="left"/>
      <w:pPr>
        <w:ind w:left="3240" w:hanging="360"/>
      </w:pPr>
    </w:lvl>
    <w:lvl w:ilvl="5" w:tplc="7106748A" w:tentative="1">
      <w:start w:val="1"/>
      <w:numFmt w:val="lowerRoman"/>
      <w:lvlText w:val="%6."/>
      <w:lvlJc w:val="right"/>
      <w:pPr>
        <w:ind w:left="3960" w:hanging="180"/>
      </w:pPr>
    </w:lvl>
    <w:lvl w:ilvl="6" w:tplc="5D609680" w:tentative="1">
      <w:start w:val="1"/>
      <w:numFmt w:val="decimal"/>
      <w:lvlText w:val="%7."/>
      <w:lvlJc w:val="left"/>
      <w:pPr>
        <w:ind w:left="4680" w:hanging="360"/>
      </w:pPr>
    </w:lvl>
    <w:lvl w:ilvl="7" w:tplc="152EFDAA" w:tentative="1">
      <w:start w:val="1"/>
      <w:numFmt w:val="lowerLetter"/>
      <w:lvlText w:val="%8."/>
      <w:lvlJc w:val="left"/>
      <w:pPr>
        <w:ind w:left="5400" w:hanging="360"/>
      </w:pPr>
    </w:lvl>
    <w:lvl w:ilvl="8" w:tplc="2B98E12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93AE56E">
      <w:start w:val="1"/>
      <w:numFmt w:val="bullet"/>
      <w:lvlText w:val=""/>
      <w:lvlJc w:val="left"/>
      <w:pPr>
        <w:ind w:left="720" w:hanging="360"/>
      </w:pPr>
      <w:rPr>
        <w:rFonts w:ascii="Symbol" w:hAnsi="Symbol" w:hint="default"/>
      </w:rPr>
    </w:lvl>
    <w:lvl w:ilvl="1" w:tplc="41908C3C" w:tentative="1">
      <w:start w:val="1"/>
      <w:numFmt w:val="bullet"/>
      <w:lvlText w:val="o"/>
      <w:lvlJc w:val="left"/>
      <w:pPr>
        <w:ind w:left="1440" w:hanging="360"/>
      </w:pPr>
      <w:rPr>
        <w:rFonts w:ascii="Courier New" w:hAnsi="Courier New" w:cs="Courier New" w:hint="default"/>
      </w:rPr>
    </w:lvl>
    <w:lvl w:ilvl="2" w:tplc="4B06B4CA" w:tentative="1">
      <w:start w:val="1"/>
      <w:numFmt w:val="bullet"/>
      <w:lvlText w:val=""/>
      <w:lvlJc w:val="left"/>
      <w:pPr>
        <w:ind w:left="2160" w:hanging="360"/>
      </w:pPr>
      <w:rPr>
        <w:rFonts w:ascii="Wingdings" w:hAnsi="Wingdings" w:hint="default"/>
      </w:rPr>
    </w:lvl>
    <w:lvl w:ilvl="3" w:tplc="4A40E78E" w:tentative="1">
      <w:start w:val="1"/>
      <w:numFmt w:val="bullet"/>
      <w:lvlText w:val=""/>
      <w:lvlJc w:val="left"/>
      <w:pPr>
        <w:ind w:left="2880" w:hanging="360"/>
      </w:pPr>
      <w:rPr>
        <w:rFonts w:ascii="Symbol" w:hAnsi="Symbol" w:hint="default"/>
      </w:rPr>
    </w:lvl>
    <w:lvl w:ilvl="4" w:tplc="F09419C8" w:tentative="1">
      <w:start w:val="1"/>
      <w:numFmt w:val="bullet"/>
      <w:lvlText w:val="o"/>
      <w:lvlJc w:val="left"/>
      <w:pPr>
        <w:ind w:left="3600" w:hanging="360"/>
      </w:pPr>
      <w:rPr>
        <w:rFonts w:ascii="Courier New" w:hAnsi="Courier New" w:cs="Courier New" w:hint="default"/>
      </w:rPr>
    </w:lvl>
    <w:lvl w:ilvl="5" w:tplc="57F817CA" w:tentative="1">
      <w:start w:val="1"/>
      <w:numFmt w:val="bullet"/>
      <w:lvlText w:val=""/>
      <w:lvlJc w:val="left"/>
      <w:pPr>
        <w:ind w:left="4320" w:hanging="360"/>
      </w:pPr>
      <w:rPr>
        <w:rFonts w:ascii="Wingdings" w:hAnsi="Wingdings" w:hint="default"/>
      </w:rPr>
    </w:lvl>
    <w:lvl w:ilvl="6" w:tplc="155E2172" w:tentative="1">
      <w:start w:val="1"/>
      <w:numFmt w:val="bullet"/>
      <w:lvlText w:val=""/>
      <w:lvlJc w:val="left"/>
      <w:pPr>
        <w:ind w:left="5040" w:hanging="360"/>
      </w:pPr>
      <w:rPr>
        <w:rFonts w:ascii="Symbol" w:hAnsi="Symbol" w:hint="default"/>
      </w:rPr>
    </w:lvl>
    <w:lvl w:ilvl="7" w:tplc="7A9041CC" w:tentative="1">
      <w:start w:val="1"/>
      <w:numFmt w:val="bullet"/>
      <w:lvlText w:val="o"/>
      <w:lvlJc w:val="left"/>
      <w:pPr>
        <w:ind w:left="5760" w:hanging="360"/>
      </w:pPr>
      <w:rPr>
        <w:rFonts w:ascii="Courier New" w:hAnsi="Courier New" w:cs="Courier New" w:hint="default"/>
      </w:rPr>
    </w:lvl>
    <w:lvl w:ilvl="8" w:tplc="8F16BAC4" w:tentative="1">
      <w:start w:val="1"/>
      <w:numFmt w:val="bullet"/>
      <w:lvlText w:val=""/>
      <w:lvlJc w:val="left"/>
      <w:pPr>
        <w:ind w:left="6480" w:hanging="360"/>
      </w:pPr>
      <w:rPr>
        <w:rFonts w:ascii="Wingdings" w:hAnsi="Wingdings" w:hint="default"/>
      </w:rPr>
    </w:lvl>
  </w:abstractNum>
  <w:num w:numId="1" w16cid:durableId="2127000003">
    <w:abstractNumId w:val="1"/>
  </w:num>
  <w:num w:numId="2" w16cid:durableId="15515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23"/>
    <w:rsid w:val="00222085"/>
    <w:rsid w:val="00225616"/>
    <w:rsid w:val="002402CC"/>
    <w:rsid w:val="0031359D"/>
    <w:rsid w:val="005F130D"/>
    <w:rsid w:val="00777374"/>
    <w:rsid w:val="0082200F"/>
    <w:rsid w:val="00C90523"/>
    <w:rsid w:val="00D84A2C"/>
    <w:rsid w:val="00E12D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78E9"/>
  <w15:docId w15:val="{7FE0B5F4-F922-4845-AC70-B74F1E7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15457</Words>
  <Characters>88109</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2025-10-12T19:41:00Z</dcterms:created>
  <dcterms:modified xsi:type="dcterms:W3CDTF">2025-10-12T19:41:00Z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