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A6AC" w14:textId="77777777" w:rsidR="00000000" w:rsidRDefault="00000000">
      <w:pPr>
        <w:pStyle w:val="Heading1"/>
        <w:rPr>
          <w:rFonts w:cs="Arial"/>
        </w:rPr>
      </w:pPr>
      <w:bookmarkStart w:id="0" w:name="PRMS_RIName"/>
      <w:r>
        <w:rPr>
          <w:rFonts w:cs="Arial"/>
        </w:rPr>
        <w:t>FF Care &amp; Village Limited - Fergusson Home &amp; Retirement Village</w:t>
      </w:r>
      <w:bookmarkEnd w:id="0"/>
    </w:p>
    <w:p w14:paraId="56C405A0" w14:textId="77777777" w:rsidR="00000000" w:rsidRDefault="00000000">
      <w:pPr>
        <w:pStyle w:val="Heading2"/>
        <w:spacing w:after="0"/>
        <w:rPr>
          <w:rFonts w:cs="Arial"/>
        </w:rPr>
      </w:pPr>
      <w:r>
        <w:rPr>
          <w:rFonts w:cs="Arial"/>
        </w:rPr>
        <w:t>Introduction</w:t>
      </w:r>
    </w:p>
    <w:p w14:paraId="3918AF9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315970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E502A4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472E93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769EAD4" w14:textId="77777777" w:rsidR="00000000" w:rsidRDefault="00000000">
      <w:pPr>
        <w:spacing w:before="240" w:after="240"/>
        <w:rPr>
          <w:rFonts w:cs="Arial"/>
          <w:lang w:eastAsia="en-NZ"/>
        </w:rPr>
      </w:pPr>
      <w:r>
        <w:rPr>
          <w:rFonts w:cs="Arial"/>
          <w:lang w:eastAsia="en-NZ"/>
        </w:rPr>
        <w:t>The specifics of this audit included:</w:t>
      </w:r>
    </w:p>
    <w:p w14:paraId="5562868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FD0D0A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FF Care &amp; Village Limited</w:t>
      </w:r>
      <w:bookmarkEnd w:id="4"/>
    </w:p>
    <w:p w14:paraId="48E0583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Fergusson Home &amp; Retirement Village</w:t>
      </w:r>
      <w:bookmarkEnd w:id="5"/>
    </w:p>
    <w:p w14:paraId="61A480B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EEA73F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September 2025</w:t>
      </w:r>
      <w:bookmarkEnd w:id="7"/>
      <w:r w:rsidRPr="009418D4">
        <w:rPr>
          <w:rFonts w:cs="Arial"/>
        </w:rPr>
        <w:tab/>
        <w:t xml:space="preserve">End date: </w:t>
      </w:r>
      <w:bookmarkStart w:id="8" w:name="AuditEndDate"/>
      <w:r>
        <w:rPr>
          <w:rFonts w:cs="Arial"/>
        </w:rPr>
        <w:t>12 September 2025</w:t>
      </w:r>
      <w:bookmarkEnd w:id="8"/>
    </w:p>
    <w:p w14:paraId="036FF79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provisional audit was conducted to establish the preparedness of the prospective owner to deliver health and disability services.   </w:t>
      </w:r>
    </w:p>
    <w:bookmarkEnd w:id="9"/>
    <w:p w14:paraId="797A377D" w14:textId="77777777" w:rsidR="00CA51E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60AFBC3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0D50D28" w14:textId="77777777" w:rsidR="00000000" w:rsidRDefault="00000000">
      <w:pPr>
        <w:pStyle w:val="Heading1"/>
        <w:rPr>
          <w:rFonts w:cs="Arial"/>
        </w:rPr>
      </w:pPr>
      <w:r>
        <w:rPr>
          <w:rFonts w:cs="Arial"/>
        </w:rPr>
        <w:lastRenderedPageBreak/>
        <w:t>Executive summary of the audit</w:t>
      </w:r>
    </w:p>
    <w:p w14:paraId="18669CB0" w14:textId="77777777" w:rsidR="00000000" w:rsidRDefault="00000000">
      <w:pPr>
        <w:pStyle w:val="Heading2"/>
        <w:rPr>
          <w:rFonts w:cs="Arial"/>
        </w:rPr>
      </w:pPr>
      <w:r>
        <w:rPr>
          <w:rFonts w:cs="Arial"/>
        </w:rPr>
        <w:t>Introduction</w:t>
      </w:r>
    </w:p>
    <w:p w14:paraId="3395C7A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41948F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910991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CCD3EF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8F5C4D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78CC1E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DF84A7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0011897" w14:textId="77777777" w:rsidR="00000000" w:rsidRDefault="00000000">
      <w:pPr>
        <w:pStyle w:val="Heading2"/>
        <w:spacing w:after="0"/>
        <w:rPr>
          <w:rFonts w:cs="Arial"/>
        </w:rPr>
      </w:pPr>
      <w:r>
        <w:rPr>
          <w:rFonts w:cs="Arial"/>
        </w:rPr>
        <w:t>General overview of the audit</w:t>
      </w:r>
    </w:p>
    <w:p w14:paraId="15190331" w14:textId="77777777" w:rsidR="00000000" w:rsidRDefault="00000000">
      <w:pPr>
        <w:spacing w:before="240" w:line="276" w:lineRule="auto"/>
        <w:rPr>
          <w:rFonts w:eastAsia="Calibri"/>
        </w:rPr>
      </w:pPr>
      <w:bookmarkStart w:id="13" w:name="GeneralOverview"/>
      <w:r w:rsidRPr="00A4268A">
        <w:rPr>
          <w:rFonts w:eastAsia="Calibri"/>
        </w:rPr>
        <w:t>Fergusson House currently operates under Fergusson House Restcare Limited and is managed by five directors who have owned the service since 2019. This provisional audit was conducted as there is a plan to sell the home to FF Care &amp; Village Limited.</w:t>
      </w:r>
    </w:p>
    <w:p w14:paraId="7B9C3A53" w14:textId="77777777" w:rsidR="00CA51EC" w:rsidRPr="00A4268A" w:rsidRDefault="00000000">
      <w:pPr>
        <w:spacing w:before="240" w:line="276" w:lineRule="auto"/>
        <w:rPr>
          <w:rFonts w:eastAsia="Calibri"/>
        </w:rPr>
      </w:pPr>
      <w:r w:rsidRPr="00A4268A">
        <w:rPr>
          <w:rFonts w:eastAsia="Calibri"/>
        </w:rPr>
        <w:t xml:space="preserve">Fergusson House is certified to provide rest home and respite care for up to 44 residents. There were 37 residents on the day of the audit. </w:t>
      </w:r>
    </w:p>
    <w:p w14:paraId="337685F4" w14:textId="77777777" w:rsidR="00CA51EC" w:rsidRPr="00A4268A" w:rsidRDefault="00000000">
      <w:pPr>
        <w:spacing w:before="240" w:line="276" w:lineRule="auto"/>
        <w:rPr>
          <w:rFonts w:eastAsia="Calibri"/>
        </w:rPr>
      </w:pPr>
      <w:r w:rsidRPr="00A4268A">
        <w:rPr>
          <w:rFonts w:eastAsia="Calibri"/>
        </w:rPr>
        <w:t xml:space="preserve">There have been no significant changes to the service or facilities since the previous audit.  </w:t>
      </w:r>
    </w:p>
    <w:p w14:paraId="64FDA899" w14:textId="77777777" w:rsidR="00CA51EC" w:rsidRPr="00A4268A" w:rsidRDefault="00000000">
      <w:pPr>
        <w:spacing w:before="240" w:line="276" w:lineRule="auto"/>
        <w:rPr>
          <w:rFonts w:eastAsia="Calibri"/>
        </w:rPr>
      </w:pPr>
      <w:r w:rsidRPr="00A4268A">
        <w:rPr>
          <w:rFonts w:eastAsia="Calibri"/>
        </w:rPr>
        <w:t xml:space="preserve">This provisional audit was conducted against Ngā Paerewa Health and Disability Services Standard (NZS 8134:2021) and the contracts the service holds with Health New Zealand – Te Whatu Ora. It included a review of policies and procedures, a review of residents’ and staff files, observations, and interviews with residents and whānau, a facility manager/director (FM/D), operations manager (OM), the prospective provider/owner, staff, and a general practitioner. Residents and whānau were complimentary about the care provided. </w:t>
      </w:r>
    </w:p>
    <w:p w14:paraId="7239CFF1" w14:textId="77777777" w:rsidR="00CA51EC" w:rsidRPr="00A4268A" w:rsidRDefault="00000000">
      <w:pPr>
        <w:spacing w:before="240" w:line="276" w:lineRule="auto"/>
        <w:rPr>
          <w:rFonts w:eastAsia="Calibri"/>
        </w:rPr>
      </w:pPr>
      <w:r w:rsidRPr="00A4268A">
        <w:rPr>
          <w:rFonts w:eastAsia="Calibri"/>
        </w:rPr>
        <w:lastRenderedPageBreak/>
        <w:t>There were no areas requiring improvement identified at this audit.</w:t>
      </w:r>
    </w:p>
    <w:p w14:paraId="2EEB5301" w14:textId="77777777" w:rsidR="00CA51EC" w:rsidRPr="00A4268A" w:rsidRDefault="00000000">
      <w:pPr>
        <w:spacing w:before="240" w:line="276" w:lineRule="auto"/>
        <w:rPr>
          <w:rFonts w:eastAsia="Calibri"/>
        </w:rPr>
      </w:pPr>
      <w:r w:rsidRPr="00A4268A">
        <w:rPr>
          <w:rFonts w:eastAsia="Calibri"/>
        </w:rPr>
        <w:t>The prospective owner (director) was interviewed by telephone. The prospective owner had a good understanding of the Ngā Paerewa Standard. The audit was conducted to establish the organisation’s preparedness to deliver a health and disability service. The proposed date for settlement is 31 October 2025.</w:t>
      </w:r>
    </w:p>
    <w:bookmarkEnd w:id="13"/>
    <w:p w14:paraId="14DC09FC" w14:textId="77777777" w:rsidR="00CA51EC" w:rsidRPr="00A4268A" w:rsidRDefault="00CA51EC">
      <w:pPr>
        <w:spacing w:before="240" w:line="276" w:lineRule="auto"/>
        <w:rPr>
          <w:rFonts w:eastAsia="Calibri"/>
        </w:rPr>
      </w:pPr>
    </w:p>
    <w:p w14:paraId="5877BA00"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027D818F" w14:textId="77777777" w:rsidR="00000000" w:rsidRDefault="00000000">
      <w:pPr>
        <w:spacing w:before="240" w:line="276" w:lineRule="auto"/>
        <w:rPr>
          <w:rFonts w:eastAsia="Calibri"/>
        </w:rPr>
      </w:pPr>
      <w:bookmarkStart w:id="14" w:name="ConsumerRights"/>
      <w:r w:rsidRPr="00A4268A">
        <w:rPr>
          <w:rFonts w:eastAsia="Calibri"/>
        </w:rPr>
        <w:t xml:space="preserve">Fergusson House works collaboratively to support and encourage a Māori world view of health in service delivery. Māori are provided with equitable and effective services based on Te Tiriti o Waitangi and the principles of mana motuhake. </w:t>
      </w:r>
    </w:p>
    <w:p w14:paraId="23DFFF7A" w14:textId="77777777" w:rsidR="00CA51EC"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6358AB76" w14:textId="77777777" w:rsidR="00CA51EC"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5BB6AAED" w14:textId="77777777" w:rsidR="00CA51EC"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09C836DE" w14:textId="77777777" w:rsidR="00CA51EC"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4"/>
    <w:p w14:paraId="60EDA449" w14:textId="77777777" w:rsidR="00CA51EC" w:rsidRPr="00A4268A" w:rsidRDefault="00CA51EC">
      <w:pPr>
        <w:spacing w:before="240" w:line="276" w:lineRule="auto"/>
        <w:rPr>
          <w:rFonts w:eastAsia="Calibri"/>
        </w:rPr>
      </w:pPr>
    </w:p>
    <w:p w14:paraId="17C462DB"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p w14:paraId="09F28E91" w14:textId="77777777" w:rsidR="00000000" w:rsidRDefault="00000000">
      <w:pPr>
        <w:spacing w:before="240" w:line="276" w:lineRule="auto"/>
        <w:rPr>
          <w:rFonts w:eastAsia="Calibri"/>
        </w:rPr>
      </w:pPr>
      <w:bookmarkStart w:id="15" w:name="OrganisationalManagement"/>
      <w:r w:rsidRPr="00A4268A">
        <w:rPr>
          <w:rFonts w:eastAsia="Calibri"/>
        </w:rPr>
        <w:t>Fergusson House’s governing body assumes accountability for delivering a high-quality service. This includes supporting meaningful inclusion of Māori in governance groups, honouring Te Tiriti and reducing barriers to improve outcomes for Māori and people with disabilities.</w:t>
      </w:r>
    </w:p>
    <w:p w14:paraId="39540880" w14:textId="77777777" w:rsidR="00CA51EC"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67D6D656" w14:textId="77777777" w:rsidR="00CA51EC"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37E99827" w14:textId="77777777" w:rsidR="00CA51EC"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177EF420" w14:textId="77777777" w:rsidR="00CA51EC"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7C682EF0" w14:textId="77777777" w:rsidR="00CA51EC"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5"/>
    <w:p w14:paraId="43DD99AF" w14:textId="77777777" w:rsidR="00CA51EC" w:rsidRPr="00A4268A" w:rsidRDefault="00CA51EC">
      <w:pPr>
        <w:spacing w:before="240" w:line="276" w:lineRule="auto"/>
        <w:rPr>
          <w:rFonts w:eastAsia="Calibri"/>
        </w:rPr>
      </w:pPr>
    </w:p>
    <w:p w14:paraId="275DA90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BFCCE64"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When people enter Fergusson House, a person-centred and whānau-centred approach is adopted. Relevant information is provided to the potential resident and whānau.  </w:t>
      </w:r>
    </w:p>
    <w:p w14:paraId="6C869BD5" w14:textId="77777777" w:rsidR="00CA51EC" w:rsidRPr="00A4268A" w:rsidRDefault="00000000" w:rsidP="00621629">
      <w:pPr>
        <w:spacing w:before="240" w:line="276" w:lineRule="auto"/>
        <w:rPr>
          <w:rFonts w:eastAsia="Calibri"/>
        </w:rPr>
      </w:pPr>
      <w:r w:rsidRPr="00A4268A">
        <w:rPr>
          <w:rFonts w:eastAsia="Calibri"/>
        </w:rPr>
        <w:lastRenderedPageBreak/>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03151B7D" w14:textId="77777777" w:rsidR="00CA51EC"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5BCC4D78" w14:textId="77777777" w:rsidR="00CA51EC"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47C4E43D" w14:textId="77777777" w:rsidR="00CA51EC"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6774DB5D" w14:textId="77777777" w:rsidR="00CA51EC"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16"/>
    <w:p w14:paraId="09106B83" w14:textId="77777777" w:rsidR="00CA51EC" w:rsidRPr="00A4268A" w:rsidRDefault="00CA51EC" w:rsidP="00621629">
      <w:pPr>
        <w:spacing w:before="240" w:line="276" w:lineRule="auto"/>
        <w:rPr>
          <w:rFonts w:eastAsia="Calibri"/>
        </w:rPr>
      </w:pPr>
    </w:p>
    <w:p w14:paraId="55F9233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09FAD6CC" w14:textId="77777777" w:rsidR="00000000" w:rsidRDefault="00000000">
      <w:pPr>
        <w:spacing w:before="240" w:line="276" w:lineRule="auto"/>
        <w:rPr>
          <w:rFonts w:eastAsia="Calibri"/>
        </w:rPr>
      </w:pPr>
      <w:bookmarkStart w:id="17"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770F0B26" w14:textId="77777777" w:rsidR="00CA51EC"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17"/>
    <w:p w14:paraId="172BB61B" w14:textId="77777777" w:rsidR="00CA51EC" w:rsidRPr="00A4268A" w:rsidRDefault="00CA51EC">
      <w:pPr>
        <w:spacing w:before="240" w:line="276" w:lineRule="auto"/>
        <w:rPr>
          <w:rFonts w:eastAsia="Calibri"/>
        </w:rPr>
      </w:pPr>
    </w:p>
    <w:p w14:paraId="02F5E2AF"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354D3B49"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6EE82DD1" w14:textId="77777777" w:rsidR="00CA51EC"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5C32A402" w14:textId="77777777" w:rsidR="00CA51EC"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1DCACEF3" w14:textId="77777777" w:rsidR="00CA51EC"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0871FB2D" w14:textId="77777777" w:rsidR="00CA51EC"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18"/>
    <w:p w14:paraId="17BD97FC" w14:textId="77777777" w:rsidR="00CA51EC" w:rsidRPr="00A4268A" w:rsidRDefault="00CA51EC">
      <w:pPr>
        <w:spacing w:before="240" w:line="276" w:lineRule="auto"/>
        <w:rPr>
          <w:rFonts w:eastAsia="Calibri"/>
        </w:rPr>
      </w:pPr>
    </w:p>
    <w:p w14:paraId="5F7C5F95" w14:textId="77777777" w:rsidR="00000000" w:rsidRDefault="00000000" w:rsidP="000E6E02">
      <w:pPr>
        <w:pStyle w:val="Heading2"/>
        <w:spacing w:before="0"/>
        <w:rPr>
          <w:rFonts w:cs="Arial"/>
        </w:rPr>
      </w:pPr>
      <w:r w:rsidRPr="00FB778F">
        <w:rPr>
          <w:rFonts w:cs="Arial"/>
        </w:rPr>
        <w:t>Here taratahi │ Restraint and seclusion</w:t>
      </w:r>
    </w:p>
    <w:p w14:paraId="06119AA1" w14:textId="77777777" w:rsidR="00000000" w:rsidRDefault="00000000">
      <w:pPr>
        <w:spacing w:before="240" w:line="276" w:lineRule="auto"/>
        <w:rPr>
          <w:rFonts w:eastAsia="Calibri"/>
        </w:rPr>
      </w:pPr>
      <w:bookmarkStart w:id="19" w:name="InfectionPreventionAndControl"/>
      <w:r w:rsidRPr="00A4268A">
        <w:rPr>
          <w:rFonts w:eastAsia="Calibri"/>
        </w:rPr>
        <w:t xml:space="preserve">The service is a restraint-free environment. This is supported by the governing body and policies and procedures.  There were no residents using restraints at the time of the audit.  </w:t>
      </w:r>
    </w:p>
    <w:p w14:paraId="6C65C6C9" w14:textId="77777777" w:rsidR="00CA51EC"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19"/>
    <w:p w14:paraId="178804FC" w14:textId="77777777" w:rsidR="00CA51EC" w:rsidRPr="00A4268A" w:rsidRDefault="00CA51EC">
      <w:pPr>
        <w:spacing w:before="240" w:line="276" w:lineRule="auto"/>
        <w:rPr>
          <w:rFonts w:eastAsia="Calibri"/>
        </w:rPr>
      </w:pPr>
    </w:p>
    <w:p w14:paraId="5833E3AE" w14:textId="77777777" w:rsidR="00000000" w:rsidRDefault="00000000" w:rsidP="000E6E02">
      <w:pPr>
        <w:pStyle w:val="Heading2"/>
        <w:spacing w:before="0"/>
        <w:rPr>
          <w:rFonts w:cs="Arial"/>
        </w:rPr>
      </w:pPr>
      <w:r>
        <w:rPr>
          <w:rFonts w:cs="Arial"/>
        </w:rPr>
        <w:lastRenderedPageBreak/>
        <w:t>Summary of attainment</w:t>
      </w:r>
    </w:p>
    <w:p w14:paraId="59B2638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A51EC" w14:paraId="48B17AFE" w14:textId="77777777">
        <w:tc>
          <w:tcPr>
            <w:tcW w:w="1384" w:type="dxa"/>
            <w:vAlign w:val="center"/>
          </w:tcPr>
          <w:p w14:paraId="2BA0F94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988CED8" w14:textId="77777777" w:rsidR="00000000" w:rsidRDefault="00000000">
            <w:pPr>
              <w:keepNext/>
              <w:spacing w:before="60" w:after="60"/>
              <w:jc w:val="center"/>
              <w:rPr>
                <w:rFonts w:cs="Arial"/>
                <w:b/>
                <w:sz w:val="20"/>
                <w:szCs w:val="20"/>
              </w:rPr>
            </w:pPr>
            <w:r>
              <w:rPr>
                <w:rFonts w:cs="Arial"/>
                <w:b/>
                <w:sz w:val="20"/>
                <w:szCs w:val="20"/>
              </w:rPr>
              <w:t>Continuous Improvement</w:t>
            </w:r>
          </w:p>
          <w:p w14:paraId="7074266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2F354BB" w14:textId="77777777" w:rsidR="00000000" w:rsidRDefault="00000000">
            <w:pPr>
              <w:keepNext/>
              <w:spacing w:before="60" w:after="60"/>
              <w:jc w:val="center"/>
              <w:rPr>
                <w:rFonts w:cs="Arial"/>
                <w:b/>
                <w:sz w:val="20"/>
                <w:szCs w:val="20"/>
              </w:rPr>
            </w:pPr>
            <w:r>
              <w:rPr>
                <w:rFonts w:cs="Arial"/>
                <w:b/>
                <w:sz w:val="20"/>
                <w:szCs w:val="20"/>
              </w:rPr>
              <w:t>Fully Attained</w:t>
            </w:r>
          </w:p>
          <w:p w14:paraId="3C064CB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8B91C6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084AB0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CA1600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5ED4FB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C173C2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26A770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9646A5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C501A3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80A99E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9C0134F" w14:textId="77777777" w:rsidR="00000000" w:rsidRDefault="00000000">
            <w:pPr>
              <w:keepNext/>
              <w:spacing w:before="60" w:after="60"/>
              <w:jc w:val="center"/>
              <w:rPr>
                <w:rFonts w:cs="Arial"/>
                <w:b/>
                <w:sz w:val="20"/>
                <w:szCs w:val="20"/>
              </w:rPr>
            </w:pPr>
            <w:r>
              <w:rPr>
                <w:rFonts w:cs="Arial"/>
                <w:b/>
                <w:sz w:val="20"/>
                <w:szCs w:val="20"/>
              </w:rPr>
              <w:t>(PA Critical)</w:t>
            </w:r>
          </w:p>
        </w:tc>
      </w:tr>
      <w:tr w:rsidR="00CA51EC" w14:paraId="325FA0AB" w14:textId="77777777">
        <w:tc>
          <w:tcPr>
            <w:tcW w:w="1384" w:type="dxa"/>
            <w:vAlign w:val="center"/>
          </w:tcPr>
          <w:p w14:paraId="5BC82C1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94FD1E2"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7633A40A"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362904C7"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EA9048F"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1520B99E"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237DA9CF"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6E821A6"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CA51EC" w14:paraId="174942C5" w14:textId="77777777">
        <w:tc>
          <w:tcPr>
            <w:tcW w:w="1384" w:type="dxa"/>
            <w:vAlign w:val="center"/>
          </w:tcPr>
          <w:p w14:paraId="19A37EE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04892BA"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6B31BA7E"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168</w:t>
            </w:r>
            <w:bookmarkEnd w:id="28"/>
          </w:p>
        </w:tc>
        <w:tc>
          <w:tcPr>
            <w:tcW w:w="1843" w:type="dxa"/>
            <w:vAlign w:val="center"/>
          </w:tcPr>
          <w:p w14:paraId="6DCC5434"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2C74667"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41E4AC78"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7CB94345"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A569970"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7093345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A51EC" w14:paraId="5E6E75C9" w14:textId="77777777">
        <w:tc>
          <w:tcPr>
            <w:tcW w:w="1384" w:type="dxa"/>
            <w:vAlign w:val="center"/>
          </w:tcPr>
          <w:p w14:paraId="5A4ADC7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4F8C7B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713062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FDF1ED8" w14:textId="77777777" w:rsidR="00000000" w:rsidRDefault="00000000">
            <w:pPr>
              <w:keepNext/>
              <w:spacing w:before="60" w:after="60"/>
              <w:jc w:val="center"/>
              <w:rPr>
                <w:rFonts w:cs="Arial"/>
                <w:b/>
                <w:sz w:val="20"/>
                <w:szCs w:val="20"/>
              </w:rPr>
            </w:pPr>
            <w:r>
              <w:rPr>
                <w:rFonts w:cs="Arial"/>
                <w:b/>
                <w:sz w:val="20"/>
                <w:szCs w:val="20"/>
              </w:rPr>
              <w:t>Unattained Low Risk</w:t>
            </w:r>
          </w:p>
          <w:p w14:paraId="7DAF0BC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F648E51" w14:textId="77777777" w:rsidR="00000000" w:rsidRDefault="00000000">
            <w:pPr>
              <w:keepNext/>
              <w:spacing w:before="60" w:after="60"/>
              <w:jc w:val="center"/>
              <w:rPr>
                <w:rFonts w:cs="Arial"/>
                <w:b/>
                <w:sz w:val="20"/>
                <w:szCs w:val="20"/>
              </w:rPr>
            </w:pPr>
            <w:r>
              <w:rPr>
                <w:rFonts w:cs="Arial"/>
                <w:b/>
                <w:sz w:val="20"/>
                <w:szCs w:val="20"/>
              </w:rPr>
              <w:t>Unattained Moderate Risk</w:t>
            </w:r>
          </w:p>
          <w:p w14:paraId="0FB480F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AC508EF" w14:textId="77777777" w:rsidR="00000000" w:rsidRDefault="00000000">
            <w:pPr>
              <w:keepNext/>
              <w:spacing w:before="60" w:after="60"/>
              <w:jc w:val="center"/>
              <w:rPr>
                <w:rFonts w:cs="Arial"/>
                <w:b/>
                <w:sz w:val="20"/>
                <w:szCs w:val="20"/>
              </w:rPr>
            </w:pPr>
            <w:r>
              <w:rPr>
                <w:rFonts w:cs="Arial"/>
                <w:b/>
                <w:sz w:val="20"/>
                <w:szCs w:val="20"/>
              </w:rPr>
              <w:t>Unattained High Risk</w:t>
            </w:r>
          </w:p>
          <w:p w14:paraId="13F473F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410CA75" w14:textId="77777777" w:rsidR="00000000" w:rsidRDefault="00000000">
            <w:pPr>
              <w:keepNext/>
              <w:spacing w:before="60" w:after="60"/>
              <w:jc w:val="center"/>
              <w:rPr>
                <w:rFonts w:cs="Arial"/>
                <w:b/>
                <w:sz w:val="20"/>
                <w:szCs w:val="20"/>
              </w:rPr>
            </w:pPr>
            <w:r>
              <w:rPr>
                <w:rFonts w:cs="Arial"/>
                <w:b/>
                <w:sz w:val="20"/>
                <w:szCs w:val="20"/>
              </w:rPr>
              <w:t>Unattained Critical Risk</w:t>
            </w:r>
          </w:p>
          <w:p w14:paraId="33339F2E" w14:textId="77777777" w:rsidR="00000000" w:rsidRDefault="00000000">
            <w:pPr>
              <w:keepNext/>
              <w:spacing w:before="60" w:after="60"/>
              <w:jc w:val="center"/>
              <w:rPr>
                <w:rFonts w:cs="Arial"/>
                <w:b/>
                <w:sz w:val="20"/>
                <w:szCs w:val="20"/>
              </w:rPr>
            </w:pPr>
            <w:r>
              <w:rPr>
                <w:rFonts w:cs="Arial"/>
                <w:b/>
                <w:sz w:val="20"/>
                <w:szCs w:val="20"/>
              </w:rPr>
              <w:t>(UA Critical)</w:t>
            </w:r>
          </w:p>
        </w:tc>
      </w:tr>
      <w:tr w:rsidR="00CA51EC" w14:paraId="05DE440D" w14:textId="77777777">
        <w:tc>
          <w:tcPr>
            <w:tcW w:w="1384" w:type="dxa"/>
            <w:vAlign w:val="center"/>
          </w:tcPr>
          <w:p w14:paraId="4EA9843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8416CBF"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0F5BB85"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E27B8E1"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4EC683A"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C6766C4"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CA51EC" w14:paraId="7B256161" w14:textId="77777777">
        <w:tc>
          <w:tcPr>
            <w:tcW w:w="1384" w:type="dxa"/>
            <w:vAlign w:val="center"/>
          </w:tcPr>
          <w:p w14:paraId="3AE547D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901E7E3"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2929AEB5"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F2014EB"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4CCF59EE"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9B9E224"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415D26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4369A1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DC2D6F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6BDEE2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CA51EC" w14:paraId="7E572786" w14:textId="77777777">
        <w:tc>
          <w:tcPr>
            <w:tcW w:w="0" w:type="auto"/>
          </w:tcPr>
          <w:p w14:paraId="5F65B33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B98500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D4294E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A51EC" w14:paraId="41D81460" w14:textId="77777777">
        <w:tc>
          <w:tcPr>
            <w:tcW w:w="0" w:type="auto"/>
          </w:tcPr>
          <w:p w14:paraId="709436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0EDE3A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143A97B" w14:textId="77777777" w:rsidR="00000000" w:rsidRPr="00BE00C7" w:rsidRDefault="00000000" w:rsidP="00BE00C7">
            <w:pPr>
              <w:pStyle w:val="OutcomeDescription"/>
              <w:spacing w:before="120" w:after="120"/>
              <w:rPr>
                <w:rFonts w:cs="Arial"/>
                <w:lang w:eastAsia="en-NZ"/>
              </w:rPr>
            </w:pPr>
          </w:p>
        </w:tc>
        <w:tc>
          <w:tcPr>
            <w:tcW w:w="0" w:type="auto"/>
          </w:tcPr>
          <w:p w14:paraId="5BC99A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35CB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Fergusson House has developed policies, procedures and processes to embed and enact Te Tiriti o Waitangi in all aspects of its work.  Mana motuhake is respected.  Partnerships have been established with local iwi and Māori organisations to support service integration, planning, equity approaches, and support for Māori. A Māori health plan has been developed with input from cultural advisors and is used for residents who identify as Māori.  </w:t>
            </w:r>
          </w:p>
          <w:p w14:paraId="0AD80B2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 There is a cultural committee, which is led by two staff members who identify as Māori. Te Ara Whakapiri principles provide guidance on the last days of life. Care plans sampled included cultural values and beliefs.</w:t>
            </w:r>
          </w:p>
          <w:p w14:paraId="1D31B4C9"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is documented on recruitment and trended.</w:t>
            </w:r>
          </w:p>
          <w:p w14:paraId="16F14B07" w14:textId="77777777" w:rsidR="00000000" w:rsidRPr="00BE00C7" w:rsidRDefault="00000000" w:rsidP="00BE00C7">
            <w:pPr>
              <w:pStyle w:val="OutcomeDescription"/>
              <w:spacing w:before="120" w:after="120"/>
              <w:rPr>
                <w:rFonts w:cs="Arial"/>
                <w:lang w:eastAsia="en-NZ"/>
              </w:rPr>
            </w:pPr>
          </w:p>
        </w:tc>
      </w:tr>
      <w:tr w:rsidR="00CA51EC" w14:paraId="55AA759C" w14:textId="77777777">
        <w:tc>
          <w:tcPr>
            <w:tcW w:w="0" w:type="auto"/>
          </w:tcPr>
          <w:p w14:paraId="19926F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1D15B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7B5687C" w14:textId="77777777" w:rsidR="00000000" w:rsidRPr="00BE00C7" w:rsidRDefault="00000000" w:rsidP="00BE00C7">
            <w:pPr>
              <w:pStyle w:val="OutcomeDescription"/>
              <w:spacing w:before="120" w:after="120"/>
              <w:rPr>
                <w:rFonts w:cs="Arial"/>
                <w:lang w:eastAsia="en-NZ"/>
              </w:rPr>
            </w:pPr>
          </w:p>
        </w:tc>
        <w:tc>
          <w:tcPr>
            <w:tcW w:w="0" w:type="auto"/>
          </w:tcPr>
          <w:p w14:paraId="057648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D934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Fergusson House identifies and works in partnership with Pacific communities and organisations to provide a Pacific plan that </w:t>
            </w:r>
            <w:r w:rsidRPr="00BE00C7">
              <w:rPr>
                <w:rFonts w:cs="Arial"/>
                <w:lang w:eastAsia="en-NZ"/>
              </w:rPr>
              <w:lastRenderedPageBreak/>
              <w:t xml:space="preserve">supports culturally safe practices for Pacific peoples using the service, and on achieving equity. Partnerships enable ongoing planning and evaluation of services and outcomes. </w:t>
            </w:r>
          </w:p>
          <w:p w14:paraId="18D1EB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there were no residents who identified as Pacific people, there were staff members who did so. The FM/D reported that whānau of any resident who identified as Pacific were consulted to ensure any individual needs and supports for the resident were identified and met.  </w:t>
            </w:r>
          </w:p>
          <w:p w14:paraId="484E26E6" w14:textId="77777777" w:rsidR="00000000" w:rsidRPr="00BE00C7" w:rsidRDefault="00000000" w:rsidP="00BE00C7">
            <w:pPr>
              <w:pStyle w:val="OutcomeDescription"/>
              <w:spacing w:before="120" w:after="120"/>
              <w:rPr>
                <w:rFonts w:cs="Arial"/>
                <w:lang w:eastAsia="en-NZ"/>
              </w:rPr>
            </w:pPr>
            <w:r w:rsidRPr="00BE00C7">
              <w:rPr>
                <w:rFonts w:cs="Arial"/>
                <w:lang w:eastAsia="en-NZ"/>
              </w:rPr>
              <w:t>Fergusson House supported increasing Pacific staff capacity at all levels of the organisation, as vacancies and applications for employment permit.</w:t>
            </w:r>
          </w:p>
          <w:p w14:paraId="793732F2" w14:textId="77777777" w:rsidR="00000000" w:rsidRPr="00BE00C7" w:rsidRDefault="00000000" w:rsidP="00BE00C7">
            <w:pPr>
              <w:pStyle w:val="OutcomeDescription"/>
              <w:spacing w:before="120" w:after="120"/>
              <w:rPr>
                <w:rFonts w:cs="Arial"/>
                <w:lang w:eastAsia="en-NZ"/>
              </w:rPr>
            </w:pPr>
          </w:p>
        </w:tc>
      </w:tr>
      <w:tr w:rsidR="00CA51EC" w14:paraId="7C11EA1E" w14:textId="77777777">
        <w:tc>
          <w:tcPr>
            <w:tcW w:w="0" w:type="auto"/>
          </w:tcPr>
          <w:p w14:paraId="076EB9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DD765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B58905B" w14:textId="77777777" w:rsidR="00000000" w:rsidRPr="00BE00C7" w:rsidRDefault="00000000" w:rsidP="00BE00C7">
            <w:pPr>
              <w:pStyle w:val="OutcomeDescription"/>
              <w:spacing w:before="120" w:after="120"/>
              <w:rPr>
                <w:rFonts w:cs="Arial"/>
                <w:lang w:eastAsia="en-NZ"/>
              </w:rPr>
            </w:pPr>
          </w:p>
        </w:tc>
        <w:tc>
          <w:tcPr>
            <w:tcW w:w="0" w:type="auto"/>
          </w:tcPr>
          <w:p w14:paraId="5FA6B8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F8E8C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New Zealand Sign Language and te reo Māori were posted around the facility.</w:t>
            </w:r>
          </w:p>
          <w:p w14:paraId="7D077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231AC455"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principles are recognised in service delivery. A Māori health assessment and plan were completed for residents who identified as Māori.</w:t>
            </w:r>
          </w:p>
          <w:p w14:paraId="54EAC6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knows and understands consumer rights as defined in the Code.</w:t>
            </w:r>
          </w:p>
          <w:p w14:paraId="4DBD8E89" w14:textId="77777777" w:rsidR="00000000" w:rsidRPr="00BE00C7" w:rsidRDefault="00000000" w:rsidP="00BE00C7">
            <w:pPr>
              <w:pStyle w:val="OutcomeDescription"/>
              <w:spacing w:before="120" w:after="120"/>
              <w:rPr>
                <w:rFonts w:cs="Arial"/>
                <w:lang w:eastAsia="en-NZ"/>
              </w:rPr>
            </w:pPr>
          </w:p>
        </w:tc>
      </w:tr>
      <w:tr w:rsidR="00CA51EC" w14:paraId="7A967496" w14:textId="77777777">
        <w:tc>
          <w:tcPr>
            <w:tcW w:w="0" w:type="auto"/>
          </w:tcPr>
          <w:p w14:paraId="564F84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439FAE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t>
            </w:r>
            <w:r w:rsidRPr="00BE00C7">
              <w:rPr>
                <w:rFonts w:cs="Arial"/>
                <w:lang w:eastAsia="en-NZ"/>
              </w:rPr>
              <w:lastRenderedPageBreak/>
              <w:t>way that is inclusive and respects their identity and their experiences.</w:t>
            </w:r>
          </w:p>
          <w:p w14:paraId="5FEA4CE4" w14:textId="77777777" w:rsidR="00000000" w:rsidRPr="00BE00C7" w:rsidRDefault="00000000" w:rsidP="00BE00C7">
            <w:pPr>
              <w:pStyle w:val="OutcomeDescription"/>
              <w:spacing w:before="120" w:after="120"/>
              <w:rPr>
                <w:rFonts w:cs="Arial"/>
                <w:lang w:eastAsia="en-NZ"/>
              </w:rPr>
            </w:pPr>
          </w:p>
        </w:tc>
        <w:tc>
          <w:tcPr>
            <w:tcW w:w="0" w:type="auto"/>
          </w:tcPr>
          <w:p w14:paraId="3A949E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8E55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Fergusson House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597989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were observed to maintain privacy throughout the audit. All residents have a private room, except for one couple who share a room with their mutual consent. </w:t>
            </w:r>
          </w:p>
          <w:p w14:paraId="269990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Māori artwork and signage around the facility. Staff have undertaken training in Te Tiriti o Waitangi and understood the principles and how to apply these in their daily work. </w:t>
            </w:r>
          </w:p>
          <w:p w14:paraId="6C59EA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 through the activities programme and service delivery.</w:t>
            </w:r>
          </w:p>
          <w:p w14:paraId="5076DA03" w14:textId="77777777" w:rsidR="00000000" w:rsidRPr="00BE00C7" w:rsidRDefault="00000000" w:rsidP="00BE00C7">
            <w:pPr>
              <w:pStyle w:val="OutcomeDescription"/>
              <w:spacing w:before="120" w:after="120"/>
              <w:rPr>
                <w:rFonts w:cs="Arial"/>
                <w:lang w:eastAsia="en-NZ"/>
              </w:rPr>
            </w:pPr>
          </w:p>
        </w:tc>
      </w:tr>
      <w:tr w:rsidR="00CA51EC" w14:paraId="304A2596" w14:textId="77777777">
        <w:tc>
          <w:tcPr>
            <w:tcW w:w="0" w:type="auto"/>
          </w:tcPr>
          <w:p w14:paraId="790393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950D6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D4E6A57" w14:textId="77777777" w:rsidR="00000000" w:rsidRPr="00BE00C7" w:rsidRDefault="00000000" w:rsidP="00BE00C7">
            <w:pPr>
              <w:pStyle w:val="OutcomeDescription"/>
              <w:spacing w:before="120" w:after="120"/>
              <w:rPr>
                <w:rFonts w:cs="Arial"/>
                <w:lang w:eastAsia="en-NZ"/>
              </w:rPr>
            </w:pPr>
          </w:p>
        </w:tc>
        <w:tc>
          <w:tcPr>
            <w:tcW w:w="0" w:type="auto"/>
          </w:tcPr>
          <w:p w14:paraId="545277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D098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2F69886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A 'comfort account’ is utilised to keep residents’ money safe. Residents are invoiced for any additional services that are not covered by the ARRC contract.</w:t>
            </w:r>
          </w:p>
          <w:p w14:paraId="7EA1A8E8"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Māori health model.</w:t>
            </w:r>
          </w:p>
          <w:p w14:paraId="1AD9CAEA" w14:textId="77777777" w:rsidR="00000000" w:rsidRPr="00BE00C7" w:rsidRDefault="00000000" w:rsidP="00BE00C7">
            <w:pPr>
              <w:pStyle w:val="OutcomeDescription"/>
              <w:spacing w:before="120" w:after="120"/>
              <w:rPr>
                <w:rFonts w:cs="Arial"/>
                <w:lang w:eastAsia="en-NZ"/>
              </w:rPr>
            </w:pPr>
          </w:p>
        </w:tc>
      </w:tr>
      <w:tr w:rsidR="00CA51EC" w14:paraId="3B332985" w14:textId="77777777">
        <w:tc>
          <w:tcPr>
            <w:tcW w:w="0" w:type="auto"/>
          </w:tcPr>
          <w:p w14:paraId="2790B6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5AD59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them about </w:t>
            </w:r>
            <w:r w:rsidRPr="00BE00C7">
              <w:rPr>
                <w:rFonts w:cs="Arial"/>
                <w:lang w:eastAsia="en-NZ"/>
              </w:rPr>
              <w:lastRenderedPageBreak/>
              <w:t>their choices.</w:t>
            </w:r>
          </w:p>
          <w:p w14:paraId="16511997" w14:textId="77777777" w:rsidR="00000000" w:rsidRPr="00BE00C7" w:rsidRDefault="00000000" w:rsidP="00BE00C7">
            <w:pPr>
              <w:pStyle w:val="OutcomeDescription"/>
              <w:spacing w:before="120" w:after="120"/>
              <w:rPr>
                <w:rFonts w:cs="Arial"/>
                <w:lang w:eastAsia="en-NZ"/>
              </w:rPr>
            </w:pPr>
          </w:p>
        </w:tc>
        <w:tc>
          <w:tcPr>
            <w:tcW w:w="0" w:type="auto"/>
          </w:tcPr>
          <w:p w14:paraId="404F85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C182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2BC888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w:t>
            </w:r>
            <w:r w:rsidRPr="00BE00C7">
              <w:rPr>
                <w:rFonts w:cs="Arial"/>
                <w:lang w:eastAsia="en-NZ"/>
              </w:rPr>
              <w:lastRenderedPageBreak/>
              <w:t xml:space="preserve">events and during management of any complaints. </w:t>
            </w:r>
          </w:p>
          <w:p w14:paraId="47297E8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1DE6D2D6" w14:textId="77777777" w:rsidR="00000000" w:rsidRPr="00BE00C7" w:rsidRDefault="00000000" w:rsidP="00BE00C7">
            <w:pPr>
              <w:pStyle w:val="OutcomeDescription"/>
              <w:spacing w:before="120" w:after="120"/>
              <w:rPr>
                <w:rFonts w:cs="Arial"/>
                <w:lang w:eastAsia="en-NZ"/>
              </w:rPr>
            </w:pPr>
          </w:p>
        </w:tc>
      </w:tr>
      <w:tr w:rsidR="00CA51EC" w14:paraId="1ADB5E0B" w14:textId="77777777">
        <w:tc>
          <w:tcPr>
            <w:tcW w:w="0" w:type="auto"/>
          </w:tcPr>
          <w:p w14:paraId="34CC9B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87B07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2DA3EDE" w14:textId="77777777" w:rsidR="00000000" w:rsidRPr="00BE00C7" w:rsidRDefault="00000000" w:rsidP="00BE00C7">
            <w:pPr>
              <w:pStyle w:val="OutcomeDescription"/>
              <w:spacing w:before="120" w:after="120"/>
              <w:rPr>
                <w:rFonts w:cs="Arial"/>
                <w:lang w:eastAsia="en-NZ"/>
              </w:rPr>
            </w:pPr>
          </w:p>
        </w:tc>
        <w:tc>
          <w:tcPr>
            <w:tcW w:w="0" w:type="auto"/>
          </w:tcPr>
          <w:p w14:paraId="59AA8D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13E80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 Signed informed consent forms were available in residents’ files.</w:t>
            </w:r>
          </w:p>
          <w:p w14:paraId="39B87A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7550CD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37D5A9AF" w14:textId="77777777" w:rsidR="00000000" w:rsidRPr="00BE00C7" w:rsidRDefault="00000000" w:rsidP="00BE00C7">
            <w:pPr>
              <w:pStyle w:val="OutcomeDescription"/>
              <w:spacing w:before="120" w:after="120"/>
              <w:rPr>
                <w:rFonts w:cs="Arial"/>
                <w:lang w:eastAsia="en-NZ"/>
              </w:rPr>
            </w:pPr>
          </w:p>
        </w:tc>
      </w:tr>
      <w:tr w:rsidR="00CA51EC" w14:paraId="60BBFD44" w14:textId="77777777">
        <w:tc>
          <w:tcPr>
            <w:tcW w:w="0" w:type="auto"/>
          </w:tcPr>
          <w:p w14:paraId="6CB379B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C50C0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0F91E60" w14:textId="77777777" w:rsidR="00000000" w:rsidRPr="00BE00C7" w:rsidRDefault="00000000" w:rsidP="00BE00C7">
            <w:pPr>
              <w:pStyle w:val="OutcomeDescription"/>
              <w:spacing w:before="120" w:after="120"/>
              <w:rPr>
                <w:rFonts w:cs="Arial"/>
                <w:lang w:eastAsia="en-NZ"/>
              </w:rPr>
            </w:pPr>
          </w:p>
        </w:tc>
        <w:tc>
          <w:tcPr>
            <w:tcW w:w="0" w:type="auto"/>
          </w:tcPr>
          <w:p w14:paraId="700F01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AEB1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There were six (6) complaints in 2024, and seven (7) in 2025 (year to date). The FM/D reported that complaints were investigated, and corrective actions were developed and closed out. The complaint process timeframes were adhered to, and service improvement measures implemented where required. </w:t>
            </w:r>
          </w:p>
          <w:p w14:paraId="6AEE10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the investigation. There have been no complaints received from external sources since the previous audit. </w:t>
            </w:r>
          </w:p>
          <w:p w14:paraId="49EA62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lodging a complaint can, if they choose, involve an independent support person or an advocate for advice and support during the complaints process. This was confirmed during interviews. Staff also confirmed that they would document a </w:t>
            </w:r>
            <w:r w:rsidRPr="00BE00C7">
              <w:rPr>
                <w:rFonts w:cs="Arial"/>
                <w:lang w:eastAsia="en-NZ"/>
              </w:rPr>
              <w:lastRenderedPageBreak/>
              <w:t>complaint for anyone who had difficulty doing this or support the resident or family in accessing independent advocacy services.</w:t>
            </w:r>
          </w:p>
          <w:p w14:paraId="3FD156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assures the process works equitably for Māori by offering the support of a cultural advisor and/or kaumatua, providing extra time for the complainant to discuss with whānau and the wider whānau if chosen.  The Code of Rights was available in te reo Māori.</w:t>
            </w:r>
          </w:p>
          <w:p w14:paraId="5CE538AC" w14:textId="77777777" w:rsidR="00000000" w:rsidRPr="00BE00C7" w:rsidRDefault="00000000" w:rsidP="00BE00C7">
            <w:pPr>
              <w:pStyle w:val="OutcomeDescription"/>
              <w:spacing w:before="120" w:after="120"/>
              <w:rPr>
                <w:rFonts w:cs="Arial"/>
                <w:lang w:eastAsia="en-NZ"/>
              </w:rPr>
            </w:pPr>
          </w:p>
        </w:tc>
      </w:tr>
      <w:tr w:rsidR="00CA51EC" w14:paraId="3BF56019" w14:textId="77777777">
        <w:tc>
          <w:tcPr>
            <w:tcW w:w="0" w:type="auto"/>
          </w:tcPr>
          <w:p w14:paraId="26F011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2D419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DEF9A9A" w14:textId="77777777" w:rsidR="00000000" w:rsidRPr="00BE00C7" w:rsidRDefault="00000000" w:rsidP="00BE00C7">
            <w:pPr>
              <w:pStyle w:val="OutcomeDescription"/>
              <w:spacing w:before="120" w:after="120"/>
              <w:rPr>
                <w:rFonts w:cs="Arial"/>
                <w:lang w:eastAsia="en-NZ"/>
              </w:rPr>
            </w:pPr>
          </w:p>
        </w:tc>
        <w:tc>
          <w:tcPr>
            <w:tcW w:w="0" w:type="auto"/>
          </w:tcPr>
          <w:p w14:paraId="6C0AF5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850D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Fergusson House is owned by five directors, one of whom is an accountant, one a clinical psychologist, property and business valuers, and a registered nurse who has previously owned and operated rest homes. They have owned the service since 2021. Management assumes accountability for delivering a high-quality service to the residents.  </w:t>
            </w:r>
          </w:p>
          <w:p w14:paraId="3A6D22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Equity for Māori, Pacific peoples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The service has established relationships with local Māori organisations. The FM/D reported that the service continues to work towards recruiting Māori and additional Pacific staff. </w:t>
            </w:r>
          </w:p>
          <w:p w14:paraId="07D107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outlines the organisation’s structure, purpose, values, scope, direction, performance and goals. The plan supports improving equitable outcomes for Māori, Pacific peoples and tāngata whaikaha. Cultural safety is embedded in business and quality plans and staff training. Ethnicity data was being collected to support equity. Cultural safety training has been undertaken by the management and governance body. The FM/D was interviewed during the audit and displayed a commitment to ongoing quality improvement, resident safety, elimination of restraints, and equity principles.  </w:t>
            </w:r>
          </w:p>
          <w:p w14:paraId="792BD1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Day-to-day operations are the responsibility of the FM/D and operations manager (OM), who had delegated responsibilities for ensuring services were being delivered in a culturally competent manner. The FM/D, who is also a member of the board, is a clinical </w:t>
            </w:r>
            <w:r w:rsidRPr="00BE00C7">
              <w:rPr>
                <w:rFonts w:cs="Arial"/>
                <w:lang w:eastAsia="en-NZ"/>
              </w:rPr>
              <w:lastRenderedPageBreak/>
              <w:t>psychologist. The FM/D maintains frequent contact with the directors and the Health New Zealand – Te Whatu Ora programme manager. The FM/D reported that they were well supported by the other directors and by an external human resources consultant for any employment issues or questions. The FM/D is on site two days per week and works remotely for two days.</w:t>
            </w:r>
          </w:p>
          <w:p w14:paraId="210726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is committed to quality and risk through policy, processes and feedback mechanisms. This includes receiving regular information from the nursing team. </w:t>
            </w:r>
          </w:p>
          <w:p w14:paraId="2A4B4A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group is appropriate to the organisation's size and complexity. </w:t>
            </w:r>
          </w:p>
          <w:p w14:paraId="2582E1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management team, with external advice sought as required. The management team maintains current knowledge on legislative changes and requirements.  </w:t>
            </w:r>
          </w:p>
          <w:p w14:paraId="29151C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People receiving services, and their whānau, participate in planning and evaluation of services through satisfaction surveys and regular monthly residents’ meetings. A sample of minutes of these showed good attendance, a comprehensive agenda, and that any concerns raised were addressed and reported back to the residents. Residents and whānau interviewed were happy with the services provided and their level of involvement.   </w:t>
            </w:r>
          </w:p>
          <w:p w14:paraId="29EA68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are directors and own four other rest homes in Auckland, and have experience in aged residential care. Fergusson House will operate under the ownership of FF Care and Village Limited – Shuping Chen and Xu Yu. This is a new entity and will operate on settlement from 31 October 2025.</w:t>
            </w:r>
          </w:p>
          <w:p w14:paraId="20BE4D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FM/D confirmed that support will be provided to the prospective owner for a period of one to two months after taking over. The settlement date is 31 October 2025. A transitional plan is in place and was fully discussed. There will be staff changes, and the prospective owners have started to recruit for the facility manager role.</w:t>
            </w:r>
          </w:p>
          <w:p w14:paraId="3FB5B7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owner has been working collaboratively with the current service provider to manage the transitional time effectively. </w:t>
            </w:r>
            <w:r w:rsidRPr="00BE00C7">
              <w:rPr>
                <w:rFonts w:cs="Arial"/>
                <w:lang w:eastAsia="en-NZ"/>
              </w:rPr>
              <w:lastRenderedPageBreak/>
              <w:t>The FM/D reported that current staff, general practitioners, residents and families have been informed about the proposed sale. The policies and procedures of contracted service providers will remain unchanged. Health New Zealand – Te Whatu Ora has been notified about the proposed sale as part of the agreement obligations.</w:t>
            </w:r>
          </w:p>
          <w:p w14:paraId="395B7B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certified to provide care for 44 residents and holds agreements with Health New Zealand – Te Whatu Ora for rest home-level care and respite services. All 37 residents were under the age-related residential care agreement (ARRC) at the time of the audit.</w:t>
            </w:r>
          </w:p>
          <w:p w14:paraId="05AF950A" w14:textId="77777777" w:rsidR="00000000" w:rsidRPr="00BE00C7" w:rsidRDefault="00000000" w:rsidP="00BE00C7">
            <w:pPr>
              <w:pStyle w:val="OutcomeDescription"/>
              <w:spacing w:before="120" w:after="120"/>
              <w:rPr>
                <w:rFonts w:cs="Arial"/>
                <w:lang w:eastAsia="en-NZ"/>
              </w:rPr>
            </w:pPr>
          </w:p>
        </w:tc>
      </w:tr>
      <w:tr w:rsidR="00CA51EC" w14:paraId="33C101BE" w14:textId="77777777">
        <w:tc>
          <w:tcPr>
            <w:tcW w:w="0" w:type="auto"/>
          </w:tcPr>
          <w:p w14:paraId="4F7473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17271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E73E097" w14:textId="77777777" w:rsidR="00000000" w:rsidRPr="00BE00C7" w:rsidRDefault="00000000" w:rsidP="00BE00C7">
            <w:pPr>
              <w:pStyle w:val="OutcomeDescription"/>
              <w:spacing w:before="120" w:after="120"/>
              <w:rPr>
                <w:rFonts w:cs="Arial"/>
                <w:lang w:eastAsia="en-NZ"/>
              </w:rPr>
            </w:pPr>
          </w:p>
        </w:tc>
        <w:tc>
          <w:tcPr>
            <w:tcW w:w="0" w:type="auto"/>
          </w:tcPr>
          <w:p w14:paraId="1E7BD8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3133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 and complaints, audit activities, a regular resident satisfaction survey, monitoring of several resident safety/quality indicators (e.g., falls, skin tears, bruising, infections), policies and procedures, clinical incidents, and any quality improvement projects. Relevant corrective actions were developed and implemented to address any shortfalls identified from internal audit activities. Trends were analysed to support ongoing evaluation and progress across the service’s quality outcomes. Benchmarking of data was conducted by comparing data with previous months' results. </w:t>
            </w:r>
          </w:p>
          <w:p w14:paraId="4AA317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contribute to quality improvement through satisfaction surveys and residents’ meetings, and staff contribute through reviewing of data as part of regular staff meetings and audit activities. Staff meeting agendas and minutes reviewed showed good attendance and comprehensive agendas covering quality and safety measures/activities. The outcomes from the resident satisfaction survey and food service survey conducted in September 2025 were favourable. Minimal corrective actions were identified, and these have been implemented. An external consultant has updated all policies and procedures reviewed to meet the requirements of the Ngā Paerewa Standard.  </w:t>
            </w:r>
          </w:p>
          <w:p w14:paraId="6DD0CB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owners interviewed were well informed about the </w:t>
            </w:r>
            <w:r w:rsidRPr="00BE00C7">
              <w:rPr>
                <w:rFonts w:cs="Arial"/>
                <w:lang w:eastAsia="en-NZ"/>
              </w:rPr>
              <w:lastRenderedPageBreak/>
              <w:t xml:space="preserve">Ngā Paerewa Standards and will continue the quality and risk systems, audit schedule, policies, and procedures. The FM/D reported that collecting, collating and reviewing of residents’ ethnicity data and that of staff to improve health equity through critical analysis of data and organisational practices was being implemented. </w:t>
            </w:r>
          </w:p>
          <w:p w14:paraId="7E17E9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FM/D described the processes for the identification, documentation, monitoring, review and reporting of risks, including health and safety risks, and the development of mitigation strategies. These were reported during meetings. </w:t>
            </w:r>
          </w:p>
          <w:p w14:paraId="766CD27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10 incident forms reviewed showed these were fully completed, incidents were investigated, action plans developed, and actions followed up in a timely manner. The nursing team and management were aware of the new Severity Assessment Code (SAC) 1 and 2 events reporting process. There were two SAC 2 notifications completed for residents who fell and sustained fractures in February and June 2025.</w:t>
            </w:r>
          </w:p>
          <w:p w14:paraId="47D3DF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complied with statutory and regulatory reporting obligations. The management team interviewed were familiar with essential notification reporting requirements. There were no Section 31 notifications completed or notifications to Health New Zealand – Te Whatu Ora since the previous audit, and notifications to Public Health were completed as required. </w:t>
            </w:r>
          </w:p>
          <w:p w14:paraId="26286C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are well informed about the essential notification obligations and understood the processes involved.</w:t>
            </w:r>
          </w:p>
          <w:p w14:paraId="77C3F5FE" w14:textId="77777777" w:rsidR="00000000" w:rsidRPr="00BE00C7" w:rsidRDefault="00000000" w:rsidP="00BE00C7">
            <w:pPr>
              <w:pStyle w:val="OutcomeDescription"/>
              <w:spacing w:before="120" w:after="120"/>
              <w:rPr>
                <w:rFonts w:cs="Arial"/>
                <w:lang w:eastAsia="en-NZ"/>
              </w:rPr>
            </w:pPr>
          </w:p>
        </w:tc>
      </w:tr>
      <w:tr w:rsidR="00CA51EC" w14:paraId="39EAEBCE" w14:textId="77777777">
        <w:tc>
          <w:tcPr>
            <w:tcW w:w="0" w:type="auto"/>
          </w:tcPr>
          <w:p w14:paraId="0E6CA2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78985A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7D4824C" w14:textId="77777777" w:rsidR="00000000" w:rsidRPr="00BE00C7" w:rsidRDefault="00000000" w:rsidP="00BE00C7">
            <w:pPr>
              <w:pStyle w:val="OutcomeDescription"/>
              <w:spacing w:before="120" w:after="120"/>
              <w:rPr>
                <w:rFonts w:cs="Arial"/>
                <w:lang w:eastAsia="en-NZ"/>
              </w:rPr>
            </w:pPr>
          </w:p>
        </w:tc>
        <w:tc>
          <w:tcPr>
            <w:tcW w:w="0" w:type="auto"/>
          </w:tcPr>
          <w:p w14:paraId="7E974E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9B8F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safe care, 24 hours a day, seven days a week (24/7). The facility adjusts staffing levels to meet the changing needs of residents.  A team approach ensured all aspects of service delivery were met.   Those providing care reported that there were adequate staff to complete the work allocated to them.  Residents and whānau interviewed supported this. At least one staff member on duty has a current first aid certificate. The </w:t>
            </w:r>
            <w:r w:rsidRPr="00BE00C7">
              <w:rPr>
                <w:rFonts w:cs="Arial"/>
                <w:lang w:eastAsia="en-NZ"/>
              </w:rPr>
              <w:lastRenderedPageBreak/>
              <w:t xml:space="preserve">service employs two registered nurses and three enrolled nurses.  </w:t>
            </w:r>
          </w:p>
          <w:p w14:paraId="23E9E9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owners confirmed being aware of the Age-Related Residential Care Service (ARRC) contract requirements for staffing and training. There will be some staff changes; the casual pool and the preferred contracted agency will continue to be used when required. </w:t>
            </w:r>
          </w:p>
          <w:p w14:paraId="5FB638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6CA888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annually, covering a wide range of topics including infection prevention and control, medication management, care planning and assessment and cultural safety, wound care management, palliative care, emergency evacuation, falls prevention, skin management, fire safety. Related competencies were assessed.  High-quality Māori health information was accessed and used to support training and development programmes, policy development, and care delivery.  </w:t>
            </w:r>
          </w:p>
          <w:p w14:paraId="18905A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Most care staff have either completed or commenced a New Zealand Qualification Authority education programme to meet the requirements of the provider’s agreement with Health New Zealand – Te Whatu Ora.  Twelve (12) health care assistants had achieved Level 4, six Level 3, and one (1) was on Level 1. Records reviewed demonstrated completion of the required training and competency assessments.   </w:t>
            </w:r>
          </w:p>
          <w:p w14:paraId="74ED7B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felt well supported and safe in the workplace.   </w:t>
            </w:r>
          </w:p>
          <w:p w14:paraId="55B91F19" w14:textId="77777777" w:rsidR="00000000" w:rsidRPr="00BE00C7" w:rsidRDefault="00000000" w:rsidP="00BE00C7">
            <w:pPr>
              <w:pStyle w:val="OutcomeDescription"/>
              <w:spacing w:before="120" w:after="120"/>
              <w:rPr>
                <w:rFonts w:cs="Arial"/>
                <w:lang w:eastAsia="en-NZ"/>
              </w:rPr>
            </w:pPr>
          </w:p>
        </w:tc>
      </w:tr>
      <w:tr w:rsidR="00CA51EC" w14:paraId="0259AA28" w14:textId="77777777">
        <w:tc>
          <w:tcPr>
            <w:tcW w:w="0" w:type="auto"/>
          </w:tcPr>
          <w:p w14:paraId="046522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36FC25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024A5233" w14:textId="77777777" w:rsidR="00000000" w:rsidRPr="00BE00C7" w:rsidRDefault="00000000" w:rsidP="00BE00C7">
            <w:pPr>
              <w:pStyle w:val="OutcomeDescription"/>
              <w:spacing w:before="120" w:after="120"/>
              <w:rPr>
                <w:rFonts w:cs="Arial"/>
                <w:lang w:eastAsia="en-NZ"/>
              </w:rPr>
            </w:pPr>
          </w:p>
        </w:tc>
        <w:tc>
          <w:tcPr>
            <w:tcW w:w="0" w:type="auto"/>
          </w:tcPr>
          <w:p w14:paraId="784028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6246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were based on good employment practices and relevant legislation. A sample of staff records reviewed confirmed that the organisation’s policies were being consistently implemented. Job descriptions were documented for each role. Professional qualifications and registration (where applicable) had been validated prior to employment. Practising certificates were current for all regulated health professionals, including the registered nurses, general practitioner, pharmacists, </w:t>
            </w:r>
            <w:r w:rsidRPr="00BE00C7">
              <w:rPr>
                <w:rFonts w:cs="Arial"/>
                <w:lang w:eastAsia="en-NZ"/>
              </w:rPr>
              <w:lastRenderedPageBreak/>
              <w:t xml:space="preserve">podiatrist and dietitian.   </w:t>
            </w:r>
          </w:p>
          <w:p w14:paraId="653D7A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seven files reviewed. Opportunities to discuss and review performance occur three months following appointment and yearly thereafter, as confirmed in records reviewed.  </w:t>
            </w:r>
          </w:p>
          <w:p w14:paraId="028297A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 Staff had access to the Employee Assistance Programme (EAP), if required.  Following incidents, the FM/D, OM and clinical managers were available for any required debriefing and discussion sessions.</w:t>
            </w:r>
          </w:p>
          <w:p w14:paraId="66FFE74F" w14:textId="77777777" w:rsidR="00000000" w:rsidRPr="00BE00C7" w:rsidRDefault="00000000" w:rsidP="00BE00C7">
            <w:pPr>
              <w:pStyle w:val="OutcomeDescription"/>
              <w:spacing w:before="120" w:after="120"/>
              <w:rPr>
                <w:rFonts w:cs="Arial"/>
                <w:lang w:eastAsia="en-NZ"/>
              </w:rPr>
            </w:pPr>
          </w:p>
        </w:tc>
      </w:tr>
      <w:tr w:rsidR="00CA51EC" w14:paraId="16EACEE6" w14:textId="77777777">
        <w:tc>
          <w:tcPr>
            <w:tcW w:w="0" w:type="auto"/>
          </w:tcPr>
          <w:p w14:paraId="44E16C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70FAF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FC14045" w14:textId="77777777" w:rsidR="00000000" w:rsidRPr="00BE00C7" w:rsidRDefault="00000000" w:rsidP="00BE00C7">
            <w:pPr>
              <w:pStyle w:val="OutcomeDescription"/>
              <w:spacing w:before="120" w:after="120"/>
              <w:rPr>
                <w:rFonts w:cs="Arial"/>
                <w:lang w:eastAsia="en-NZ"/>
              </w:rPr>
            </w:pPr>
          </w:p>
        </w:tc>
        <w:tc>
          <w:tcPr>
            <w:tcW w:w="0" w:type="auto"/>
          </w:tcPr>
          <w:p w14:paraId="43CB83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8E85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An electronic information management system was utilised. Staff have individual logins and passwords. Clinical notes were current, integrated and legible, and met current documentation standards. Information was accessible for all those who needed it.  </w:t>
            </w:r>
          </w:p>
          <w:p w14:paraId="039A21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Files were held securely for the required period before being destroyed. No personal or private resident information was on public display during the audit. </w:t>
            </w:r>
          </w:p>
          <w:p w14:paraId="4AFEF3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responsible for National Health Index registration/data.  </w:t>
            </w:r>
          </w:p>
          <w:p w14:paraId="31D36C34" w14:textId="77777777" w:rsidR="00000000" w:rsidRPr="00BE00C7" w:rsidRDefault="00000000" w:rsidP="00BE00C7">
            <w:pPr>
              <w:pStyle w:val="OutcomeDescription"/>
              <w:spacing w:before="120" w:after="120"/>
              <w:rPr>
                <w:rFonts w:cs="Arial"/>
                <w:lang w:eastAsia="en-NZ"/>
              </w:rPr>
            </w:pPr>
          </w:p>
        </w:tc>
      </w:tr>
      <w:tr w:rsidR="00CA51EC" w14:paraId="437468BA" w14:textId="77777777">
        <w:tc>
          <w:tcPr>
            <w:tcW w:w="0" w:type="auto"/>
          </w:tcPr>
          <w:p w14:paraId="491016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9379C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w:t>
            </w:r>
            <w:r w:rsidRPr="00BE00C7">
              <w:rPr>
                <w:rFonts w:cs="Arial"/>
                <w:lang w:eastAsia="en-NZ"/>
              </w:rPr>
              <w:lastRenderedPageBreak/>
              <w:t>on their needs and goals and encourage input from whānau. Where we are unable to meet these needs, adequate information about the reasons for this decision is documented and communicated to the person and whānau.</w:t>
            </w:r>
          </w:p>
          <w:p w14:paraId="358426FF" w14:textId="77777777" w:rsidR="00000000" w:rsidRPr="00BE00C7" w:rsidRDefault="00000000" w:rsidP="00BE00C7">
            <w:pPr>
              <w:pStyle w:val="OutcomeDescription"/>
              <w:spacing w:before="120" w:after="120"/>
              <w:rPr>
                <w:rFonts w:cs="Arial"/>
                <w:lang w:eastAsia="en-NZ"/>
              </w:rPr>
            </w:pPr>
          </w:p>
        </w:tc>
        <w:tc>
          <w:tcPr>
            <w:tcW w:w="0" w:type="auto"/>
          </w:tcPr>
          <w:p w14:paraId="29D8CA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DF22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Fergusson House when their required level of care has been assessed and confirmed by the local Needs Assessment and Service Coordination (NASC) agency. All residents admitted at the time of the audit required rest home level of care. Files reviewed met contractual requirements.  Residents enter the service based on documented entry criteria available to the community and understood by staff.  The entry process meets the needs of residents.  Whānau and residents interviewed were satisfied with the admission process </w:t>
            </w:r>
            <w:r w:rsidRPr="00BE00C7">
              <w:rPr>
                <w:rFonts w:cs="Arial"/>
                <w:lang w:eastAsia="en-NZ"/>
              </w:rPr>
              <w:lastRenderedPageBreak/>
              <w:t xml:space="preserve">and the information that had been made available to them on admission.  </w:t>
            </w:r>
          </w:p>
          <w:p w14:paraId="173745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six-monthly, including decline rates for Māori. </w:t>
            </w:r>
          </w:p>
          <w:p w14:paraId="3E7B8E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25081E05" w14:textId="77777777" w:rsidR="00000000" w:rsidRPr="00BE00C7" w:rsidRDefault="00000000" w:rsidP="00BE00C7">
            <w:pPr>
              <w:pStyle w:val="OutcomeDescription"/>
              <w:spacing w:before="120" w:after="120"/>
              <w:rPr>
                <w:rFonts w:cs="Arial"/>
                <w:lang w:eastAsia="en-NZ"/>
              </w:rPr>
            </w:pPr>
          </w:p>
        </w:tc>
      </w:tr>
      <w:tr w:rsidR="00CA51EC" w14:paraId="1AEC2E9A" w14:textId="77777777">
        <w:tc>
          <w:tcPr>
            <w:tcW w:w="0" w:type="auto"/>
          </w:tcPr>
          <w:p w14:paraId="63E289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4B93D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16F1BD6" w14:textId="77777777" w:rsidR="00000000" w:rsidRPr="00BE00C7" w:rsidRDefault="00000000" w:rsidP="00BE00C7">
            <w:pPr>
              <w:pStyle w:val="OutcomeDescription"/>
              <w:spacing w:before="120" w:after="120"/>
              <w:rPr>
                <w:rFonts w:cs="Arial"/>
                <w:lang w:eastAsia="en-NZ"/>
              </w:rPr>
            </w:pPr>
          </w:p>
        </w:tc>
        <w:tc>
          <w:tcPr>
            <w:tcW w:w="0" w:type="auto"/>
          </w:tcPr>
          <w:p w14:paraId="2E8BAF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E98A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work in partnership with the resident and whānau to support wellbeing.  An electronic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Nursing observations were completed as required.</w:t>
            </w:r>
          </w:p>
          <w:p w14:paraId="7D665062"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 practitioner assessment, initial care plan, long-term care plan, and review timeframes meet contractual and policy requirements.  Staff understand and support Māori and whānau to identify their own pae ora outcomes in their care plan. This was verified by sampling residents’ records, and from interviews of clinical staff, residents and whānau.</w:t>
            </w:r>
          </w:p>
          <w:p w14:paraId="5926CBB7"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40621F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w:t>
            </w:r>
            <w:r w:rsidRPr="00BE00C7">
              <w:rPr>
                <w:rFonts w:cs="Arial"/>
                <w:lang w:eastAsia="en-NZ"/>
              </w:rPr>
              <w:lastRenderedPageBreak/>
              <w:t xml:space="preserve">assessment, care planning, and satisfaction survey processes.  Examples of choices and control over service delivery were discussed with staff, tāngata whaikaha and whānau.  Tāngata whaikaha/whānau can independently access information.  </w:t>
            </w:r>
          </w:p>
          <w:p w14:paraId="0F4FBF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(GP) expressed satisfaction with the standard of care provided and confirmed that medical instructions were consistently followed.</w:t>
            </w:r>
          </w:p>
          <w:p w14:paraId="01848EA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residents was consistent with their assessed needs, goals and aspirations. A range of equipment and resources suited to the level of care provided was available and maintained. Residents and whānau expressed satisfaction with the standard of care provided.</w:t>
            </w:r>
          </w:p>
          <w:p w14:paraId="2D290D33" w14:textId="77777777" w:rsidR="00000000" w:rsidRPr="00BE00C7" w:rsidRDefault="00000000" w:rsidP="00DE01D6">
            <w:pPr>
              <w:pStyle w:val="OutcomeDescription"/>
              <w:spacing w:before="120" w:after="120"/>
              <w:rPr>
                <w:rFonts w:cs="Arial"/>
                <w:lang w:eastAsia="en-NZ"/>
              </w:rPr>
            </w:pPr>
          </w:p>
        </w:tc>
      </w:tr>
      <w:tr w:rsidR="00CA51EC" w14:paraId="13AC68B1" w14:textId="77777777">
        <w:tc>
          <w:tcPr>
            <w:tcW w:w="0" w:type="auto"/>
          </w:tcPr>
          <w:p w14:paraId="71C491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1D2006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0A518B6" w14:textId="77777777" w:rsidR="00000000" w:rsidRPr="00BE00C7" w:rsidRDefault="00000000" w:rsidP="00BE00C7">
            <w:pPr>
              <w:pStyle w:val="OutcomeDescription"/>
              <w:spacing w:before="120" w:after="120"/>
              <w:rPr>
                <w:rFonts w:cs="Arial"/>
                <w:lang w:eastAsia="en-NZ"/>
              </w:rPr>
            </w:pPr>
          </w:p>
        </w:tc>
        <w:tc>
          <w:tcPr>
            <w:tcW w:w="0" w:type="auto"/>
          </w:tcPr>
          <w:p w14:paraId="08B1E6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DBAB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  An activities coordinator runs the programme. They are supported by health care assistants when taking residents for van outings.</w:t>
            </w:r>
          </w:p>
          <w:p w14:paraId="2540BE19"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A wide variety of activities are offered. Individual and group activities reflected residents’ goals and interests, and ordinary patterns of life, and included normal community activities.  Opportunities for Māori and whānau to participate in te ao Māori are facilitated. Community initiatives meet the needs of Māori. Residents participate in te reo Māori lessons for beginners facilitated through web-based applications and supported by residents who identify as Māori. National cultural events are celebrated.</w:t>
            </w:r>
          </w:p>
          <w:p w14:paraId="3FC985E5"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three-monthly residents’ meetings and annual satisfaction surveys.  Residents confirmed they find the programme meets their needs.</w:t>
            </w:r>
          </w:p>
          <w:p w14:paraId="3122809A" w14:textId="77777777" w:rsidR="00000000" w:rsidRPr="00BE00C7" w:rsidRDefault="00000000" w:rsidP="00BE00C7">
            <w:pPr>
              <w:pStyle w:val="OutcomeDescription"/>
              <w:spacing w:before="120" w:after="120"/>
              <w:rPr>
                <w:rFonts w:cs="Arial"/>
                <w:lang w:eastAsia="en-NZ"/>
              </w:rPr>
            </w:pPr>
          </w:p>
        </w:tc>
      </w:tr>
      <w:tr w:rsidR="00CA51EC" w14:paraId="18AC3322" w14:textId="77777777">
        <w:tc>
          <w:tcPr>
            <w:tcW w:w="0" w:type="auto"/>
          </w:tcPr>
          <w:p w14:paraId="583912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08704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6B61ABC" w14:textId="77777777" w:rsidR="00000000" w:rsidRPr="00BE00C7" w:rsidRDefault="00000000" w:rsidP="00BE00C7">
            <w:pPr>
              <w:pStyle w:val="OutcomeDescription"/>
              <w:spacing w:before="120" w:after="120"/>
              <w:rPr>
                <w:rFonts w:cs="Arial"/>
                <w:lang w:eastAsia="en-NZ"/>
              </w:rPr>
            </w:pPr>
          </w:p>
        </w:tc>
        <w:tc>
          <w:tcPr>
            <w:tcW w:w="0" w:type="auto"/>
          </w:tcPr>
          <w:p w14:paraId="432C99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116E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w:t>
            </w:r>
            <w:r w:rsidRPr="00BE00C7">
              <w:rPr>
                <w:rFonts w:cs="Arial"/>
                <w:lang w:eastAsia="en-NZ"/>
              </w:rPr>
              <w:lastRenderedPageBreak/>
              <w:t>Medicines Care Guide for Residential Aged Care and current best practice.  A safe system for medicine management using an electronic system was observed on the days of audit.  All staff who administer medicines were competent to perform the function they managed. Current medication administration competencies were available in staff files.</w:t>
            </w:r>
          </w:p>
          <w:p w14:paraId="34C9E6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4092B1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569DAD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7A20CEDC"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Residents, including Māori residents and their whānau, are supported to understand their medications. Where there are difficulties accessing medications, this is identified, and support provided.</w:t>
            </w:r>
          </w:p>
          <w:p w14:paraId="57ACBBC4" w14:textId="77777777" w:rsidR="00000000" w:rsidRPr="00BE00C7" w:rsidRDefault="00000000" w:rsidP="00BE00C7">
            <w:pPr>
              <w:pStyle w:val="OutcomeDescription"/>
              <w:spacing w:before="120" w:after="120"/>
              <w:rPr>
                <w:rFonts w:cs="Arial"/>
                <w:lang w:eastAsia="en-NZ"/>
              </w:rPr>
            </w:pPr>
          </w:p>
        </w:tc>
      </w:tr>
      <w:tr w:rsidR="00CA51EC" w14:paraId="43079C33" w14:textId="77777777">
        <w:tc>
          <w:tcPr>
            <w:tcW w:w="0" w:type="auto"/>
          </w:tcPr>
          <w:p w14:paraId="21326C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67A54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E01F9D3" w14:textId="77777777" w:rsidR="00000000" w:rsidRPr="00BE00C7" w:rsidRDefault="00000000" w:rsidP="00BE00C7">
            <w:pPr>
              <w:pStyle w:val="OutcomeDescription"/>
              <w:spacing w:before="120" w:after="120"/>
              <w:rPr>
                <w:rFonts w:cs="Arial"/>
                <w:lang w:eastAsia="en-NZ"/>
              </w:rPr>
            </w:pPr>
          </w:p>
        </w:tc>
        <w:tc>
          <w:tcPr>
            <w:tcW w:w="0" w:type="auto"/>
          </w:tcPr>
          <w:p w14:paraId="6CD9EF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BDC9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qualified dietitian in May 2025.  Recommendations made at that time have been implemented. </w:t>
            </w:r>
          </w:p>
          <w:p w14:paraId="2EE1F8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is valid until 14 June 2026.</w:t>
            </w:r>
          </w:p>
          <w:p w14:paraId="2E0093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have menu options that are culturally specific to te ao Māori. ‘Boil up’ is prepared every month, and cultural events </w:t>
            </w:r>
            <w:r w:rsidRPr="00BE00C7">
              <w:rPr>
                <w:rFonts w:cs="Arial"/>
                <w:lang w:eastAsia="en-NZ"/>
              </w:rPr>
              <w:lastRenderedPageBreak/>
              <w:t xml:space="preserve">are celebrated with culturally specific food provided for residents. </w:t>
            </w:r>
          </w:p>
          <w:p w14:paraId="6730C912"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through resident and whānau interviews, satisfaction surveys, and resident meeting minutes. Residents were given sufficient time to eat their meals in an unhurried fashion, and those requiring assistance had this provided with dignity.</w:t>
            </w:r>
          </w:p>
          <w:p w14:paraId="559EAAB4" w14:textId="77777777" w:rsidR="00000000" w:rsidRPr="00BE00C7" w:rsidRDefault="00000000" w:rsidP="00BE00C7">
            <w:pPr>
              <w:pStyle w:val="OutcomeDescription"/>
              <w:spacing w:before="120" w:after="120"/>
              <w:rPr>
                <w:rFonts w:cs="Arial"/>
                <w:lang w:eastAsia="en-NZ"/>
              </w:rPr>
            </w:pPr>
          </w:p>
        </w:tc>
      </w:tr>
      <w:tr w:rsidR="00CA51EC" w14:paraId="05CE7219" w14:textId="77777777">
        <w:tc>
          <w:tcPr>
            <w:tcW w:w="0" w:type="auto"/>
          </w:tcPr>
          <w:p w14:paraId="16001E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D8EBF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843609D" w14:textId="77777777" w:rsidR="00000000" w:rsidRPr="00BE00C7" w:rsidRDefault="00000000" w:rsidP="00BE00C7">
            <w:pPr>
              <w:pStyle w:val="OutcomeDescription"/>
              <w:spacing w:before="120" w:after="120"/>
              <w:rPr>
                <w:rFonts w:cs="Arial"/>
                <w:lang w:eastAsia="en-NZ"/>
              </w:rPr>
            </w:pPr>
          </w:p>
        </w:tc>
        <w:tc>
          <w:tcPr>
            <w:tcW w:w="0" w:type="auto"/>
          </w:tcPr>
          <w:p w14:paraId="1BDE1E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38BE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transfer/discharge policy guides staff practice. 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23015960" w14:textId="77777777" w:rsidR="00000000" w:rsidRPr="00BE00C7" w:rsidRDefault="00000000" w:rsidP="00BE00C7">
            <w:pPr>
              <w:pStyle w:val="OutcomeDescription"/>
              <w:spacing w:before="120" w:after="120"/>
              <w:rPr>
                <w:rFonts w:cs="Arial"/>
                <w:lang w:eastAsia="en-NZ"/>
              </w:rPr>
            </w:pPr>
          </w:p>
        </w:tc>
      </w:tr>
      <w:tr w:rsidR="00CA51EC" w14:paraId="3AD77A10" w14:textId="77777777">
        <w:tc>
          <w:tcPr>
            <w:tcW w:w="0" w:type="auto"/>
          </w:tcPr>
          <w:p w14:paraId="5BFBE1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90F82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315D69C" w14:textId="77777777" w:rsidR="00000000" w:rsidRPr="00BE00C7" w:rsidRDefault="00000000" w:rsidP="00BE00C7">
            <w:pPr>
              <w:pStyle w:val="OutcomeDescription"/>
              <w:spacing w:before="120" w:after="120"/>
              <w:rPr>
                <w:rFonts w:cs="Arial"/>
                <w:lang w:eastAsia="en-NZ"/>
              </w:rPr>
            </w:pPr>
          </w:p>
        </w:tc>
        <w:tc>
          <w:tcPr>
            <w:tcW w:w="0" w:type="auto"/>
          </w:tcPr>
          <w:p w14:paraId="47D6E0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6AF4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well-maintained, and that they meet legislative requirements.  The building has a current building warrant of fitness that expires on 12 October 2025. </w:t>
            </w:r>
          </w:p>
          <w:p w14:paraId="374231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maintenance schedule included electrical testing and tagging of electrical equipment, resident equipment checks, and calibrations of the weighing scales and clinical equipment. The scales were checked annually. The maintenance officers and certified tradespeople carry out reactive maintenance where required. There is a contracted gardener who works 20 hours a week. The environmental temperature was monitored, and processes were implemented to manage significant temperature changes. </w:t>
            </w:r>
          </w:p>
          <w:p w14:paraId="01828C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 total of 40 bedrooms, including four double rooms. Only </w:t>
            </w:r>
            <w:r w:rsidRPr="00BE00C7">
              <w:rPr>
                <w:rFonts w:cs="Arial"/>
                <w:lang w:eastAsia="en-NZ"/>
              </w:rPr>
              <w:lastRenderedPageBreak/>
              <w:t>one of the double rooms was occupied by a couple. 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Internal and external spaces were culturally inclusive and suited the needs of the residents.</w:t>
            </w:r>
          </w:p>
          <w:p w14:paraId="086301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594A12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environment is inclusive of people’s cultures and supported cultural practices. The FM/D and the maintenance officer reported that, when there is a planned development for new buildings, there shall be consultation and co-design of the environments to ensure that they reflect the aspirations and identity of Māori. Care staff interviewed stated that they have adequate equipment to safely deliver care for residents. </w:t>
            </w:r>
          </w:p>
          <w:p w14:paraId="09B116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stated that they have no plans to change the layout of the existing facility. Ongoing maintenance will continue. One of the maintenance officers will retire, and the role will be filled by a casual maintenance person.</w:t>
            </w:r>
          </w:p>
          <w:p w14:paraId="69C4B819" w14:textId="77777777" w:rsidR="00000000" w:rsidRPr="00BE00C7" w:rsidRDefault="00000000" w:rsidP="00BE00C7">
            <w:pPr>
              <w:pStyle w:val="OutcomeDescription"/>
              <w:spacing w:before="120" w:after="120"/>
              <w:rPr>
                <w:rFonts w:cs="Arial"/>
                <w:lang w:eastAsia="en-NZ"/>
              </w:rPr>
            </w:pPr>
          </w:p>
        </w:tc>
      </w:tr>
      <w:tr w:rsidR="00CA51EC" w14:paraId="78245A4A" w14:textId="77777777">
        <w:tc>
          <w:tcPr>
            <w:tcW w:w="0" w:type="auto"/>
          </w:tcPr>
          <w:p w14:paraId="77728F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0FCE8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17D0907" w14:textId="77777777" w:rsidR="00000000" w:rsidRPr="00BE00C7" w:rsidRDefault="00000000" w:rsidP="00BE00C7">
            <w:pPr>
              <w:pStyle w:val="OutcomeDescription"/>
              <w:spacing w:before="120" w:after="120"/>
              <w:rPr>
                <w:rFonts w:cs="Arial"/>
                <w:lang w:eastAsia="en-NZ"/>
              </w:rPr>
            </w:pPr>
          </w:p>
        </w:tc>
        <w:tc>
          <w:tcPr>
            <w:tcW w:w="0" w:type="auto"/>
          </w:tcPr>
          <w:p w14:paraId="34CFF6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2727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These have recently been updated.  Staff have received relevant information and training and have appropriate equipment to respond to emergency and security situations.  Staff interviewed knew what to do in an emergency.  The fire evacuation plan has been approved by Fire and Emergency New Zealand (FENZ).  A trial evacuation drill was performed on 8 May 2025. The drills are conducted every six months, and these were added to the annual training programme. Adequate supplies for use in the event of a civil defence emergency meet the National Emergency Management Agency recommendations for the region. The service has two generators, a gas BBQ, and two gas cookers. Staff can provide a level of first aid relevant to the risks for the type of service provided. First aid training </w:t>
            </w:r>
            <w:r w:rsidRPr="00BE00C7">
              <w:rPr>
                <w:rFonts w:cs="Arial"/>
                <w:lang w:eastAsia="en-NZ"/>
              </w:rPr>
              <w:lastRenderedPageBreak/>
              <w:t xml:space="preserve">records were sighted, and most staff had completed the requirements. There is always at least one person on duty with first aid training.  </w:t>
            </w:r>
          </w:p>
          <w:p w14:paraId="5E21D7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responded promptly to call bells.    </w:t>
            </w:r>
          </w:p>
          <w:p w14:paraId="53548A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were in place, including facility locking procedures. Residents and whānau were familiarised with emergency and security arrangements on admission, and as and when required.  </w:t>
            </w:r>
          </w:p>
          <w:p w14:paraId="6D58C9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closed-circuit television and video (CCTV) system monitoring the entrance, garden areas and communal areas. CCTV signage was displayed around the facility. There is a visitors' policy and guidelines available to ensure resident safety and wellbeing are not compromised by visitors to the service. Visitors and contractors are required to sign in and out of visitors’ registers.</w:t>
            </w:r>
          </w:p>
          <w:p w14:paraId="02404F06" w14:textId="77777777" w:rsidR="00000000" w:rsidRPr="00BE00C7" w:rsidRDefault="00000000" w:rsidP="00BE00C7">
            <w:pPr>
              <w:pStyle w:val="OutcomeDescription"/>
              <w:spacing w:before="120" w:after="120"/>
              <w:rPr>
                <w:rFonts w:cs="Arial"/>
                <w:lang w:eastAsia="en-NZ"/>
              </w:rPr>
            </w:pPr>
          </w:p>
        </w:tc>
      </w:tr>
      <w:tr w:rsidR="00CA51EC" w14:paraId="0B062845" w14:textId="77777777">
        <w:tc>
          <w:tcPr>
            <w:tcW w:w="0" w:type="auto"/>
          </w:tcPr>
          <w:p w14:paraId="25A8C3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65423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4F457F3" w14:textId="77777777" w:rsidR="00000000" w:rsidRPr="00BE00C7" w:rsidRDefault="00000000" w:rsidP="00BE00C7">
            <w:pPr>
              <w:pStyle w:val="OutcomeDescription"/>
              <w:spacing w:before="120" w:after="120"/>
              <w:rPr>
                <w:rFonts w:cs="Arial"/>
                <w:lang w:eastAsia="en-NZ"/>
              </w:rPr>
            </w:pPr>
          </w:p>
        </w:tc>
        <w:tc>
          <w:tcPr>
            <w:tcW w:w="0" w:type="auto"/>
          </w:tcPr>
          <w:p w14:paraId="5CDEFF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F65C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w:t>
            </w:r>
          </w:p>
          <w:p w14:paraId="13359E4A" w14:textId="77777777" w:rsidR="00000000" w:rsidRPr="00BE00C7" w:rsidRDefault="00000000" w:rsidP="00BE00C7">
            <w:pPr>
              <w:pStyle w:val="OutcomeDescription"/>
              <w:spacing w:before="120" w:after="120"/>
              <w:rPr>
                <w:rFonts w:cs="Arial"/>
                <w:lang w:eastAsia="en-NZ"/>
              </w:rPr>
            </w:pPr>
          </w:p>
        </w:tc>
      </w:tr>
      <w:tr w:rsidR="00CA51EC" w14:paraId="446F9675" w14:textId="77777777">
        <w:tc>
          <w:tcPr>
            <w:tcW w:w="0" w:type="auto"/>
          </w:tcPr>
          <w:p w14:paraId="064399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A53C4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2AB63780" w14:textId="77777777" w:rsidR="00000000" w:rsidRPr="00BE00C7" w:rsidRDefault="00000000" w:rsidP="00BE00C7">
            <w:pPr>
              <w:pStyle w:val="OutcomeDescription"/>
              <w:spacing w:before="120" w:after="120"/>
              <w:rPr>
                <w:rFonts w:cs="Arial"/>
                <w:lang w:eastAsia="en-NZ"/>
              </w:rPr>
            </w:pPr>
          </w:p>
        </w:tc>
        <w:tc>
          <w:tcPr>
            <w:tcW w:w="0" w:type="auto"/>
          </w:tcPr>
          <w:p w14:paraId="2B7BF1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FE10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nominated infection prevention and control coordinator (IPCC) is responsible for overseeing and implementing the IP programme, with reporting lines to the senior management team and the governance group. The IPCC has appropriate skills, knowledge and qualifications for the role and confirmed access to the necessary resources and support. They have attended relevant infection prevention and control training within the past two years. Their advice has been </w:t>
            </w:r>
            <w:r w:rsidRPr="00BE00C7">
              <w:rPr>
                <w:rFonts w:cs="Arial"/>
                <w:lang w:eastAsia="en-NZ"/>
              </w:rPr>
              <w:lastRenderedPageBreak/>
              <w:t>sought when making decisions around procurement relevant to care delivery and policies. The operations manager stated that there were no immediate planned building changes, and the advice of the IPC would be sought as required.</w:t>
            </w:r>
          </w:p>
          <w:p w14:paraId="49C370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were based on current accepted good practice.  Cultural advice is accessed where appropriate. The IP programme is reviewed annually and was last reviewed in January 2025.</w:t>
            </w:r>
          </w:p>
          <w:p w14:paraId="69C195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4287DC1E"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71144E4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The process is audited to maintain good practice. Single-use medical devices are not reused.</w:t>
            </w:r>
          </w:p>
          <w:p w14:paraId="330AE7E9" w14:textId="77777777" w:rsidR="00000000" w:rsidRPr="00BE00C7" w:rsidRDefault="00000000" w:rsidP="00BE00C7">
            <w:pPr>
              <w:pStyle w:val="OutcomeDescription"/>
              <w:spacing w:before="120" w:after="120"/>
              <w:rPr>
                <w:rFonts w:cs="Arial"/>
                <w:lang w:eastAsia="en-NZ"/>
              </w:rPr>
            </w:pPr>
          </w:p>
        </w:tc>
      </w:tr>
      <w:tr w:rsidR="00CA51EC" w14:paraId="2065DAAB" w14:textId="77777777">
        <w:tc>
          <w:tcPr>
            <w:tcW w:w="0" w:type="auto"/>
          </w:tcPr>
          <w:p w14:paraId="07EBE4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FB9B9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317E54D" w14:textId="77777777" w:rsidR="00000000" w:rsidRPr="00BE00C7" w:rsidRDefault="00000000" w:rsidP="00BE00C7">
            <w:pPr>
              <w:pStyle w:val="OutcomeDescription"/>
              <w:spacing w:before="120" w:after="120"/>
              <w:rPr>
                <w:rFonts w:cs="Arial"/>
                <w:lang w:eastAsia="en-NZ"/>
              </w:rPr>
            </w:pPr>
          </w:p>
        </w:tc>
        <w:tc>
          <w:tcPr>
            <w:tcW w:w="0" w:type="auto"/>
          </w:tcPr>
          <w:p w14:paraId="16C479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82EFCC"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Monthly analysis of infections includes antibiotic usage data.</w:t>
            </w:r>
          </w:p>
          <w:p w14:paraId="5C360B8C" w14:textId="77777777" w:rsidR="00000000" w:rsidRPr="00BE00C7" w:rsidRDefault="00000000" w:rsidP="00BE00C7">
            <w:pPr>
              <w:pStyle w:val="OutcomeDescription"/>
              <w:spacing w:before="120" w:after="120"/>
              <w:rPr>
                <w:rFonts w:cs="Arial"/>
                <w:lang w:eastAsia="en-NZ"/>
              </w:rPr>
            </w:pPr>
          </w:p>
        </w:tc>
      </w:tr>
      <w:tr w:rsidR="00CA51EC" w14:paraId="701BC860" w14:textId="77777777">
        <w:tc>
          <w:tcPr>
            <w:tcW w:w="0" w:type="auto"/>
          </w:tcPr>
          <w:p w14:paraId="7E829F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43463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8D0591B" w14:textId="77777777" w:rsidR="00000000" w:rsidRPr="00BE00C7" w:rsidRDefault="00000000" w:rsidP="00BE00C7">
            <w:pPr>
              <w:pStyle w:val="OutcomeDescription"/>
              <w:spacing w:before="120" w:after="120"/>
              <w:rPr>
                <w:rFonts w:cs="Arial"/>
                <w:lang w:eastAsia="en-NZ"/>
              </w:rPr>
            </w:pPr>
          </w:p>
        </w:tc>
        <w:tc>
          <w:tcPr>
            <w:tcW w:w="0" w:type="auto"/>
          </w:tcPr>
          <w:p w14:paraId="0BF725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7867A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and where necessary, recommendations for improvement are identified.  Infection outbreaks reported since the previous audit were managed effectively.</w:t>
            </w:r>
          </w:p>
          <w:p w14:paraId="5D2DFD63"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staff and those residents experiencing a health care-associated infection (HAI) is culturally safe, as confirmed in interviews.</w:t>
            </w:r>
          </w:p>
          <w:p w14:paraId="485E98E1" w14:textId="77777777" w:rsidR="00000000" w:rsidRPr="00BE00C7" w:rsidRDefault="00000000" w:rsidP="00BE00C7">
            <w:pPr>
              <w:pStyle w:val="OutcomeDescription"/>
              <w:spacing w:before="120" w:after="120"/>
              <w:rPr>
                <w:rFonts w:cs="Arial"/>
                <w:lang w:eastAsia="en-NZ"/>
              </w:rPr>
            </w:pPr>
          </w:p>
        </w:tc>
      </w:tr>
      <w:tr w:rsidR="00CA51EC" w14:paraId="0B32F457" w14:textId="77777777">
        <w:tc>
          <w:tcPr>
            <w:tcW w:w="0" w:type="auto"/>
          </w:tcPr>
          <w:p w14:paraId="74E306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47D77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C708811" w14:textId="77777777" w:rsidR="00000000" w:rsidRPr="00BE00C7" w:rsidRDefault="00000000" w:rsidP="00BE00C7">
            <w:pPr>
              <w:pStyle w:val="OutcomeDescription"/>
              <w:spacing w:before="120" w:after="120"/>
              <w:rPr>
                <w:rFonts w:cs="Arial"/>
                <w:lang w:eastAsia="en-NZ"/>
              </w:rPr>
            </w:pPr>
          </w:p>
        </w:tc>
        <w:tc>
          <w:tcPr>
            <w:tcW w:w="0" w:type="auto"/>
          </w:tcPr>
          <w:p w14:paraId="2420AA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311E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3B77F42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The infection prevention and control coordinator has oversight of the environmental testing and monitoring programme.  Regular environmental and laundry processes audits were completed. Laundry and cleaning staff have completed relevant training and were observed to carry out duties safely. Chemicals were stored safely in a locked cleaners’ room.</w:t>
            </w:r>
          </w:p>
          <w:p w14:paraId="03DEF0F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1ACED0F5" w14:textId="77777777" w:rsidR="00000000" w:rsidRPr="00BE00C7" w:rsidRDefault="00000000" w:rsidP="00BE00C7">
            <w:pPr>
              <w:pStyle w:val="OutcomeDescription"/>
              <w:spacing w:before="120" w:after="120"/>
              <w:rPr>
                <w:rFonts w:cs="Arial"/>
                <w:lang w:eastAsia="en-NZ"/>
              </w:rPr>
            </w:pPr>
          </w:p>
        </w:tc>
      </w:tr>
      <w:tr w:rsidR="00CA51EC" w14:paraId="5F2395A4" w14:textId="77777777">
        <w:tc>
          <w:tcPr>
            <w:tcW w:w="0" w:type="auto"/>
          </w:tcPr>
          <w:p w14:paraId="3CD45C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9FF1B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ACB8761" w14:textId="77777777" w:rsidR="00000000" w:rsidRPr="00BE00C7" w:rsidRDefault="00000000" w:rsidP="00BE00C7">
            <w:pPr>
              <w:pStyle w:val="OutcomeDescription"/>
              <w:spacing w:before="120" w:after="120"/>
              <w:rPr>
                <w:rFonts w:cs="Arial"/>
                <w:lang w:eastAsia="en-NZ"/>
              </w:rPr>
            </w:pPr>
          </w:p>
        </w:tc>
        <w:tc>
          <w:tcPr>
            <w:tcW w:w="0" w:type="auto"/>
          </w:tcPr>
          <w:p w14:paraId="3D154D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58BE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Fergusson House is a restraint-free environment. At the time of the audit, there was no restraint in use, and this has been the case since the previous audit. Any use of restraint would be reported to the </w:t>
            </w:r>
            <w:r w:rsidRPr="00BE00C7">
              <w:rPr>
                <w:rFonts w:cs="Arial"/>
                <w:lang w:eastAsia="en-NZ"/>
              </w:rPr>
              <w:lastRenderedPageBreak/>
              <w:t xml:space="preserve">directors. The directors are committed to the maintenance of a restraint-free environment, as demonstrated in the business plan. There are policies and procedures related to restraint should these be required in an emergency event. Restraint is discussed at staff and management meetings.  </w:t>
            </w:r>
          </w:p>
          <w:p w14:paraId="6892E1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 interviewed understood the obligations to ensure and maintain a restraint-free environment and the aim to eliminate restraint use.</w:t>
            </w:r>
          </w:p>
          <w:p w14:paraId="65E54AE0"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is the restraint coordinator, who oversees the implementation of the restraint-free environment. Induction of new staff includes orientation to the restraint-free policy. Continuing education includes management of challenging behaviour and de-escalation techniques. Staff discussed restraint alternatives and provided examples of those used. Clinical records verified that restraint alternatives were implemented, for example sensor mats, ease of access to call bells, and appropriate mobility aids.</w:t>
            </w:r>
          </w:p>
          <w:p w14:paraId="2876583B" w14:textId="77777777" w:rsidR="00000000" w:rsidRPr="00BE00C7" w:rsidRDefault="00000000" w:rsidP="00BE00C7">
            <w:pPr>
              <w:pStyle w:val="OutcomeDescription"/>
              <w:spacing w:before="120" w:after="120"/>
              <w:rPr>
                <w:rFonts w:cs="Arial"/>
                <w:lang w:eastAsia="en-NZ"/>
              </w:rPr>
            </w:pPr>
          </w:p>
        </w:tc>
      </w:tr>
    </w:tbl>
    <w:p w14:paraId="733095FB"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29F6C37C" w14:textId="77777777" w:rsidR="00000000" w:rsidRDefault="00000000">
      <w:pPr>
        <w:pStyle w:val="Heading1"/>
        <w:rPr>
          <w:rFonts w:cs="Arial"/>
        </w:rPr>
      </w:pPr>
      <w:r>
        <w:rPr>
          <w:rFonts w:cs="Arial"/>
        </w:rPr>
        <w:lastRenderedPageBreak/>
        <w:t>Specific results for criterion where corrective actions are required</w:t>
      </w:r>
    </w:p>
    <w:p w14:paraId="7AB624E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8B3200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AE1035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A51EC" w14:paraId="133C5B73" w14:textId="77777777">
        <w:tc>
          <w:tcPr>
            <w:tcW w:w="0" w:type="auto"/>
          </w:tcPr>
          <w:p w14:paraId="354AD78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D8CFDBB"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74EEB630" w14:textId="77777777" w:rsidR="00000000" w:rsidRDefault="00000000">
      <w:pPr>
        <w:pStyle w:val="Heading1"/>
        <w:rPr>
          <w:rFonts w:cs="Arial"/>
        </w:rPr>
      </w:pPr>
      <w:r>
        <w:rPr>
          <w:rFonts w:cs="Arial"/>
        </w:rPr>
        <w:lastRenderedPageBreak/>
        <w:t>Specific results for criterion where a continuous improvement has been recorded</w:t>
      </w:r>
    </w:p>
    <w:p w14:paraId="04D045A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50DC99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CFBE4E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A51EC" w14:paraId="19F90BEC" w14:textId="77777777">
        <w:tc>
          <w:tcPr>
            <w:tcW w:w="0" w:type="auto"/>
          </w:tcPr>
          <w:p w14:paraId="268A129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24B0C05"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1418C08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5BD4" w14:textId="77777777" w:rsidR="00B456CF" w:rsidRDefault="00B456CF">
      <w:r>
        <w:separator/>
      </w:r>
    </w:p>
  </w:endnote>
  <w:endnote w:type="continuationSeparator" w:id="0">
    <w:p w14:paraId="6CC6F67B" w14:textId="77777777" w:rsidR="00B456CF" w:rsidRDefault="00B4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42AD" w14:textId="77777777" w:rsidR="00000000" w:rsidRDefault="00000000">
    <w:pPr>
      <w:pStyle w:val="Footer"/>
    </w:pPr>
  </w:p>
  <w:p w14:paraId="4598B839" w14:textId="77777777" w:rsidR="00000000" w:rsidRDefault="00000000"/>
  <w:p w14:paraId="0EE0373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148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FF Care &amp; Village Limited - Fergusson Home &amp; Retirement Village</w:t>
    </w:r>
    <w:bookmarkEnd w:id="47"/>
    <w:r>
      <w:rPr>
        <w:rFonts w:cs="Arial"/>
        <w:sz w:val="16"/>
        <w:szCs w:val="20"/>
      </w:rPr>
      <w:tab/>
      <w:t xml:space="preserve">Date of Audit: </w:t>
    </w:r>
    <w:bookmarkStart w:id="48" w:name="AuditStartDate1"/>
    <w:r>
      <w:rPr>
        <w:rFonts w:cs="Arial"/>
        <w:sz w:val="16"/>
        <w:szCs w:val="20"/>
      </w:rPr>
      <w:t>11 September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D158BF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638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D677" w14:textId="77777777" w:rsidR="00B456CF" w:rsidRDefault="00B456CF">
      <w:r>
        <w:separator/>
      </w:r>
    </w:p>
  </w:footnote>
  <w:footnote w:type="continuationSeparator" w:id="0">
    <w:p w14:paraId="118C3B29" w14:textId="77777777" w:rsidR="00B456CF" w:rsidRDefault="00B4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441F" w14:textId="77777777" w:rsidR="00000000" w:rsidRDefault="00000000">
    <w:pPr>
      <w:pStyle w:val="Header"/>
    </w:pPr>
  </w:p>
  <w:p w14:paraId="3E1B1CF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D88B" w14:textId="77777777" w:rsidR="00000000" w:rsidRDefault="00000000">
    <w:pPr>
      <w:pStyle w:val="Header"/>
    </w:pPr>
  </w:p>
  <w:p w14:paraId="561F1F4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444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FA88C10">
      <w:start w:val="1"/>
      <w:numFmt w:val="decimal"/>
      <w:lvlText w:val="%1."/>
      <w:lvlJc w:val="left"/>
      <w:pPr>
        <w:ind w:left="360" w:hanging="360"/>
      </w:pPr>
    </w:lvl>
    <w:lvl w:ilvl="1" w:tplc="E0AA7528" w:tentative="1">
      <w:start w:val="1"/>
      <w:numFmt w:val="lowerLetter"/>
      <w:lvlText w:val="%2."/>
      <w:lvlJc w:val="left"/>
      <w:pPr>
        <w:ind w:left="1080" w:hanging="360"/>
      </w:pPr>
    </w:lvl>
    <w:lvl w:ilvl="2" w:tplc="24041D0C" w:tentative="1">
      <w:start w:val="1"/>
      <w:numFmt w:val="lowerRoman"/>
      <w:lvlText w:val="%3."/>
      <w:lvlJc w:val="right"/>
      <w:pPr>
        <w:ind w:left="1800" w:hanging="180"/>
      </w:pPr>
    </w:lvl>
    <w:lvl w:ilvl="3" w:tplc="C396F120" w:tentative="1">
      <w:start w:val="1"/>
      <w:numFmt w:val="decimal"/>
      <w:lvlText w:val="%4."/>
      <w:lvlJc w:val="left"/>
      <w:pPr>
        <w:ind w:left="2520" w:hanging="360"/>
      </w:pPr>
    </w:lvl>
    <w:lvl w:ilvl="4" w:tplc="FD1258B8" w:tentative="1">
      <w:start w:val="1"/>
      <w:numFmt w:val="lowerLetter"/>
      <w:lvlText w:val="%5."/>
      <w:lvlJc w:val="left"/>
      <w:pPr>
        <w:ind w:left="3240" w:hanging="360"/>
      </w:pPr>
    </w:lvl>
    <w:lvl w:ilvl="5" w:tplc="169CA630" w:tentative="1">
      <w:start w:val="1"/>
      <w:numFmt w:val="lowerRoman"/>
      <w:lvlText w:val="%6."/>
      <w:lvlJc w:val="right"/>
      <w:pPr>
        <w:ind w:left="3960" w:hanging="180"/>
      </w:pPr>
    </w:lvl>
    <w:lvl w:ilvl="6" w:tplc="1040C026" w:tentative="1">
      <w:start w:val="1"/>
      <w:numFmt w:val="decimal"/>
      <w:lvlText w:val="%7."/>
      <w:lvlJc w:val="left"/>
      <w:pPr>
        <w:ind w:left="4680" w:hanging="360"/>
      </w:pPr>
    </w:lvl>
    <w:lvl w:ilvl="7" w:tplc="1EB2DA98" w:tentative="1">
      <w:start w:val="1"/>
      <w:numFmt w:val="lowerLetter"/>
      <w:lvlText w:val="%8."/>
      <w:lvlJc w:val="left"/>
      <w:pPr>
        <w:ind w:left="5400" w:hanging="360"/>
      </w:pPr>
    </w:lvl>
    <w:lvl w:ilvl="8" w:tplc="9EC8E22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8B200D8">
      <w:start w:val="1"/>
      <w:numFmt w:val="bullet"/>
      <w:lvlText w:val=""/>
      <w:lvlJc w:val="left"/>
      <w:pPr>
        <w:ind w:left="720" w:hanging="360"/>
      </w:pPr>
      <w:rPr>
        <w:rFonts w:ascii="Symbol" w:hAnsi="Symbol" w:hint="default"/>
      </w:rPr>
    </w:lvl>
    <w:lvl w:ilvl="1" w:tplc="DD5238E2" w:tentative="1">
      <w:start w:val="1"/>
      <w:numFmt w:val="bullet"/>
      <w:lvlText w:val="o"/>
      <w:lvlJc w:val="left"/>
      <w:pPr>
        <w:ind w:left="1440" w:hanging="360"/>
      </w:pPr>
      <w:rPr>
        <w:rFonts w:ascii="Courier New" w:hAnsi="Courier New" w:cs="Courier New" w:hint="default"/>
      </w:rPr>
    </w:lvl>
    <w:lvl w:ilvl="2" w:tplc="A5BE10F8" w:tentative="1">
      <w:start w:val="1"/>
      <w:numFmt w:val="bullet"/>
      <w:lvlText w:val=""/>
      <w:lvlJc w:val="left"/>
      <w:pPr>
        <w:ind w:left="2160" w:hanging="360"/>
      </w:pPr>
      <w:rPr>
        <w:rFonts w:ascii="Wingdings" w:hAnsi="Wingdings" w:hint="default"/>
      </w:rPr>
    </w:lvl>
    <w:lvl w:ilvl="3" w:tplc="5FAC9DC4" w:tentative="1">
      <w:start w:val="1"/>
      <w:numFmt w:val="bullet"/>
      <w:lvlText w:val=""/>
      <w:lvlJc w:val="left"/>
      <w:pPr>
        <w:ind w:left="2880" w:hanging="360"/>
      </w:pPr>
      <w:rPr>
        <w:rFonts w:ascii="Symbol" w:hAnsi="Symbol" w:hint="default"/>
      </w:rPr>
    </w:lvl>
    <w:lvl w:ilvl="4" w:tplc="02D4EB52" w:tentative="1">
      <w:start w:val="1"/>
      <w:numFmt w:val="bullet"/>
      <w:lvlText w:val="o"/>
      <w:lvlJc w:val="left"/>
      <w:pPr>
        <w:ind w:left="3600" w:hanging="360"/>
      </w:pPr>
      <w:rPr>
        <w:rFonts w:ascii="Courier New" w:hAnsi="Courier New" w:cs="Courier New" w:hint="default"/>
      </w:rPr>
    </w:lvl>
    <w:lvl w:ilvl="5" w:tplc="2C82D676" w:tentative="1">
      <w:start w:val="1"/>
      <w:numFmt w:val="bullet"/>
      <w:lvlText w:val=""/>
      <w:lvlJc w:val="left"/>
      <w:pPr>
        <w:ind w:left="4320" w:hanging="360"/>
      </w:pPr>
      <w:rPr>
        <w:rFonts w:ascii="Wingdings" w:hAnsi="Wingdings" w:hint="default"/>
      </w:rPr>
    </w:lvl>
    <w:lvl w:ilvl="6" w:tplc="26E0AAF8" w:tentative="1">
      <w:start w:val="1"/>
      <w:numFmt w:val="bullet"/>
      <w:lvlText w:val=""/>
      <w:lvlJc w:val="left"/>
      <w:pPr>
        <w:ind w:left="5040" w:hanging="360"/>
      </w:pPr>
      <w:rPr>
        <w:rFonts w:ascii="Symbol" w:hAnsi="Symbol" w:hint="default"/>
      </w:rPr>
    </w:lvl>
    <w:lvl w:ilvl="7" w:tplc="72BE6C92" w:tentative="1">
      <w:start w:val="1"/>
      <w:numFmt w:val="bullet"/>
      <w:lvlText w:val="o"/>
      <w:lvlJc w:val="left"/>
      <w:pPr>
        <w:ind w:left="5760" w:hanging="360"/>
      </w:pPr>
      <w:rPr>
        <w:rFonts w:ascii="Courier New" w:hAnsi="Courier New" w:cs="Courier New" w:hint="default"/>
      </w:rPr>
    </w:lvl>
    <w:lvl w:ilvl="8" w:tplc="94447ABA" w:tentative="1">
      <w:start w:val="1"/>
      <w:numFmt w:val="bullet"/>
      <w:lvlText w:val=""/>
      <w:lvlJc w:val="left"/>
      <w:pPr>
        <w:ind w:left="6480" w:hanging="360"/>
      </w:pPr>
      <w:rPr>
        <w:rFonts w:ascii="Wingdings" w:hAnsi="Wingdings" w:hint="default"/>
      </w:rPr>
    </w:lvl>
  </w:abstractNum>
  <w:num w:numId="1" w16cid:durableId="1928541444">
    <w:abstractNumId w:val="1"/>
  </w:num>
  <w:num w:numId="2" w16cid:durableId="155211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EC"/>
    <w:rsid w:val="008C2265"/>
    <w:rsid w:val="00940380"/>
    <w:rsid w:val="00B456CF"/>
    <w:rsid w:val="00CA51EC"/>
    <w:rsid w:val="00DE01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98CB"/>
  <w15:docId w15:val="{B694C59D-B41E-4C81-BDF1-17E7E6C3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9036</Words>
  <Characters>51507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2025-10-01T03:03:00Z</dcterms:created>
  <dcterms:modified xsi:type="dcterms:W3CDTF">2025-10-01T03:03:00Z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