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42D" w14:textId="77777777" w:rsidR="00000000" w:rsidRDefault="00000000">
      <w:pPr>
        <w:pStyle w:val="Heading1"/>
        <w:rPr>
          <w:rFonts w:cs="Arial"/>
        </w:rPr>
      </w:pPr>
      <w:bookmarkStart w:id="0" w:name="PRMS_RIName"/>
      <w:r>
        <w:rPr>
          <w:rFonts w:cs="Arial"/>
        </w:rPr>
        <w:t>Rosaria Rest Home 2006 Limited - Rosaria Rest Home</w:t>
      </w:r>
      <w:bookmarkEnd w:id="0"/>
    </w:p>
    <w:p w14:paraId="00DB961E" w14:textId="77777777" w:rsidR="00000000" w:rsidRDefault="00000000">
      <w:pPr>
        <w:pStyle w:val="Heading2"/>
        <w:spacing w:after="0"/>
        <w:rPr>
          <w:rFonts w:cs="Arial"/>
        </w:rPr>
      </w:pPr>
      <w:r>
        <w:rPr>
          <w:rFonts w:cs="Arial"/>
        </w:rPr>
        <w:t>Introduction</w:t>
      </w:r>
    </w:p>
    <w:p w14:paraId="031AA25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FD39CB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4309A3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983CB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65DA0F3" w14:textId="77777777" w:rsidR="00000000" w:rsidRDefault="00000000">
      <w:pPr>
        <w:spacing w:before="240" w:after="240"/>
        <w:rPr>
          <w:rFonts w:cs="Arial"/>
          <w:lang w:eastAsia="en-NZ"/>
        </w:rPr>
      </w:pPr>
      <w:r>
        <w:rPr>
          <w:rFonts w:cs="Arial"/>
          <w:lang w:eastAsia="en-NZ"/>
        </w:rPr>
        <w:t>The specifics of this audit included:</w:t>
      </w:r>
    </w:p>
    <w:p w14:paraId="30F4892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03DA4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Rosaria Rest Home 2006 Limited</w:t>
      </w:r>
      <w:bookmarkEnd w:id="4"/>
    </w:p>
    <w:p w14:paraId="47E3A46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Rosaria Rest Home</w:t>
      </w:r>
      <w:bookmarkEnd w:id="5"/>
    </w:p>
    <w:p w14:paraId="032764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941B5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August 2025</w:t>
      </w:r>
      <w:bookmarkEnd w:id="7"/>
      <w:r w:rsidRPr="009418D4">
        <w:rPr>
          <w:rFonts w:cs="Arial"/>
        </w:rPr>
        <w:tab/>
        <w:t xml:space="preserve">End date: </w:t>
      </w:r>
      <w:bookmarkStart w:id="8" w:name="AuditEndDate"/>
      <w:r>
        <w:rPr>
          <w:rFonts w:cs="Arial"/>
        </w:rPr>
        <w:t>22 August 2025</w:t>
      </w:r>
      <w:bookmarkEnd w:id="8"/>
    </w:p>
    <w:p w14:paraId="08DBC89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AA127A" w14:textId="77777777" w:rsidR="00F4142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0193CE2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E5977EE" w14:textId="77777777" w:rsidR="00000000" w:rsidRDefault="00000000">
      <w:pPr>
        <w:pStyle w:val="Heading1"/>
        <w:rPr>
          <w:rFonts w:cs="Arial"/>
        </w:rPr>
      </w:pPr>
      <w:r>
        <w:rPr>
          <w:rFonts w:cs="Arial"/>
        </w:rPr>
        <w:lastRenderedPageBreak/>
        <w:t>Executive summary of the audit</w:t>
      </w:r>
    </w:p>
    <w:p w14:paraId="695AA84C" w14:textId="77777777" w:rsidR="00000000" w:rsidRDefault="00000000">
      <w:pPr>
        <w:pStyle w:val="Heading2"/>
        <w:rPr>
          <w:rFonts w:cs="Arial"/>
        </w:rPr>
      </w:pPr>
      <w:r>
        <w:rPr>
          <w:rFonts w:cs="Arial"/>
        </w:rPr>
        <w:t>Introduction</w:t>
      </w:r>
    </w:p>
    <w:p w14:paraId="55F751D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C0BD91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D93E00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057D5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6A6AA4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2DE613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8457B5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C9A719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042FF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41426" w14:paraId="40268FED" w14:textId="77777777">
        <w:trPr>
          <w:cantSplit/>
          <w:tblHeader/>
        </w:trPr>
        <w:tc>
          <w:tcPr>
            <w:tcW w:w="1260" w:type="dxa"/>
            <w:tcBorders>
              <w:bottom w:val="single" w:sz="4" w:space="0" w:color="000000"/>
            </w:tcBorders>
            <w:vAlign w:val="center"/>
          </w:tcPr>
          <w:p w14:paraId="27B080C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94923A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EA14A3" w14:textId="77777777" w:rsidR="00000000" w:rsidRDefault="00000000">
            <w:pPr>
              <w:spacing w:before="60" w:after="60"/>
              <w:rPr>
                <w:rFonts w:eastAsia="Calibri"/>
                <w:b/>
                <w:szCs w:val="24"/>
              </w:rPr>
            </w:pPr>
            <w:r>
              <w:rPr>
                <w:rFonts w:eastAsia="Calibri"/>
                <w:b/>
                <w:szCs w:val="24"/>
              </w:rPr>
              <w:t>Definition</w:t>
            </w:r>
          </w:p>
        </w:tc>
      </w:tr>
      <w:tr w:rsidR="00F41426" w14:paraId="6955261C" w14:textId="77777777">
        <w:trPr>
          <w:cantSplit/>
          <w:trHeight w:val="964"/>
        </w:trPr>
        <w:tc>
          <w:tcPr>
            <w:tcW w:w="1260" w:type="dxa"/>
            <w:tcBorders>
              <w:bottom w:val="single" w:sz="4" w:space="0" w:color="000000"/>
            </w:tcBorders>
            <w:shd w:val="clear" w:color="0066FF" w:fill="0000FF"/>
            <w:vAlign w:val="center"/>
          </w:tcPr>
          <w:p w14:paraId="226C41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13F3C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E7B400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41426" w14:paraId="05107818" w14:textId="77777777">
        <w:trPr>
          <w:cantSplit/>
          <w:trHeight w:val="964"/>
        </w:trPr>
        <w:tc>
          <w:tcPr>
            <w:tcW w:w="1260" w:type="dxa"/>
            <w:shd w:val="clear" w:color="33CC33" w:fill="00FF00"/>
            <w:vAlign w:val="center"/>
          </w:tcPr>
          <w:p w14:paraId="02A3F5E3" w14:textId="77777777" w:rsidR="00000000" w:rsidRDefault="00000000">
            <w:pPr>
              <w:spacing w:before="60" w:after="60"/>
              <w:rPr>
                <w:rFonts w:eastAsia="Calibri"/>
                <w:szCs w:val="24"/>
              </w:rPr>
            </w:pPr>
          </w:p>
        </w:tc>
        <w:tc>
          <w:tcPr>
            <w:tcW w:w="7095" w:type="dxa"/>
            <w:shd w:val="clear" w:color="auto" w:fill="auto"/>
            <w:vAlign w:val="center"/>
          </w:tcPr>
          <w:p w14:paraId="671CC6A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5FDCF8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41426" w14:paraId="23D18A55" w14:textId="77777777">
        <w:trPr>
          <w:cantSplit/>
          <w:trHeight w:val="964"/>
        </w:trPr>
        <w:tc>
          <w:tcPr>
            <w:tcW w:w="1260" w:type="dxa"/>
            <w:tcBorders>
              <w:bottom w:val="single" w:sz="4" w:space="0" w:color="000000"/>
            </w:tcBorders>
            <w:shd w:val="clear" w:color="auto" w:fill="FFFF00"/>
            <w:vAlign w:val="center"/>
          </w:tcPr>
          <w:p w14:paraId="63DBEDB5" w14:textId="77777777" w:rsidR="00000000" w:rsidRDefault="00000000">
            <w:pPr>
              <w:spacing w:before="60" w:after="60"/>
              <w:rPr>
                <w:rFonts w:eastAsia="Calibri"/>
                <w:szCs w:val="24"/>
              </w:rPr>
            </w:pPr>
          </w:p>
        </w:tc>
        <w:tc>
          <w:tcPr>
            <w:tcW w:w="7095" w:type="dxa"/>
            <w:shd w:val="clear" w:color="auto" w:fill="auto"/>
            <w:vAlign w:val="center"/>
          </w:tcPr>
          <w:p w14:paraId="073B336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5302A4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41426" w14:paraId="3E2C1CBF" w14:textId="77777777">
        <w:trPr>
          <w:cantSplit/>
          <w:trHeight w:val="964"/>
        </w:trPr>
        <w:tc>
          <w:tcPr>
            <w:tcW w:w="1260" w:type="dxa"/>
            <w:tcBorders>
              <w:bottom w:val="single" w:sz="4" w:space="0" w:color="000000"/>
            </w:tcBorders>
            <w:shd w:val="clear" w:color="auto" w:fill="FFC800"/>
            <w:vAlign w:val="center"/>
          </w:tcPr>
          <w:p w14:paraId="38B4916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23A206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AFA44B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41426" w14:paraId="255EB863" w14:textId="77777777">
        <w:trPr>
          <w:cantSplit/>
          <w:trHeight w:val="964"/>
        </w:trPr>
        <w:tc>
          <w:tcPr>
            <w:tcW w:w="1260" w:type="dxa"/>
            <w:shd w:val="clear" w:color="auto" w:fill="FF0000"/>
            <w:vAlign w:val="center"/>
          </w:tcPr>
          <w:p w14:paraId="3D578F30" w14:textId="77777777" w:rsidR="00000000" w:rsidRDefault="00000000">
            <w:pPr>
              <w:spacing w:before="60" w:after="60"/>
              <w:rPr>
                <w:rFonts w:eastAsia="Calibri"/>
                <w:szCs w:val="24"/>
              </w:rPr>
            </w:pPr>
          </w:p>
        </w:tc>
        <w:tc>
          <w:tcPr>
            <w:tcW w:w="7095" w:type="dxa"/>
            <w:shd w:val="clear" w:color="auto" w:fill="auto"/>
            <w:vAlign w:val="center"/>
          </w:tcPr>
          <w:p w14:paraId="631CFDC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3F9C5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DD47991" w14:textId="77777777" w:rsidR="00000000" w:rsidRDefault="00000000">
      <w:pPr>
        <w:pStyle w:val="Heading2"/>
        <w:spacing w:after="0"/>
        <w:rPr>
          <w:rFonts w:cs="Arial"/>
        </w:rPr>
      </w:pPr>
      <w:r>
        <w:rPr>
          <w:rFonts w:cs="Arial"/>
        </w:rPr>
        <w:t>General overview of the audit</w:t>
      </w:r>
    </w:p>
    <w:p w14:paraId="1B489415" w14:textId="77777777" w:rsidR="00000000" w:rsidRDefault="00000000">
      <w:pPr>
        <w:spacing w:before="240" w:line="276" w:lineRule="auto"/>
        <w:rPr>
          <w:rFonts w:eastAsia="Calibri"/>
        </w:rPr>
      </w:pPr>
      <w:bookmarkStart w:id="13" w:name="GeneralOverview"/>
      <w:r w:rsidRPr="00A4268A">
        <w:rPr>
          <w:rFonts w:eastAsia="Calibri"/>
        </w:rPr>
        <w:t xml:space="preserve">Rosaria Rest Home 2006 Limited (Rosaria Rest Home) provides rest home care for up to 26 residents. There were 24 residents on the day of the audit. The rest home provides services to residents who are all of Chinese ethnicity and who speak limited or no English at all. An independent interpreter was used for all residents’ and some staff interviews. </w:t>
      </w:r>
    </w:p>
    <w:p w14:paraId="4A65AC64" w14:textId="77777777" w:rsidR="00F41426" w:rsidRPr="00A4268A" w:rsidRDefault="00000000">
      <w:pPr>
        <w:spacing w:before="240" w:line="276" w:lineRule="auto"/>
        <w:rPr>
          <w:rFonts w:eastAsia="Calibri"/>
        </w:rPr>
      </w:pPr>
      <w:r w:rsidRPr="00A4268A">
        <w:rPr>
          <w:rFonts w:eastAsia="Calibri"/>
        </w:rPr>
        <w:t>There have been significant changes to the management since the last audit. In April 2024, one of the owner/directors assumed the position of facility manager following the resignation of the previous facility manager.</w:t>
      </w:r>
    </w:p>
    <w:p w14:paraId="39934C19" w14:textId="77777777" w:rsidR="00F41426" w:rsidRPr="00A4268A" w:rsidRDefault="00000000">
      <w:pPr>
        <w:spacing w:before="240" w:line="276" w:lineRule="auto"/>
        <w:rPr>
          <w:rFonts w:eastAsia="Calibri"/>
        </w:rPr>
      </w:pPr>
      <w:r w:rsidRPr="00A4268A">
        <w:rPr>
          <w:rFonts w:eastAsia="Calibri"/>
        </w:rPr>
        <w:t>The service is managed by the owner/director who is the facility manager, supported by an assistant manager, a registered nurse, care staff, and the other owner/director. Feedback from family/whānau and residents was positive about the care and services provided at the service.</w:t>
      </w:r>
    </w:p>
    <w:p w14:paraId="62DB37C4" w14:textId="77777777" w:rsidR="00F41426" w:rsidRPr="00A4268A" w:rsidRDefault="00000000">
      <w:pPr>
        <w:spacing w:before="240" w:line="276" w:lineRule="auto"/>
        <w:rPr>
          <w:rFonts w:eastAsia="Calibri"/>
        </w:rPr>
      </w:pPr>
      <w:r w:rsidRPr="00A4268A">
        <w:rPr>
          <w:rFonts w:eastAsia="Calibri"/>
        </w:rPr>
        <w:t>This certification audit was conducted in accordance with the Ngā Paerewa Health and Disability Services Standard NZS 8134:2021 and the service’s contract held with Health New Zealand – Te Whatu Ora. The audit process included a review of policies and procedures, a review of residents' and staff's files, observations, and interviews with whānau, staff, the general practitioner, and the owner/directors.</w:t>
      </w:r>
    </w:p>
    <w:p w14:paraId="0EF74E7F" w14:textId="77777777" w:rsidR="00F41426" w:rsidRPr="00A4268A" w:rsidRDefault="00000000">
      <w:pPr>
        <w:spacing w:before="240" w:line="276" w:lineRule="auto"/>
        <w:rPr>
          <w:rFonts w:eastAsia="Calibri"/>
        </w:rPr>
      </w:pPr>
      <w:r w:rsidRPr="00A4268A">
        <w:rPr>
          <w:rFonts w:eastAsia="Calibri"/>
        </w:rPr>
        <w:t xml:space="preserve"> Improvements are required in relation to essential notifications, the environment, and the menu review.</w:t>
      </w:r>
    </w:p>
    <w:bookmarkEnd w:id="13"/>
    <w:p w14:paraId="408B0E04" w14:textId="77777777" w:rsidR="00F41426" w:rsidRPr="00A4268A" w:rsidRDefault="00F41426">
      <w:pPr>
        <w:spacing w:before="240" w:line="276" w:lineRule="auto"/>
        <w:rPr>
          <w:rFonts w:eastAsia="Calibri"/>
        </w:rPr>
      </w:pPr>
    </w:p>
    <w:p w14:paraId="31A58BE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266454A1" w14:textId="77777777" w:rsidTr="00A4268A">
        <w:trPr>
          <w:cantSplit/>
        </w:trPr>
        <w:tc>
          <w:tcPr>
            <w:tcW w:w="10206" w:type="dxa"/>
            <w:vAlign w:val="center"/>
          </w:tcPr>
          <w:p w14:paraId="36F56F6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0BF31F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EB792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19403D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20F7230" w14:textId="77777777" w:rsidR="00000000" w:rsidRDefault="00000000">
      <w:pPr>
        <w:spacing w:before="240" w:line="276" w:lineRule="auto"/>
        <w:rPr>
          <w:rFonts w:eastAsia="Calibri"/>
        </w:rPr>
      </w:pPr>
      <w:bookmarkStart w:id="16" w:name="ConsumerRights"/>
      <w:r w:rsidRPr="00A4268A">
        <w:rPr>
          <w:rFonts w:eastAsia="Calibri"/>
        </w:rPr>
        <w:t>Rosaria Rest Home works collaboratively to support and encourage a Māori world view of health in service delivery. Māori are provided with equitable and effective services based on Te Tiriti o Waitangi and the principles of mana motuhake when required.</w:t>
      </w:r>
    </w:p>
    <w:p w14:paraId="559C8EA4" w14:textId="77777777" w:rsidR="00F41426"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218FAB9" w14:textId="77777777" w:rsidR="00F41426"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4357808B" w14:textId="77777777" w:rsidR="00F41426"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EEB3FB9" w14:textId="77777777" w:rsidR="00F41426"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71F84CE8" w14:textId="77777777" w:rsidR="00F41426" w:rsidRPr="00A4268A" w:rsidRDefault="00F41426">
      <w:pPr>
        <w:spacing w:before="240" w:line="276" w:lineRule="auto"/>
        <w:rPr>
          <w:rFonts w:eastAsia="Calibri"/>
        </w:rPr>
      </w:pPr>
    </w:p>
    <w:p w14:paraId="5DAB6308"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5F38E2C1" w14:textId="77777777" w:rsidTr="00A4268A">
        <w:trPr>
          <w:cantSplit/>
        </w:trPr>
        <w:tc>
          <w:tcPr>
            <w:tcW w:w="10206" w:type="dxa"/>
            <w:vAlign w:val="center"/>
          </w:tcPr>
          <w:p w14:paraId="130302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57FCA6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2840ECF"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45FF1DD"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0FCE6668" w14:textId="77777777" w:rsidR="00F41426" w:rsidRPr="00A4268A" w:rsidRDefault="00000000">
      <w:pPr>
        <w:spacing w:before="240" w:line="276" w:lineRule="auto"/>
        <w:rPr>
          <w:rFonts w:eastAsia="Calibri"/>
        </w:rPr>
      </w:pPr>
      <w:r w:rsidRPr="00A4268A">
        <w:rPr>
          <w:rFonts w:eastAsia="Calibri"/>
        </w:rPr>
        <w:t xml:space="preserve">Planning ensures the purpose, values, direction, scope and goals of the organisation are defined. Performance is monitored and reviewed at planned intervals.  </w:t>
      </w:r>
    </w:p>
    <w:p w14:paraId="7C3B6351" w14:textId="77777777" w:rsidR="00F41426"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0D5E1BD5" w14:textId="77777777" w:rsidR="00F41426" w:rsidRPr="00A4268A" w:rsidRDefault="00000000">
      <w:pPr>
        <w:spacing w:before="240" w:line="276" w:lineRule="auto"/>
        <w:rPr>
          <w:rFonts w:eastAsia="Calibri"/>
        </w:rPr>
      </w:pPr>
      <w:r w:rsidRPr="00A4268A">
        <w:rPr>
          <w:rFonts w:eastAsia="Calibri"/>
        </w:rPr>
        <w:t>There is a National Adverse Events Policy in place that include statutory and regulatory reporting obligations.</w:t>
      </w:r>
    </w:p>
    <w:p w14:paraId="6E5E622A" w14:textId="77777777" w:rsidR="00F41426"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5E8D068" w14:textId="77777777" w:rsidR="00F41426"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p w14:paraId="3F8FF608" w14:textId="77777777" w:rsidR="00F41426" w:rsidRPr="00A4268A" w:rsidRDefault="00000000">
      <w:pPr>
        <w:spacing w:before="240" w:line="276" w:lineRule="auto"/>
        <w:rPr>
          <w:rFonts w:eastAsia="Calibri"/>
        </w:rPr>
      </w:pPr>
      <w:r w:rsidRPr="00A4268A">
        <w:rPr>
          <w:rFonts w:eastAsia="Calibri"/>
        </w:rPr>
        <w:t xml:space="preserve">.  </w:t>
      </w:r>
    </w:p>
    <w:bookmarkEnd w:id="19"/>
    <w:p w14:paraId="10DE58FE" w14:textId="77777777" w:rsidR="00F41426" w:rsidRPr="00A4268A" w:rsidRDefault="00F41426">
      <w:pPr>
        <w:spacing w:before="240" w:line="276" w:lineRule="auto"/>
        <w:rPr>
          <w:rFonts w:eastAsia="Calibri"/>
        </w:rPr>
      </w:pPr>
    </w:p>
    <w:p w14:paraId="3D08B1B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57CF1B00" w14:textId="77777777" w:rsidTr="00A4268A">
        <w:trPr>
          <w:cantSplit/>
        </w:trPr>
        <w:tc>
          <w:tcPr>
            <w:tcW w:w="10206" w:type="dxa"/>
            <w:vAlign w:val="center"/>
          </w:tcPr>
          <w:p w14:paraId="119657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FB1494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54EB2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F4BC04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residents enter Rosaria Rest Home, a person-centred and whānau-centred approach is adopted. Relevant information is provided to the potential resident and whānau.  </w:t>
      </w:r>
    </w:p>
    <w:p w14:paraId="581CC94C" w14:textId="77777777" w:rsidR="00F41426"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63635075" w14:textId="77777777" w:rsidR="00F41426"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74128F43" w14:textId="77777777" w:rsidR="00F41426"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070EF9B9" w14:textId="77777777" w:rsidR="00F41426" w:rsidRPr="00A4268A" w:rsidRDefault="00000000" w:rsidP="00621629">
      <w:pPr>
        <w:spacing w:before="240" w:line="276" w:lineRule="auto"/>
        <w:rPr>
          <w:rFonts w:eastAsia="Calibri"/>
        </w:rPr>
      </w:pPr>
      <w:r w:rsidRPr="00A4268A">
        <w:rPr>
          <w:rFonts w:eastAsia="Calibri"/>
        </w:rPr>
        <w:t xml:space="preserve">Residents’ nutritional needs are assessed on admission to the service, and special cultural needs are catered for. Food is safely managed.  </w:t>
      </w:r>
    </w:p>
    <w:p w14:paraId="648EF5C3" w14:textId="77777777" w:rsidR="00F41426"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B772596" w14:textId="77777777" w:rsidR="00F41426" w:rsidRPr="00A4268A" w:rsidRDefault="00F41426" w:rsidP="00621629">
      <w:pPr>
        <w:spacing w:before="240" w:line="276" w:lineRule="auto"/>
        <w:rPr>
          <w:rFonts w:eastAsia="Calibri"/>
        </w:rPr>
      </w:pPr>
    </w:p>
    <w:p w14:paraId="04E9CCF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22C96BBB" w14:textId="77777777" w:rsidTr="00A4268A">
        <w:trPr>
          <w:cantSplit/>
        </w:trPr>
        <w:tc>
          <w:tcPr>
            <w:tcW w:w="10206" w:type="dxa"/>
            <w:vAlign w:val="center"/>
          </w:tcPr>
          <w:p w14:paraId="186952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B896E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5F72F2"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2436B928"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626A044D" w14:textId="77777777" w:rsidR="00F41426"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1833F6D6" w14:textId="77777777" w:rsidR="00F41426" w:rsidRPr="00A4268A" w:rsidRDefault="00F41426">
      <w:pPr>
        <w:spacing w:before="240" w:line="276" w:lineRule="auto"/>
        <w:rPr>
          <w:rFonts w:eastAsia="Calibri"/>
        </w:rPr>
      </w:pPr>
    </w:p>
    <w:p w14:paraId="1C9122B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6C97B3D5" w14:textId="77777777" w:rsidTr="00A4268A">
        <w:trPr>
          <w:cantSplit/>
        </w:trPr>
        <w:tc>
          <w:tcPr>
            <w:tcW w:w="10206" w:type="dxa"/>
            <w:vAlign w:val="center"/>
          </w:tcPr>
          <w:p w14:paraId="06ECCD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A4A69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8987A4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2DADB82"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7123B7B5" w14:textId="77777777" w:rsidR="00F41426"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024B7E6A" w14:textId="77777777" w:rsidR="00F41426"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53D4C1A" w14:textId="77777777" w:rsidR="00F41426"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B9D3FA4" w14:textId="77777777" w:rsidR="00F41426"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1A9F37EB" w14:textId="77777777" w:rsidR="00F41426" w:rsidRPr="00A4268A" w:rsidRDefault="00F41426">
      <w:pPr>
        <w:spacing w:before="240" w:line="276" w:lineRule="auto"/>
        <w:rPr>
          <w:rFonts w:eastAsia="Calibri"/>
        </w:rPr>
      </w:pPr>
    </w:p>
    <w:p w14:paraId="6930F4D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426" w14:paraId="5B0285A8" w14:textId="77777777" w:rsidTr="00A4268A">
        <w:trPr>
          <w:cantSplit/>
        </w:trPr>
        <w:tc>
          <w:tcPr>
            <w:tcW w:w="10206" w:type="dxa"/>
            <w:vAlign w:val="center"/>
          </w:tcPr>
          <w:p w14:paraId="162D6D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D3F36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2CE96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ACE6031"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the audit.</w:t>
      </w:r>
    </w:p>
    <w:p w14:paraId="2A4CE954" w14:textId="77777777" w:rsidR="00F41426"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63A017D3" w14:textId="77777777" w:rsidR="00F41426" w:rsidRPr="00A4268A" w:rsidRDefault="00F41426">
      <w:pPr>
        <w:spacing w:before="240" w:line="276" w:lineRule="auto"/>
        <w:rPr>
          <w:rFonts w:eastAsia="Calibri"/>
        </w:rPr>
      </w:pPr>
    </w:p>
    <w:p w14:paraId="0FBEF177" w14:textId="77777777" w:rsidR="00000000" w:rsidRDefault="00000000" w:rsidP="000E6E02">
      <w:pPr>
        <w:pStyle w:val="Heading2"/>
        <w:spacing w:before="0"/>
        <w:rPr>
          <w:rFonts w:cs="Arial"/>
        </w:rPr>
      </w:pPr>
      <w:r>
        <w:rPr>
          <w:rFonts w:cs="Arial"/>
        </w:rPr>
        <w:t>Summary of attainment</w:t>
      </w:r>
    </w:p>
    <w:p w14:paraId="2B4226B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1426" w14:paraId="08B8E028" w14:textId="77777777">
        <w:tc>
          <w:tcPr>
            <w:tcW w:w="1384" w:type="dxa"/>
            <w:vAlign w:val="center"/>
          </w:tcPr>
          <w:p w14:paraId="23D4151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391E2C" w14:textId="77777777" w:rsidR="00000000" w:rsidRDefault="00000000">
            <w:pPr>
              <w:keepNext/>
              <w:spacing w:before="60" w:after="60"/>
              <w:jc w:val="center"/>
              <w:rPr>
                <w:rFonts w:cs="Arial"/>
                <w:b/>
                <w:sz w:val="20"/>
                <w:szCs w:val="20"/>
              </w:rPr>
            </w:pPr>
            <w:r>
              <w:rPr>
                <w:rFonts w:cs="Arial"/>
                <w:b/>
                <w:sz w:val="20"/>
                <w:szCs w:val="20"/>
              </w:rPr>
              <w:t>Continuous Improvement</w:t>
            </w:r>
          </w:p>
          <w:p w14:paraId="1C472E2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1C2D33A" w14:textId="77777777" w:rsidR="00000000" w:rsidRDefault="00000000">
            <w:pPr>
              <w:keepNext/>
              <w:spacing w:before="60" w:after="60"/>
              <w:jc w:val="center"/>
              <w:rPr>
                <w:rFonts w:cs="Arial"/>
                <w:b/>
                <w:sz w:val="20"/>
                <w:szCs w:val="20"/>
              </w:rPr>
            </w:pPr>
            <w:r>
              <w:rPr>
                <w:rFonts w:cs="Arial"/>
                <w:b/>
                <w:sz w:val="20"/>
                <w:szCs w:val="20"/>
              </w:rPr>
              <w:t>Fully Attained</w:t>
            </w:r>
          </w:p>
          <w:p w14:paraId="5A2E4D5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D599A0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17805A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47E514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D00062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4F9C4D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D01337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1F268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015F6E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5AD473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392FB21" w14:textId="77777777" w:rsidR="00000000" w:rsidRDefault="00000000">
            <w:pPr>
              <w:keepNext/>
              <w:spacing w:before="60" w:after="60"/>
              <w:jc w:val="center"/>
              <w:rPr>
                <w:rFonts w:cs="Arial"/>
                <w:b/>
                <w:sz w:val="20"/>
                <w:szCs w:val="20"/>
              </w:rPr>
            </w:pPr>
            <w:r>
              <w:rPr>
                <w:rFonts w:cs="Arial"/>
                <w:b/>
                <w:sz w:val="20"/>
                <w:szCs w:val="20"/>
              </w:rPr>
              <w:t>(PA Critical)</w:t>
            </w:r>
          </w:p>
        </w:tc>
      </w:tr>
      <w:tr w:rsidR="00F41426" w14:paraId="01D254F3" w14:textId="77777777">
        <w:tc>
          <w:tcPr>
            <w:tcW w:w="1384" w:type="dxa"/>
            <w:vAlign w:val="center"/>
          </w:tcPr>
          <w:p w14:paraId="377C16B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80C04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C5C398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1918E26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AB2D09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8F88FF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2B7B42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87D3B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1426" w14:paraId="25E115CF" w14:textId="77777777">
        <w:tc>
          <w:tcPr>
            <w:tcW w:w="1384" w:type="dxa"/>
            <w:vAlign w:val="center"/>
          </w:tcPr>
          <w:p w14:paraId="7D11A1C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8773AC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117217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6F6C848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1256A9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376FAC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67E4DB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6779D7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0E5A6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1426" w14:paraId="20BB5D01" w14:textId="77777777">
        <w:tc>
          <w:tcPr>
            <w:tcW w:w="1384" w:type="dxa"/>
            <w:vAlign w:val="center"/>
          </w:tcPr>
          <w:p w14:paraId="0CAFD23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20D19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616460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8889A0" w14:textId="77777777" w:rsidR="00000000" w:rsidRDefault="00000000">
            <w:pPr>
              <w:keepNext/>
              <w:spacing w:before="60" w:after="60"/>
              <w:jc w:val="center"/>
              <w:rPr>
                <w:rFonts w:cs="Arial"/>
                <w:b/>
                <w:sz w:val="20"/>
                <w:szCs w:val="20"/>
              </w:rPr>
            </w:pPr>
            <w:r>
              <w:rPr>
                <w:rFonts w:cs="Arial"/>
                <w:b/>
                <w:sz w:val="20"/>
                <w:szCs w:val="20"/>
              </w:rPr>
              <w:t>Unattained Low Risk</w:t>
            </w:r>
          </w:p>
          <w:p w14:paraId="6414A33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C6DBB0" w14:textId="77777777" w:rsidR="00000000" w:rsidRDefault="00000000">
            <w:pPr>
              <w:keepNext/>
              <w:spacing w:before="60" w:after="60"/>
              <w:jc w:val="center"/>
              <w:rPr>
                <w:rFonts w:cs="Arial"/>
                <w:b/>
                <w:sz w:val="20"/>
                <w:szCs w:val="20"/>
              </w:rPr>
            </w:pPr>
            <w:r>
              <w:rPr>
                <w:rFonts w:cs="Arial"/>
                <w:b/>
                <w:sz w:val="20"/>
                <w:szCs w:val="20"/>
              </w:rPr>
              <w:t>Unattained Moderate Risk</w:t>
            </w:r>
          </w:p>
          <w:p w14:paraId="15E6ACD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D811C34" w14:textId="77777777" w:rsidR="00000000" w:rsidRDefault="00000000">
            <w:pPr>
              <w:keepNext/>
              <w:spacing w:before="60" w:after="60"/>
              <w:jc w:val="center"/>
              <w:rPr>
                <w:rFonts w:cs="Arial"/>
                <w:b/>
                <w:sz w:val="20"/>
                <w:szCs w:val="20"/>
              </w:rPr>
            </w:pPr>
            <w:r>
              <w:rPr>
                <w:rFonts w:cs="Arial"/>
                <w:b/>
                <w:sz w:val="20"/>
                <w:szCs w:val="20"/>
              </w:rPr>
              <w:t>Unattained High Risk</w:t>
            </w:r>
          </w:p>
          <w:p w14:paraId="6D23D2E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25EC3DC" w14:textId="77777777" w:rsidR="00000000" w:rsidRDefault="00000000">
            <w:pPr>
              <w:keepNext/>
              <w:spacing w:before="60" w:after="60"/>
              <w:jc w:val="center"/>
              <w:rPr>
                <w:rFonts w:cs="Arial"/>
                <w:b/>
                <w:sz w:val="20"/>
                <w:szCs w:val="20"/>
              </w:rPr>
            </w:pPr>
            <w:r>
              <w:rPr>
                <w:rFonts w:cs="Arial"/>
                <w:b/>
                <w:sz w:val="20"/>
                <w:szCs w:val="20"/>
              </w:rPr>
              <w:t>Unattained Critical Risk</w:t>
            </w:r>
          </w:p>
          <w:p w14:paraId="588C7D9A" w14:textId="77777777" w:rsidR="00000000" w:rsidRDefault="00000000">
            <w:pPr>
              <w:keepNext/>
              <w:spacing w:before="60" w:after="60"/>
              <w:jc w:val="center"/>
              <w:rPr>
                <w:rFonts w:cs="Arial"/>
                <w:b/>
                <w:sz w:val="20"/>
                <w:szCs w:val="20"/>
              </w:rPr>
            </w:pPr>
            <w:r>
              <w:rPr>
                <w:rFonts w:cs="Arial"/>
                <w:b/>
                <w:sz w:val="20"/>
                <w:szCs w:val="20"/>
              </w:rPr>
              <w:t>(UA Critical)</w:t>
            </w:r>
          </w:p>
        </w:tc>
      </w:tr>
      <w:tr w:rsidR="00F41426" w14:paraId="44AE4362" w14:textId="77777777">
        <w:tc>
          <w:tcPr>
            <w:tcW w:w="1384" w:type="dxa"/>
            <w:vAlign w:val="center"/>
          </w:tcPr>
          <w:p w14:paraId="4EEBC3F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C96A9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B0BF65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F6DB6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D4C9A5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C91EC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1426" w14:paraId="424168C0" w14:textId="77777777">
        <w:tc>
          <w:tcPr>
            <w:tcW w:w="1384" w:type="dxa"/>
            <w:vAlign w:val="center"/>
          </w:tcPr>
          <w:p w14:paraId="6C5BDBF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B11A87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79614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96D96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1E5B9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3ACABA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5C742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FE1C7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3BADB1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72DB9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F41426" w14:paraId="2C45C0E0" w14:textId="77777777">
        <w:tc>
          <w:tcPr>
            <w:tcW w:w="0" w:type="auto"/>
          </w:tcPr>
          <w:p w14:paraId="5B5FF7F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BB8A8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14EF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41426" w14:paraId="36F12726" w14:textId="77777777">
        <w:tc>
          <w:tcPr>
            <w:tcW w:w="0" w:type="auto"/>
          </w:tcPr>
          <w:p w14:paraId="0B0520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EB9C14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3885CE" w14:textId="77777777" w:rsidR="00000000" w:rsidRPr="00BE00C7" w:rsidRDefault="00000000" w:rsidP="00BE00C7">
            <w:pPr>
              <w:pStyle w:val="OutcomeDescription"/>
              <w:spacing w:before="120" w:after="120"/>
              <w:rPr>
                <w:rFonts w:cs="Arial"/>
                <w:lang w:eastAsia="en-NZ"/>
              </w:rPr>
            </w:pPr>
          </w:p>
        </w:tc>
        <w:tc>
          <w:tcPr>
            <w:tcW w:w="0" w:type="auto"/>
          </w:tcPr>
          <w:p w14:paraId="6E71EE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692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Rosaria Rest Home has developed policies, procedures and processes to embed and enact Te Tiriti o Waitangi in all aspects of its work.  Mana motuhake is respected.  Partnerships have been established with local Māori organisations to support service integration, planning, equity approaches and support for Māori. A Māori health plan has been developed with input from external consultants and is used for residents who identify as Māori.  </w:t>
            </w:r>
          </w:p>
          <w:p w14:paraId="79BDB878" w14:textId="77777777" w:rsidR="00000000" w:rsidRPr="00BE00C7" w:rsidRDefault="00000000" w:rsidP="00BE00C7">
            <w:pPr>
              <w:pStyle w:val="OutcomeDescription"/>
              <w:spacing w:before="120" w:after="120"/>
              <w:rPr>
                <w:rFonts w:cs="Arial"/>
                <w:lang w:eastAsia="en-NZ"/>
              </w:rPr>
            </w:pPr>
            <w:r w:rsidRPr="00BE00C7">
              <w:rPr>
                <w:rFonts w:cs="Arial"/>
                <w:lang w:eastAsia="en-NZ"/>
              </w:rPr>
              <w:t>Rosaria Rest Home serves an Asian population, although the management stated that Māori would be welcome to reside there if they chose to do so. The service has access to cultural advisors who can provide cultural, health, social, educational, and support services to promote overall wellbeing. The management team and staff have completed training on Te Tiriti o Waitangi and health equity. Staff described the ways they apply the principles of Te Tiriti into practice in relation to their roles.</w:t>
            </w:r>
          </w:p>
          <w:p w14:paraId="79A7D707" w14:textId="65E2E856"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the audit, there were no staff employed or residents who identified as Māori.  Staff ethnicity data is documented on recruitment and trended.</w:t>
            </w:r>
          </w:p>
        </w:tc>
      </w:tr>
      <w:tr w:rsidR="00F41426" w14:paraId="7ED1E9D6" w14:textId="77777777">
        <w:tc>
          <w:tcPr>
            <w:tcW w:w="0" w:type="auto"/>
          </w:tcPr>
          <w:p w14:paraId="5C779D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D555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A412299" w14:textId="77777777" w:rsidR="00000000" w:rsidRPr="00BE00C7" w:rsidRDefault="00000000" w:rsidP="00BE00C7">
            <w:pPr>
              <w:pStyle w:val="OutcomeDescription"/>
              <w:spacing w:before="120" w:after="120"/>
              <w:rPr>
                <w:rFonts w:cs="Arial"/>
                <w:lang w:eastAsia="en-NZ"/>
              </w:rPr>
            </w:pPr>
          </w:p>
        </w:tc>
        <w:tc>
          <w:tcPr>
            <w:tcW w:w="0" w:type="auto"/>
          </w:tcPr>
          <w:p w14:paraId="0FD92F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11A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 There were staff members who identified as Pacific.</w:t>
            </w:r>
          </w:p>
          <w:p w14:paraId="31ECC5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never been any residents who identify as Pacific in the service, and although no residents currently identify as Pacific, the processes and resources in place provide sufficient guidance for staff to ensure a resident’s cultural and spiritual needs and beliefs are considered.</w:t>
            </w:r>
          </w:p>
          <w:p w14:paraId="63600A0B"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is supported by the service provider. Engagements with local Pacific people's organisations in the community is ongoing.</w:t>
            </w:r>
          </w:p>
          <w:p w14:paraId="766E4174" w14:textId="77777777" w:rsidR="00000000" w:rsidRPr="00BE00C7" w:rsidRDefault="00000000" w:rsidP="00BE00C7">
            <w:pPr>
              <w:pStyle w:val="OutcomeDescription"/>
              <w:spacing w:before="120" w:after="120"/>
              <w:rPr>
                <w:rFonts w:cs="Arial"/>
                <w:lang w:eastAsia="en-NZ"/>
              </w:rPr>
            </w:pPr>
          </w:p>
        </w:tc>
      </w:tr>
      <w:tr w:rsidR="00F41426" w14:paraId="74B1BEBC" w14:textId="77777777">
        <w:tc>
          <w:tcPr>
            <w:tcW w:w="0" w:type="auto"/>
          </w:tcPr>
          <w:p w14:paraId="5604A9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BF14A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2C0EDFF" w14:textId="77777777" w:rsidR="00000000" w:rsidRPr="00BE00C7" w:rsidRDefault="00000000" w:rsidP="00BE00C7">
            <w:pPr>
              <w:pStyle w:val="OutcomeDescription"/>
              <w:spacing w:before="120" w:after="120"/>
              <w:rPr>
                <w:rFonts w:cs="Arial"/>
                <w:lang w:eastAsia="en-NZ"/>
              </w:rPr>
            </w:pPr>
          </w:p>
        </w:tc>
        <w:tc>
          <w:tcPr>
            <w:tcW w:w="0" w:type="auto"/>
          </w:tcPr>
          <w:p w14:paraId="7E7724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C1478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An interpreter was available to support residents during interviews. Posters of the Code in te reo Māori, English, Mandarin and Cantonese languages were posted on notice boards in the facility.</w:t>
            </w:r>
          </w:p>
          <w:p w14:paraId="00E1E2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74C9AD9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Māori mana motuhake principles. There were no residents who identified as Māori at the time of the audit.</w:t>
            </w:r>
          </w:p>
          <w:p w14:paraId="7815BAF2" w14:textId="77777777" w:rsidR="00000000" w:rsidRPr="00BE00C7" w:rsidRDefault="00000000" w:rsidP="00BE00C7">
            <w:pPr>
              <w:pStyle w:val="OutcomeDescription"/>
              <w:spacing w:before="120" w:after="120"/>
              <w:rPr>
                <w:rFonts w:cs="Arial"/>
                <w:lang w:eastAsia="en-NZ"/>
              </w:rPr>
            </w:pPr>
          </w:p>
        </w:tc>
      </w:tr>
      <w:tr w:rsidR="00F41426" w14:paraId="180877DF" w14:textId="77777777">
        <w:tc>
          <w:tcPr>
            <w:tcW w:w="0" w:type="auto"/>
          </w:tcPr>
          <w:p w14:paraId="61EF36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11DA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8EF64AF" w14:textId="77777777" w:rsidR="00000000" w:rsidRPr="00BE00C7" w:rsidRDefault="00000000" w:rsidP="00BE00C7">
            <w:pPr>
              <w:pStyle w:val="OutcomeDescription"/>
              <w:spacing w:before="120" w:after="120"/>
              <w:rPr>
                <w:rFonts w:cs="Arial"/>
                <w:lang w:eastAsia="en-NZ"/>
              </w:rPr>
            </w:pPr>
          </w:p>
        </w:tc>
        <w:tc>
          <w:tcPr>
            <w:tcW w:w="0" w:type="auto"/>
          </w:tcPr>
          <w:p w14:paraId="72F66E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ECD3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family, including people with disabilities, confirmed that they received </w:t>
            </w:r>
            <w:r w:rsidRPr="00BE00C7">
              <w:rPr>
                <w:rFonts w:cs="Arial"/>
                <w:lang w:eastAsia="en-NZ"/>
              </w:rPr>
              <w:lastRenderedPageBreak/>
              <w:t xml:space="preserve">services in a manner that had regard for their dignity, gender, privacy, sexual orientation, spirituality and choices. </w:t>
            </w:r>
          </w:p>
          <w:p w14:paraId="027C3B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except for couples who share a room with their partner’s consent. </w:t>
            </w:r>
          </w:p>
          <w:p w14:paraId="72FA42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and te reo Māori information posted around the facility. A copy of the Treaty of Waitangi document was posted in the dining room. Staff have undertaken training in Te Tiriti o Waitangi and understood the principles and how to apply these in their daily work. </w:t>
            </w:r>
          </w:p>
          <w:p w14:paraId="05E8F9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The registered nurse (RN) stated that tāngata whaikaha participation in te ao Māori would be supported, when required.</w:t>
            </w:r>
          </w:p>
          <w:p w14:paraId="55B190AF" w14:textId="77777777" w:rsidR="00000000" w:rsidRPr="00BE00C7" w:rsidRDefault="00000000" w:rsidP="00BE00C7">
            <w:pPr>
              <w:pStyle w:val="OutcomeDescription"/>
              <w:spacing w:before="120" w:after="120"/>
              <w:rPr>
                <w:rFonts w:cs="Arial"/>
                <w:lang w:eastAsia="en-NZ"/>
              </w:rPr>
            </w:pPr>
          </w:p>
        </w:tc>
      </w:tr>
      <w:tr w:rsidR="00F41426" w14:paraId="6E3DB100" w14:textId="77777777">
        <w:tc>
          <w:tcPr>
            <w:tcW w:w="0" w:type="auto"/>
          </w:tcPr>
          <w:p w14:paraId="17EB67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CFCC9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C18407" w14:textId="77777777" w:rsidR="00000000" w:rsidRPr="00BE00C7" w:rsidRDefault="00000000" w:rsidP="00BE00C7">
            <w:pPr>
              <w:pStyle w:val="OutcomeDescription"/>
              <w:spacing w:before="120" w:after="120"/>
              <w:rPr>
                <w:rFonts w:cs="Arial"/>
                <w:lang w:eastAsia="en-NZ"/>
              </w:rPr>
            </w:pPr>
          </w:p>
        </w:tc>
        <w:tc>
          <w:tcPr>
            <w:tcW w:w="0" w:type="auto"/>
          </w:tcPr>
          <w:p w14:paraId="42F2C9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3B2F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349DC7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are not encouraged to bring or keep large amounts of cash. Residents and their whānau manage their finances.</w:t>
            </w:r>
          </w:p>
          <w:p w14:paraId="24057343"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a Māori health care plan when required.</w:t>
            </w:r>
          </w:p>
          <w:p w14:paraId="002388A4" w14:textId="77777777" w:rsidR="00000000" w:rsidRPr="00BE00C7" w:rsidRDefault="00000000" w:rsidP="00BE00C7">
            <w:pPr>
              <w:pStyle w:val="OutcomeDescription"/>
              <w:spacing w:before="120" w:after="120"/>
              <w:rPr>
                <w:rFonts w:cs="Arial"/>
                <w:lang w:eastAsia="en-NZ"/>
              </w:rPr>
            </w:pPr>
          </w:p>
        </w:tc>
      </w:tr>
      <w:tr w:rsidR="00F41426" w14:paraId="733DDA63" w14:textId="77777777">
        <w:tc>
          <w:tcPr>
            <w:tcW w:w="0" w:type="auto"/>
          </w:tcPr>
          <w:p w14:paraId="4FBC3A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31924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696A350" w14:textId="77777777" w:rsidR="00000000" w:rsidRPr="00BE00C7" w:rsidRDefault="00000000" w:rsidP="00BE00C7">
            <w:pPr>
              <w:pStyle w:val="OutcomeDescription"/>
              <w:spacing w:before="120" w:after="120"/>
              <w:rPr>
                <w:rFonts w:cs="Arial"/>
                <w:lang w:eastAsia="en-NZ"/>
              </w:rPr>
            </w:pPr>
          </w:p>
        </w:tc>
        <w:tc>
          <w:tcPr>
            <w:tcW w:w="0" w:type="auto"/>
          </w:tcPr>
          <w:p w14:paraId="0C042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285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t>
            </w:r>
            <w:r w:rsidRPr="00BE00C7">
              <w:rPr>
                <w:rFonts w:cs="Arial"/>
                <w:lang w:eastAsia="en-NZ"/>
              </w:rPr>
              <w:lastRenderedPageBreak/>
              <w:t xml:space="preserve">were communicated to relatives/whānau in a timely manner.  Where other agencies were involved in care, communication had occurred. </w:t>
            </w:r>
          </w:p>
          <w:p w14:paraId="248A0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5DBF96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9EB4EE1" w14:textId="77777777" w:rsidR="00000000" w:rsidRPr="00BE00C7" w:rsidRDefault="00000000" w:rsidP="00BE00C7">
            <w:pPr>
              <w:pStyle w:val="OutcomeDescription"/>
              <w:spacing w:before="120" w:after="120"/>
              <w:rPr>
                <w:rFonts w:cs="Arial"/>
                <w:lang w:eastAsia="en-NZ"/>
              </w:rPr>
            </w:pPr>
          </w:p>
        </w:tc>
      </w:tr>
      <w:tr w:rsidR="00F41426" w14:paraId="40D7E57C" w14:textId="77777777">
        <w:tc>
          <w:tcPr>
            <w:tcW w:w="0" w:type="auto"/>
          </w:tcPr>
          <w:p w14:paraId="26F001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06AD7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D8FD8B" w14:textId="77777777" w:rsidR="00000000" w:rsidRPr="00BE00C7" w:rsidRDefault="00000000" w:rsidP="00BE00C7">
            <w:pPr>
              <w:pStyle w:val="OutcomeDescription"/>
              <w:spacing w:before="120" w:after="120"/>
              <w:rPr>
                <w:rFonts w:cs="Arial"/>
                <w:lang w:eastAsia="en-NZ"/>
              </w:rPr>
            </w:pPr>
          </w:p>
        </w:tc>
        <w:tc>
          <w:tcPr>
            <w:tcW w:w="0" w:type="auto"/>
          </w:tcPr>
          <w:p w14:paraId="0883AD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9EA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67EB591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principles and practice of informed consent, supported by policies in accordance with the Code and in line with tikanga guidelines. Signed informed consent forms and resuscitation treatment authorisation forms were available in residents’ files.</w:t>
            </w:r>
          </w:p>
          <w:p w14:paraId="4AC6E5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4B6A1C99" w14:textId="77777777" w:rsidR="00000000" w:rsidRPr="00BE00C7" w:rsidRDefault="00000000" w:rsidP="00BE00C7">
            <w:pPr>
              <w:pStyle w:val="OutcomeDescription"/>
              <w:spacing w:before="120" w:after="120"/>
              <w:rPr>
                <w:rFonts w:cs="Arial"/>
                <w:lang w:eastAsia="en-NZ"/>
              </w:rPr>
            </w:pPr>
          </w:p>
        </w:tc>
      </w:tr>
      <w:tr w:rsidR="00F41426" w14:paraId="3216FAFE" w14:textId="77777777">
        <w:tc>
          <w:tcPr>
            <w:tcW w:w="0" w:type="auto"/>
          </w:tcPr>
          <w:p w14:paraId="358B9F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8847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2316FF" w14:textId="77777777" w:rsidR="00000000" w:rsidRPr="00BE00C7" w:rsidRDefault="00000000" w:rsidP="00BE00C7">
            <w:pPr>
              <w:pStyle w:val="OutcomeDescription"/>
              <w:spacing w:before="120" w:after="120"/>
              <w:rPr>
                <w:rFonts w:cs="Arial"/>
                <w:lang w:eastAsia="en-NZ"/>
              </w:rPr>
            </w:pPr>
          </w:p>
        </w:tc>
        <w:tc>
          <w:tcPr>
            <w:tcW w:w="0" w:type="auto"/>
          </w:tcPr>
          <w:p w14:paraId="663603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270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leading to improvements. This met the requirements of the Code. Residents and whānau understood their right to complain and knew how to do so. There was one complaint in 2024, and six in 2025 (year to date). The owner/director reported that the complaint process timeframes were adhered to, and service improvement measures were implemented as required. </w:t>
            </w:r>
          </w:p>
          <w:p w14:paraId="10B9F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including follow-up letters and resolutions, was completed and managed in accordance with guidelines set by the Health and Disability Commissioner (HDC). Discussions with residents and whānau confirmed they were provided with </w:t>
            </w:r>
            <w:r w:rsidRPr="00BE00C7">
              <w:rPr>
                <w:rFonts w:cs="Arial"/>
                <w:lang w:eastAsia="en-NZ"/>
              </w:rPr>
              <w:lastRenderedPageBreak/>
              <w:t xml:space="preserve">information on the complaints process and that any concerns or issues were promptly addressed.   </w:t>
            </w:r>
          </w:p>
          <w:p w14:paraId="4861D5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making a complaint can, if they choose, involve an independent support person. The complaints process was linked to advocacy services. The Code of Health and Disability Services Consumers’ Rights was visible and available in te reo Māori and English. Whānau spoken with expressed satisfaction with the complaint process. In the event of a complaint from a Māori resident or whānau member, the service would seek the assistance of an interpreter or cultural advisor, if needed.   </w:t>
            </w:r>
          </w:p>
          <w:p w14:paraId="6C4B04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external complaint was received in 2024. The service complied by responding and supplying all the necessary information requested.  Evidence indicated that this complaint was thoroughly investigated and that corrective action measures were implemented.  Key learnings from the complaint were implemented.  </w:t>
            </w:r>
          </w:p>
          <w:p w14:paraId="1509BFFD" w14:textId="77777777" w:rsidR="00000000" w:rsidRPr="00BE00C7" w:rsidRDefault="00000000" w:rsidP="00BE00C7">
            <w:pPr>
              <w:pStyle w:val="OutcomeDescription"/>
              <w:spacing w:before="120" w:after="120"/>
              <w:rPr>
                <w:rFonts w:cs="Arial"/>
                <w:lang w:eastAsia="en-NZ"/>
              </w:rPr>
            </w:pPr>
          </w:p>
        </w:tc>
      </w:tr>
      <w:tr w:rsidR="00F41426" w14:paraId="0CCC9C0E" w14:textId="77777777">
        <w:tc>
          <w:tcPr>
            <w:tcW w:w="0" w:type="auto"/>
          </w:tcPr>
          <w:p w14:paraId="36A7B0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A3C2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11006EF" w14:textId="77777777" w:rsidR="00000000" w:rsidRPr="00BE00C7" w:rsidRDefault="00000000" w:rsidP="00BE00C7">
            <w:pPr>
              <w:pStyle w:val="OutcomeDescription"/>
              <w:spacing w:before="120" w:after="120"/>
              <w:rPr>
                <w:rFonts w:cs="Arial"/>
                <w:lang w:eastAsia="en-NZ"/>
              </w:rPr>
            </w:pPr>
          </w:p>
        </w:tc>
        <w:tc>
          <w:tcPr>
            <w:tcW w:w="0" w:type="auto"/>
          </w:tcPr>
          <w:p w14:paraId="6EE6E1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73365" w14:textId="77777777" w:rsidR="00000000" w:rsidRPr="00BE00C7" w:rsidRDefault="00000000" w:rsidP="00BE00C7">
            <w:pPr>
              <w:pStyle w:val="OutcomeDescription"/>
              <w:spacing w:before="120" w:after="120"/>
              <w:rPr>
                <w:rFonts w:cs="Arial"/>
                <w:lang w:eastAsia="en-NZ"/>
              </w:rPr>
            </w:pPr>
            <w:r w:rsidRPr="00BE00C7">
              <w:rPr>
                <w:rFonts w:cs="Arial"/>
                <w:lang w:eastAsia="en-NZ"/>
              </w:rPr>
              <w:t>Rosaria Rest Home provides age-related residential care at the rest home level of care. Rosaria Rest Home has two owners, who are also the directors. One assists with the activities programme twice a week. The other owner/director is the current facility manager, supported by the assistant manager, registered nurse, and care staff. The previous facility manager resigned in April 2024 and one of the owner/directors assumed the role of facility manager (refer to 2.2.6). The owners/directors have owned the care home since 2006.</w:t>
            </w:r>
          </w:p>
          <w:p w14:paraId="39FB76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by supporting the meaningful inclusion of Māori and Pacific people in the governance group. This approach honours Te Tiriti and focuses on improving outcomes for Māori, Pacific people, and tāngata whaikaha. The owner/director and registered nurse reported that the service facilitates meaningful Māori inclusion at both the service and governance levels, ensuring adherence to Te Tiriti o Waitangi. Cultural safety training has been undertaken by all staff, including the owner/directors.</w:t>
            </w:r>
          </w:p>
          <w:p w14:paraId="7F0EDF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purpose, values, direction, scope and goals are defined, and performance monitoring and review occur through regular meetings at planned intervals. A focus on improving outcomes was evident in monitoring through staff meeting minutes and the internal audit programme. A commitment to the quality and risk management system was evident.    </w:t>
            </w:r>
          </w:p>
          <w:p w14:paraId="78ACB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Equity for Māori, Pacific peoples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service continues to work towards recruiting Māori and additional Pacific staff. The management team members interviewed felt well informed about progress and risks. A review or evaluation of resident outcomes to assess equity for Māori residents was achieved and completed. Ethnicity data was analysed monthly to identify potential inequality outcomes between Māori residents and their whānau. Service plans are developed to address all residents' needs. </w:t>
            </w:r>
          </w:p>
          <w:p w14:paraId="15DC6B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for clinical governance, is appropriate to the size and complexity of the organisation, and there is an experienced and suitably qualified person managing the service. </w:t>
            </w:r>
          </w:p>
          <w:p w14:paraId="440BF2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receiving services, and their whānau, participated in the planning and evaluation of services through regular reviews of care needs, satisfaction surveys, feedback, and incident/complaint investigations. Whānau interviews evidenced satisfaction with the services.</w:t>
            </w:r>
          </w:p>
          <w:p w14:paraId="11DE00AD" w14:textId="5415B1A5" w:rsidR="00000000" w:rsidRPr="00BE00C7" w:rsidRDefault="00000000" w:rsidP="00BE00C7">
            <w:pPr>
              <w:pStyle w:val="OutcomeDescription"/>
              <w:spacing w:before="120" w:after="120"/>
              <w:rPr>
                <w:rFonts w:cs="Arial"/>
                <w:lang w:eastAsia="en-NZ"/>
              </w:rPr>
            </w:pPr>
            <w:r w:rsidRPr="00BE00C7">
              <w:rPr>
                <w:rFonts w:cs="Arial"/>
                <w:lang w:eastAsia="en-NZ"/>
              </w:rPr>
              <w:t>The service holds Age-Related Residential Care (ARRC) contracts with Health New Zealand – Te Whatu Ora Te Toka Tumai Auckland for rest home level of care and long-term support – chronic health conditions (LTS-CHC) and young people with disabilities (YPD). On the days of the audit, there were 24 residents receiving care. This included 23 residents receiving long-term care including one resident under the young people with disabilities (YPD), and one resident receiving privately funded care.</w:t>
            </w:r>
          </w:p>
        </w:tc>
      </w:tr>
      <w:tr w:rsidR="00F41426" w14:paraId="00975E7E" w14:textId="77777777">
        <w:tc>
          <w:tcPr>
            <w:tcW w:w="0" w:type="auto"/>
          </w:tcPr>
          <w:p w14:paraId="208B89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41B2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D859AA" w14:textId="77777777" w:rsidR="00000000" w:rsidRPr="00BE00C7" w:rsidRDefault="00000000" w:rsidP="00BE00C7">
            <w:pPr>
              <w:pStyle w:val="OutcomeDescription"/>
              <w:spacing w:before="120" w:after="120"/>
              <w:rPr>
                <w:rFonts w:cs="Arial"/>
                <w:lang w:eastAsia="en-NZ"/>
              </w:rPr>
            </w:pPr>
          </w:p>
        </w:tc>
        <w:tc>
          <w:tcPr>
            <w:tcW w:w="0" w:type="auto"/>
          </w:tcPr>
          <w:p w14:paraId="69F4A3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92E702D" w14:textId="77777777" w:rsidR="00000000" w:rsidRPr="00BE00C7" w:rsidRDefault="00000000" w:rsidP="00BE00C7">
            <w:pPr>
              <w:pStyle w:val="OutcomeDescription"/>
              <w:spacing w:before="120" w:after="120"/>
              <w:rPr>
                <w:rFonts w:cs="Arial"/>
                <w:lang w:eastAsia="en-NZ"/>
              </w:rPr>
            </w:pPr>
            <w:r w:rsidRPr="00BE00C7">
              <w:rPr>
                <w:rFonts w:cs="Arial"/>
                <w:lang w:eastAsia="en-NZ"/>
              </w:rPr>
              <w:t>Rosaria Rest Home has a planned quality and risk system that reflects the principles of continuous quality improvement. This included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identified from internal audit activities. Trends were analysed to support ongoing evaluation and progress across the service’s quality outcomes. Benchmarking of data was conducted by comparing data with previous months' results.</w:t>
            </w:r>
          </w:p>
          <w:p w14:paraId="35925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contributed to quality improvement through satisfaction surveys and residents’ meetings, and staff contributed through reviewing data as part of regular staff meetings, and audit activities. Staff meeting agendas and minutes reviewed showed good attendance, and comprehensive agendas covered quality and safety measures/activities. The outcomes from the resident/whānau satisfaction survey conducted in August 2025 were favourable. Minimal corrective actions were identified, and these had been implemented. The external consultant has updated all policies and procedures reviewed to meet the requirements of the Ngā Paerewa Standard.    </w:t>
            </w:r>
          </w:p>
          <w:p w14:paraId="4A357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was supported through relevant training, tikanga policies, and access to cultural support roles internally and externally.    </w:t>
            </w:r>
          </w:p>
          <w:p w14:paraId="7F2D76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described the processes for the identification, documentation, monitoring, review and reporting of risks, including health and safety risks, and the development of mitigation strategies. These were reported during meetings.   </w:t>
            </w:r>
          </w:p>
          <w:p w14:paraId="0E1A5E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reported that there had been one notification of COVID-19 to the Public Health Unit since the previous audit.  </w:t>
            </w:r>
          </w:p>
          <w:p w14:paraId="249904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Improvements are required in relation to Severity Assessment Code (SAC 2) reporting, and notification of the change of facility manager.</w:t>
            </w:r>
          </w:p>
          <w:p w14:paraId="1D527D23" w14:textId="77777777" w:rsidR="00000000" w:rsidRPr="00BE00C7" w:rsidRDefault="00000000" w:rsidP="00BE00C7">
            <w:pPr>
              <w:pStyle w:val="OutcomeDescription"/>
              <w:spacing w:before="120" w:after="120"/>
              <w:rPr>
                <w:rFonts w:cs="Arial"/>
                <w:lang w:eastAsia="en-NZ"/>
              </w:rPr>
            </w:pPr>
          </w:p>
        </w:tc>
      </w:tr>
      <w:tr w:rsidR="00F41426" w14:paraId="7D9A3500" w14:textId="77777777">
        <w:tc>
          <w:tcPr>
            <w:tcW w:w="0" w:type="auto"/>
          </w:tcPr>
          <w:p w14:paraId="4A10B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DA78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EE11FF2" w14:textId="77777777" w:rsidR="00000000" w:rsidRPr="00BE00C7" w:rsidRDefault="00000000" w:rsidP="00BE00C7">
            <w:pPr>
              <w:pStyle w:val="OutcomeDescription"/>
              <w:spacing w:before="120" w:after="120"/>
              <w:rPr>
                <w:rFonts w:cs="Arial"/>
                <w:lang w:eastAsia="en-NZ"/>
              </w:rPr>
            </w:pPr>
          </w:p>
        </w:tc>
        <w:tc>
          <w:tcPr>
            <w:tcW w:w="0" w:type="auto"/>
          </w:tcPr>
          <w:p w14:paraId="3D9349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6D06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care, 24 hours a day, seven days a week (24/7). The facility adjusts staffing levels to meet the changing needs of residents. A team approach ensured all aspects of service delivery were met.   Those providing care reported there were adequate staff to complete the work allocated to them.  Residents and whānau interviewed supported this.  </w:t>
            </w:r>
          </w:p>
          <w:p w14:paraId="2F9B1F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registered nurse who works five days a week from 9.00 am to 5.00 pm. The owner/director, who is the current facility manager, works from Monday to Friday and is available on call as required. The assistant manager works three to four hours a day from Monday to Sunday.</w:t>
            </w:r>
          </w:p>
          <w:p w14:paraId="6D1D87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included a job description defining the skills, qualifications and attributes of each role, ensured services were delivered to meet the needs of residents.</w:t>
            </w:r>
          </w:p>
          <w:p w14:paraId="20EBC9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annually, covering a wide range of topics including, but not limited to, infection prevention and control, medication management, care planning and assessment and cultural safety, wound care management, palliative care, emergency evacuation, falls prevention, skin management, fire safety, and challenging behaviour.  Related competencies were assessed.     </w:t>
            </w:r>
          </w:p>
          <w:p w14:paraId="109A3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commenced, or are due to commence a New Zealand Qualification Authority education programme, to meet the provider’s funding and service agreement requirements.  Two care staff have completed Level 4, five have completed Level 3, and two are in the process of enrolling for an NZQA qualification. Staff reported that they had completed the required dementia units. Staff records were reviewed to confirm completion of the required training and competency assessments. </w:t>
            </w:r>
          </w:p>
          <w:p w14:paraId="06A87A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High-quality Māori health information was accessed and used to support training and development programmes, policy development, and care delivery.  Cultural advice was sought in a timely manner through local Māori organisations. At least one staff member on duty had a current medication competency.  </w:t>
            </w:r>
          </w:p>
          <w:p w14:paraId="086EFC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 interviewed reported feeling well supported and safe in the workplace. The employment process, which includes a job description defining each role's skills, qualifications and attributes, ensured that services were delivered to meet residents' needs.  </w:t>
            </w:r>
          </w:p>
          <w:p w14:paraId="24D0E97D" w14:textId="77777777" w:rsidR="00000000" w:rsidRPr="00BE00C7" w:rsidRDefault="00000000" w:rsidP="00BE00C7">
            <w:pPr>
              <w:pStyle w:val="OutcomeDescription"/>
              <w:spacing w:before="120" w:after="120"/>
              <w:rPr>
                <w:rFonts w:cs="Arial"/>
                <w:lang w:eastAsia="en-NZ"/>
              </w:rPr>
            </w:pPr>
          </w:p>
        </w:tc>
      </w:tr>
      <w:tr w:rsidR="00F41426" w14:paraId="17FF19C3" w14:textId="77777777">
        <w:tc>
          <w:tcPr>
            <w:tcW w:w="0" w:type="auto"/>
          </w:tcPr>
          <w:p w14:paraId="1FF043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F6C94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39470A8" w14:textId="77777777" w:rsidR="00000000" w:rsidRPr="00BE00C7" w:rsidRDefault="00000000" w:rsidP="00BE00C7">
            <w:pPr>
              <w:pStyle w:val="OutcomeDescription"/>
              <w:spacing w:before="120" w:after="120"/>
              <w:rPr>
                <w:rFonts w:cs="Arial"/>
                <w:lang w:eastAsia="en-NZ"/>
              </w:rPr>
            </w:pPr>
          </w:p>
        </w:tc>
        <w:tc>
          <w:tcPr>
            <w:tcW w:w="0" w:type="auto"/>
          </w:tcPr>
          <w:p w14:paraId="50B2B9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7496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Practising certificates were current for all regulated health professionals, including the general practitioner, pharmacists, podiatrist and dietitian.  </w:t>
            </w:r>
          </w:p>
          <w:p w14:paraId="5ACA2D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19476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640B70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6771E8DB" w14:textId="50EBB431"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to be involved in a debrief and discussions following any serious incidents or challenging situations were provided, as confirmed by staff interviewed and documentation reviewed. Staff had access to the Employee Assistance Programme if required.  </w:t>
            </w:r>
          </w:p>
        </w:tc>
      </w:tr>
      <w:tr w:rsidR="00F41426" w14:paraId="18C85C0B" w14:textId="77777777">
        <w:tc>
          <w:tcPr>
            <w:tcW w:w="0" w:type="auto"/>
          </w:tcPr>
          <w:p w14:paraId="308C1F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AA1B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A021468" w14:textId="77777777" w:rsidR="00000000" w:rsidRPr="00BE00C7" w:rsidRDefault="00000000" w:rsidP="00BE00C7">
            <w:pPr>
              <w:pStyle w:val="OutcomeDescription"/>
              <w:spacing w:before="120" w:after="120"/>
              <w:rPr>
                <w:rFonts w:cs="Arial"/>
                <w:lang w:eastAsia="en-NZ"/>
              </w:rPr>
            </w:pPr>
          </w:p>
        </w:tc>
        <w:tc>
          <w:tcPr>
            <w:tcW w:w="0" w:type="auto"/>
          </w:tcPr>
          <w:p w14:paraId="3CD5CB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C02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 paper-based information management system was in place. Clinical notes were current, integrated and legible, and met current documentation standards. Information is accessible for all those who need it. </w:t>
            </w:r>
          </w:p>
          <w:p w14:paraId="0EFCDC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are held securely for the required period before being destroyed. No personal or private resident information was on public display during the audit. Policies and procedures guide staff in the management of information. The owner/director reported that staff had their own logins. An external provider held backup database systems. </w:t>
            </w:r>
          </w:p>
          <w:p w14:paraId="1596E1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the National Health Index registration of people receiving services.  </w:t>
            </w:r>
          </w:p>
          <w:p w14:paraId="58539001" w14:textId="77777777" w:rsidR="00000000" w:rsidRPr="00BE00C7" w:rsidRDefault="00000000" w:rsidP="00BE00C7">
            <w:pPr>
              <w:pStyle w:val="OutcomeDescription"/>
              <w:spacing w:before="120" w:after="120"/>
              <w:rPr>
                <w:rFonts w:cs="Arial"/>
                <w:lang w:eastAsia="en-NZ"/>
              </w:rPr>
            </w:pPr>
          </w:p>
        </w:tc>
      </w:tr>
      <w:tr w:rsidR="00F41426" w14:paraId="06709143" w14:textId="77777777">
        <w:tc>
          <w:tcPr>
            <w:tcW w:w="0" w:type="auto"/>
          </w:tcPr>
          <w:p w14:paraId="597FD8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8934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4B4ECA7" w14:textId="77777777" w:rsidR="00000000" w:rsidRPr="00BE00C7" w:rsidRDefault="00000000" w:rsidP="00BE00C7">
            <w:pPr>
              <w:pStyle w:val="OutcomeDescription"/>
              <w:spacing w:before="120" w:after="120"/>
              <w:rPr>
                <w:rFonts w:cs="Arial"/>
                <w:lang w:eastAsia="en-NZ"/>
              </w:rPr>
            </w:pPr>
          </w:p>
        </w:tc>
        <w:tc>
          <w:tcPr>
            <w:tcW w:w="0" w:type="auto"/>
          </w:tcPr>
          <w:p w14:paraId="0BE7A1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29B0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Rosaria Rest Home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6A5FB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six-monthly, including decline rates for Māori. </w:t>
            </w:r>
          </w:p>
          <w:p w14:paraId="74CB87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to support Māori and whānau who enter the service when required.</w:t>
            </w:r>
          </w:p>
          <w:p w14:paraId="3F1AE92F" w14:textId="77777777" w:rsidR="00000000" w:rsidRPr="00BE00C7" w:rsidRDefault="00000000" w:rsidP="00BE00C7">
            <w:pPr>
              <w:pStyle w:val="OutcomeDescription"/>
              <w:spacing w:before="120" w:after="120"/>
              <w:rPr>
                <w:rFonts w:cs="Arial"/>
                <w:lang w:eastAsia="en-NZ"/>
              </w:rPr>
            </w:pPr>
          </w:p>
        </w:tc>
      </w:tr>
      <w:tr w:rsidR="00F41426" w14:paraId="7A421EA0" w14:textId="77777777">
        <w:tc>
          <w:tcPr>
            <w:tcW w:w="0" w:type="auto"/>
          </w:tcPr>
          <w:p w14:paraId="27815B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88D20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33710B" w14:textId="77777777" w:rsidR="00000000" w:rsidRPr="00BE00C7" w:rsidRDefault="00000000" w:rsidP="00BE00C7">
            <w:pPr>
              <w:pStyle w:val="OutcomeDescription"/>
              <w:spacing w:before="120" w:after="120"/>
              <w:rPr>
                <w:rFonts w:cs="Arial"/>
                <w:lang w:eastAsia="en-NZ"/>
              </w:rPr>
            </w:pPr>
          </w:p>
        </w:tc>
        <w:tc>
          <w:tcPr>
            <w:tcW w:w="0" w:type="auto"/>
          </w:tcPr>
          <w:p w14:paraId="55847E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51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w:t>
            </w:r>
            <w:r w:rsidRPr="00BE00C7">
              <w:rPr>
                <w:rFonts w:cs="Arial"/>
                <w:lang w:eastAsia="en-NZ"/>
              </w:rPr>
              <w:lastRenderedPageBreak/>
              <w:t xml:space="preserve">model of care, is developed by the RN following a comprehensive assessment, including consideration of the resident’s lived experience, cultural needs, values and beliefs, and which considers wider service integration, where required.  Early warning signs and risks, with a focus on prevention or escalation for appropriate interventions, are recorded. </w:t>
            </w:r>
          </w:p>
          <w:p w14:paraId="79622F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whānau input (as applicable).  Timeframes for the initial assessment, general practitioner (GP) assessment, initial care plan, long-term care plan and review timeframes meet contractual and policy requirements. This was verified by sampling residents’ records, and from interviews of clinical staff, residents and whānau. A Māori health care plan is available to use to ensure tikanga and kaupapa Māori perspectives permeate the care planning process and support Māori residents and whānau to identify their own pae ora when required. </w:t>
            </w:r>
          </w:p>
          <w:p w14:paraId="46BAE61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specific medical conditions was well documented with evidence of systematic monitoring and regular evaluation of responses to planned care, including the use of a range of outcome measures.  Long-term and short-term care plans were evaluated consistently as required. Where progress was different to that expected, changes were made to the care plan in collaboration with the resident and/or whānau. Residents and whānau confirmed active involvement in the process.</w:t>
            </w:r>
          </w:p>
          <w:p w14:paraId="0B18E8EE"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the assessment and care planning process.  Examples of choices and control over service delivery were discussed with staff, tāngata whaikaha and whānau.  Tāngata whaikaha/whānau can independently access information or are supported to do so.  The GP expressed satisfaction with the overall care provided to residents.</w:t>
            </w:r>
          </w:p>
          <w:p w14:paraId="47649F5A" w14:textId="26D407D9" w:rsidR="00000000" w:rsidRPr="00BE00C7" w:rsidRDefault="00000000" w:rsidP="00262A45">
            <w:pPr>
              <w:pStyle w:val="OutcomeDescription"/>
              <w:spacing w:before="120" w:after="120"/>
              <w:rPr>
                <w:rFonts w:cs="Arial"/>
                <w:lang w:eastAsia="en-NZ"/>
              </w:rPr>
            </w:pPr>
            <w:r w:rsidRPr="00BE00C7">
              <w:rPr>
                <w:rFonts w:cs="Arial"/>
                <w:lang w:eastAsia="en-NZ"/>
              </w:rPr>
              <w:t>A range of equipment and resources was available, suited to the level of care provided and in accordance with the residents’ needs.</w:t>
            </w:r>
          </w:p>
        </w:tc>
      </w:tr>
      <w:tr w:rsidR="00F41426" w14:paraId="6AFC1894" w14:textId="77777777">
        <w:tc>
          <w:tcPr>
            <w:tcW w:w="0" w:type="auto"/>
          </w:tcPr>
          <w:p w14:paraId="559DE5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57FDF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5A0D0CE" w14:textId="77777777" w:rsidR="00000000" w:rsidRPr="00BE00C7" w:rsidRDefault="00000000" w:rsidP="00BE00C7">
            <w:pPr>
              <w:pStyle w:val="OutcomeDescription"/>
              <w:spacing w:before="120" w:after="120"/>
              <w:rPr>
                <w:rFonts w:cs="Arial"/>
                <w:lang w:eastAsia="en-NZ"/>
              </w:rPr>
            </w:pPr>
          </w:p>
        </w:tc>
        <w:tc>
          <w:tcPr>
            <w:tcW w:w="0" w:type="auto"/>
          </w:tcPr>
          <w:p w14:paraId="75774F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2E9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w:t>
            </w:r>
            <w:r w:rsidRPr="00BE00C7">
              <w:rPr>
                <w:rFonts w:cs="Arial"/>
                <w:lang w:eastAsia="en-NZ"/>
              </w:rPr>
              <w:lastRenderedPageBreak/>
              <w:t>life. The caregivers, assistant manager, and the owner facilitate the activities programme.</w:t>
            </w:r>
          </w:p>
          <w:p w14:paraId="7FF88F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Activities on the programme are Chinese-based, and include Chinese television channels, Mahjong, ball games, walks, shopping trips, church services, exercises, and Chinese New Year celebrations. The RN stated that opportunities for Māori and whānau to participate in te ao Māori would be facilitated when required. Community initiatives that meet the needs of Māori include celebration of Matariki, when required. </w:t>
            </w:r>
          </w:p>
          <w:p w14:paraId="7DB4014D"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annual satisfaction surveys.  Residents interviewed confirmed they found the programme met their needs.</w:t>
            </w:r>
          </w:p>
          <w:p w14:paraId="7DA2D616" w14:textId="77777777" w:rsidR="00000000" w:rsidRPr="00BE00C7" w:rsidRDefault="00000000" w:rsidP="00BE00C7">
            <w:pPr>
              <w:pStyle w:val="OutcomeDescription"/>
              <w:spacing w:before="120" w:after="120"/>
              <w:rPr>
                <w:rFonts w:cs="Arial"/>
                <w:lang w:eastAsia="en-NZ"/>
              </w:rPr>
            </w:pPr>
          </w:p>
        </w:tc>
      </w:tr>
      <w:tr w:rsidR="00F41426" w14:paraId="5B435053" w14:textId="77777777">
        <w:tc>
          <w:tcPr>
            <w:tcW w:w="0" w:type="auto"/>
          </w:tcPr>
          <w:p w14:paraId="6447D9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35FC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CBEF44" w14:textId="77777777" w:rsidR="00000000" w:rsidRPr="00BE00C7" w:rsidRDefault="00000000" w:rsidP="00BE00C7">
            <w:pPr>
              <w:pStyle w:val="OutcomeDescription"/>
              <w:spacing w:before="120" w:after="120"/>
              <w:rPr>
                <w:rFonts w:cs="Arial"/>
                <w:lang w:eastAsia="en-NZ"/>
              </w:rPr>
            </w:pPr>
          </w:p>
        </w:tc>
        <w:tc>
          <w:tcPr>
            <w:tcW w:w="0" w:type="auto"/>
          </w:tcPr>
          <w:p w14:paraId="59A700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C972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and current best practice.  A safe system for medicine management using an electronic system was observed on the days of audit.  All staff who administer medicines were competent to perform the function they managed. Current medication administration competencies were available in staff files.</w:t>
            </w:r>
          </w:p>
          <w:p w14:paraId="294CB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00458F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07A67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17C9C4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no residents who were self-administering medicine at the time of the audit. Processes for safe self-administration of medication were in place. The RN stated that this is implemented when required.  Residents and their whānau are supported to understand the resident’s medications.</w:t>
            </w:r>
          </w:p>
          <w:p w14:paraId="3282B415" w14:textId="77777777" w:rsidR="00000000" w:rsidRPr="00BE00C7" w:rsidRDefault="00000000" w:rsidP="00BE00C7">
            <w:pPr>
              <w:pStyle w:val="OutcomeDescription"/>
              <w:spacing w:before="120" w:after="120"/>
              <w:rPr>
                <w:rFonts w:cs="Arial"/>
                <w:lang w:eastAsia="en-NZ"/>
              </w:rPr>
            </w:pPr>
          </w:p>
        </w:tc>
      </w:tr>
      <w:tr w:rsidR="00F41426" w14:paraId="0CF9BD4B" w14:textId="77777777">
        <w:tc>
          <w:tcPr>
            <w:tcW w:w="0" w:type="auto"/>
          </w:tcPr>
          <w:p w14:paraId="406D55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6E8F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5735112" w14:textId="77777777" w:rsidR="00000000" w:rsidRPr="00BE00C7" w:rsidRDefault="00000000" w:rsidP="00BE00C7">
            <w:pPr>
              <w:pStyle w:val="OutcomeDescription"/>
              <w:spacing w:before="120" w:after="120"/>
              <w:rPr>
                <w:rFonts w:cs="Arial"/>
                <w:lang w:eastAsia="en-NZ"/>
              </w:rPr>
            </w:pPr>
          </w:p>
        </w:tc>
        <w:tc>
          <w:tcPr>
            <w:tcW w:w="0" w:type="auto"/>
          </w:tcPr>
          <w:p w14:paraId="43FA0DD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F18C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Food is prepared on site by the cooks. Chinese cuisine is offered that caters for people from both Northern and Southern China. The menu was overdue for review.</w:t>
            </w:r>
          </w:p>
          <w:p w14:paraId="4FABE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that is valid until 16 May 2026. </w:t>
            </w:r>
          </w:p>
          <w:p w14:paraId="10376A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The cook stated that menu options culturally specific to te ao Māori would be provided on request.  </w:t>
            </w:r>
          </w:p>
          <w:p w14:paraId="38EA595E"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11733D0C" w14:textId="77777777" w:rsidR="00000000" w:rsidRPr="00BE00C7" w:rsidRDefault="00000000" w:rsidP="00BE00C7">
            <w:pPr>
              <w:pStyle w:val="OutcomeDescription"/>
              <w:spacing w:before="120" w:after="120"/>
              <w:rPr>
                <w:rFonts w:cs="Arial"/>
                <w:lang w:eastAsia="en-NZ"/>
              </w:rPr>
            </w:pPr>
          </w:p>
        </w:tc>
      </w:tr>
      <w:tr w:rsidR="00F41426" w14:paraId="323C78F8" w14:textId="77777777">
        <w:tc>
          <w:tcPr>
            <w:tcW w:w="0" w:type="auto"/>
          </w:tcPr>
          <w:p w14:paraId="63DFA8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64107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57B83F22" w14:textId="77777777" w:rsidR="00000000" w:rsidRPr="00BE00C7" w:rsidRDefault="00000000" w:rsidP="00BE00C7">
            <w:pPr>
              <w:pStyle w:val="OutcomeDescription"/>
              <w:spacing w:before="120" w:after="120"/>
              <w:rPr>
                <w:rFonts w:cs="Arial"/>
                <w:lang w:eastAsia="en-NZ"/>
              </w:rPr>
            </w:pPr>
          </w:p>
        </w:tc>
        <w:tc>
          <w:tcPr>
            <w:tcW w:w="0" w:type="auto"/>
          </w:tcPr>
          <w:p w14:paraId="525AEB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FBC496"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and discharge policies guide staff practice. 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49B14F4F" w14:textId="77777777" w:rsidR="00000000" w:rsidRPr="00BE00C7" w:rsidRDefault="00000000" w:rsidP="00BE00C7">
            <w:pPr>
              <w:pStyle w:val="OutcomeDescription"/>
              <w:spacing w:before="120" w:after="120"/>
              <w:rPr>
                <w:rFonts w:cs="Arial"/>
                <w:lang w:eastAsia="en-NZ"/>
              </w:rPr>
            </w:pPr>
          </w:p>
        </w:tc>
      </w:tr>
      <w:tr w:rsidR="00F41426" w14:paraId="15B91304" w14:textId="77777777">
        <w:tc>
          <w:tcPr>
            <w:tcW w:w="0" w:type="auto"/>
          </w:tcPr>
          <w:p w14:paraId="54F991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55BE2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11E974A" w14:textId="77777777" w:rsidR="00000000" w:rsidRPr="00BE00C7" w:rsidRDefault="00000000" w:rsidP="00BE00C7">
            <w:pPr>
              <w:pStyle w:val="OutcomeDescription"/>
              <w:spacing w:before="120" w:after="120"/>
              <w:rPr>
                <w:rFonts w:cs="Arial"/>
                <w:lang w:eastAsia="en-NZ"/>
              </w:rPr>
            </w:pPr>
          </w:p>
        </w:tc>
        <w:tc>
          <w:tcPr>
            <w:tcW w:w="0" w:type="auto"/>
          </w:tcPr>
          <w:p w14:paraId="7D9EB3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C6833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Corridors have safety rails and promote safe mobility using mobility aids. Residents were observed moving freely with mobility aids in their respective wings. There are comfortable-looking lounges for communal gatherings and activities at the facility. There are quiet and designated spaces for residents, including young people with disabilities and their whānau, to utilise inside the lounges and dining rooms and outside on the open deck areas.  </w:t>
            </w:r>
          </w:p>
          <w:p w14:paraId="54798C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included testing and tagging of electrical equipment, resident equipment checks, and calibrations of the weighing scales and clinical equipment. The scales were checked annually. Monthly hot water temperature monitoring is completed as per policy requirements. The owner/director attends to all maintenance requirements, and certified tradespeople carried out reactive maintenance where required. The environmental temperature was monitored, and processes were implemented to manage significant temperature changes.    </w:t>
            </w:r>
          </w:p>
          <w:p w14:paraId="561F1D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total of 23 bedrooms and 26 beds. There are four rooms suitable for the care of two persons and are used for couples. Three of these rooms were in use at the time of the audit. There are grabrails on the bathroom and toilet walls and in the hallway, and call bells are readily located in bedrooms and bathroom areas.</w:t>
            </w:r>
          </w:p>
          <w:p w14:paraId="02C48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storage areas. Some of the rooms open to the outside, from the bedroom to a decked external area. Personalised equipment is available for residents with disabilities to meet their needs, as appropriate. </w:t>
            </w:r>
          </w:p>
          <w:p w14:paraId="48B14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other toilets available for staff, and visitors. A system identifies whether all common area toilets and shower facilities are in use or vacant. All washing areas provide free-flowing soap and paper towels in the toilet facilities. All areas are accessible to the </w:t>
            </w:r>
            <w:r w:rsidRPr="00BE00C7">
              <w:rPr>
                <w:rFonts w:cs="Arial"/>
                <w:lang w:eastAsia="en-NZ"/>
              </w:rPr>
              <w:lastRenderedPageBreak/>
              <w:t xml:space="preserve">residents. The furnishings and seating are appropriate for the consumer group.   </w:t>
            </w:r>
          </w:p>
          <w:p w14:paraId="55318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they were able to move around the facility, and staff assisted them when required. Residents’ rooms were personalised according to their preferences. All rooms have external windows to provide natural light and appropriate ventilation, and heating. The grounds and external areas were well maintained. External areas are independently accessible to residents. All outdoor areas have seating and shade. There is safe access to all communal areas.   </w:t>
            </w:r>
          </w:p>
          <w:p w14:paraId="68DC44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reported that, when there is a planned development for new buildings, there will be consultation and co-design of the environments to ensure that they reflect the aspirations and identity of Māori. Staff interviewed stated that they had adequate equipment to safely deliver care for residents.  </w:t>
            </w:r>
          </w:p>
          <w:p w14:paraId="652B00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area of improvement around the two small toilets in rooms 13 and 29 that did not meet council requirements remains open.</w:t>
            </w:r>
          </w:p>
          <w:p w14:paraId="3DB9A343" w14:textId="77777777" w:rsidR="00000000" w:rsidRPr="00BE00C7" w:rsidRDefault="00000000" w:rsidP="00BE00C7">
            <w:pPr>
              <w:pStyle w:val="OutcomeDescription"/>
              <w:spacing w:before="120" w:after="120"/>
              <w:rPr>
                <w:rFonts w:cs="Arial"/>
                <w:lang w:eastAsia="en-NZ"/>
              </w:rPr>
            </w:pPr>
          </w:p>
        </w:tc>
      </w:tr>
      <w:tr w:rsidR="00F41426" w14:paraId="4ECF351C" w14:textId="77777777">
        <w:tc>
          <w:tcPr>
            <w:tcW w:w="0" w:type="auto"/>
          </w:tcPr>
          <w:p w14:paraId="781B33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692C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728D67" w14:textId="77777777" w:rsidR="00000000" w:rsidRPr="00BE00C7" w:rsidRDefault="00000000" w:rsidP="00BE00C7">
            <w:pPr>
              <w:pStyle w:val="OutcomeDescription"/>
              <w:spacing w:before="120" w:after="120"/>
              <w:rPr>
                <w:rFonts w:cs="Arial"/>
                <w:lang w:eastAsia="en-NZ"/>
              </w:rPr>
            </w:pPr>
          </w:p>
        </w:tc>
        <w:tc>
          <w:tcPr>
            <w:tcW w:w="0" w:type="auto"/>
          </w:tcPr>
          <w:p w14:paraId="50A74E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696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had received relevant information and training and had appropriate equipment to respond to emergency and security situations. Staff interviewed knew what to do in an emergency.  </w:t>
            </w:r>
          </w:p>
          <w:p w14:paraId="100C3E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The owner/director reported that the service has access to an external supplier for a generator, if needed in the event of a civil defence emergency. Staff can provide a level of first aid relevant to the risks for the type of service provided. First aid training records were sighted, and most staff had completed requirements. There were always staff on duty with current first aid training.   </w:t>
            </w:r>
          </w:p>
          <w:p w14:paraId="40D5F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that staff responded promptly to call bells. </w:t>
            </w:r>
            <w:r w:rsidRPr="00BE00C7">
              <w:rPr>
                <w:rFonts w:cs="Arial"/>
                <w:lang w:eastAsia="en-NZ"/>
              </w:rPr>
              <w:lastRenderedPageBreak/>
              <w:t xml:space="preserve">Appropriate security arrangements were in place, including facility locking procedures. Residents and whānau were familiarised with emergency and security arrangements on admission and as and when required.   </w:t>
            </w:r>
          </w:p>
          <w:p w14:paraId="6BD3D4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closed-circuit television and video (CCTV) system monitoring the entrance, garden areas and communal areas. CCTV signage was displayed around the facility. There is a visitors' policy and guidelines available to ensure that resident safety and wellbeing are not compromised by visitors to the service. Visitors and contractors are required to sign in and out of visitor registers.</w:t>
            </w:r>
          </w:p>
          <w:p w14:paraId="3887DA51" w14:textId="77777777" w:rsidR="00000000" w:rsidRPr="00BE00C7" w:rsidRDefault="00000000" w:rsidP="00BE00C7">
            <w:pPr>
              <w:pStyle w:val="OutcomeDescription"/>
              <w:spacing w:before="120" w:after="120"/>
              <w:rPr>
                <w:rFonts w:cs="Arial"/>
                <w:lang w:eastAsia="en-NZ"/>
              </w:rPr>
            </w:pPr>
          </w:p>
        </w:tc>
      </w:tr>
      <w:tr w:rsidR="00F41426" w14:paraId="2BEC915B" w14:textId="77777777">
        <w:tc>
          <w:tcPr>
            <w:tcW w:w="0" w:type="auto"/>
          </w:tcPr>
          <w:p w14:paraId="7E354B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D9620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72B7D1" w14:textId="77777777" w:rsidR="00000000" w:rsidRPr="00BE00C7" w:rsidRDefault="00000000" w:rsidP="00BE00C7">
            <w:pPr>
              <w:pStyle w:val="OutcomeDescription"/>
              <w:spacing w:before="120" w:after="120"/>
              <w:rPr>
                <w:rFonts w:cs="Arial"/>
                <w:lang w:eastAsia="en-NZ"/>
              </w:rPr>
            </w:pPr>
          </w:p>
        </w:tc>
        <w:tc>
          <w:tcPr>
            <w:tcW w:w="0" w:type="auto"/>
          </w:tcPr>
          <w:p w14:paraId="4302BF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77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 All staff, residents and whānau had received training and updates on managing infections. Training records and meeting minutes were documented.    </w:t>
            </w:r>
          </w:p>
          <w:p w14:paraId="7668C222" w14:textId="77777777" w:rsidR="00000000" w:rsidRPr="00BE00C7" w:rsidRDefault="00000000" w:rsidP="00BE00C7">
            <w:pPr>
              <w:pStyle w:val="OutcomeDescription"/>
              <w:spacing w:before="120" w:after="120"/>
              <w:rPr>
                <w:rFonts w:cs="Arial"/>
                <w:lang w:eastAsia="en-NZ"/>
              </w:rPr>
            </w:pPr>
          </w:p>
        </w:tc>
      </w:tr>
      <w:tr w:rsidR="00F41426" w14:paraId="7FBB9E8A" w14:textId="77777777">
        <w:tc>
          <w:tcPr>
            <w:tcW w:w="0" w:type="auto"/>
          </w:tcPr>
          <w:p w14:paraId="2D9125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454B5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0D66F05" w14:textId="77777777" w:rsidR="00000000" w:rsidRPr="00BE00C7" w:rsidRDefault="00000000" w:rsidP="00BE00C7">
            <w:pPr>
              <w:pStyle w:val="OutcomeDescription"/>
              <w:spacing w:before="120" w:after="120"/>
              <w:rPr>
                <w:rFonts w:cs="Arial"/>
                <w:lang w:eastAsia="en-NZ"/>
              </w:rPr>
            </w:pPr>
          </w:p>
        </w:tc>
        <w:tc>
          <w:tcPr>
            <w:tcW w:w="0" w:type="auto"/>
          </w:tcPr>
          <w:p w14:paraId="2D6DF0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C09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governance body. The IPCC has appropriate skills, knowledge and qualifications for the role and confirmed access to the necessary resources and support. Their advice has been sought when making decisions around procurement relevant to care delivery, design of facility changes, and policies. The owner/director stated that there were no planned changes to the building at the time of the audit.</w:t>
            </w:r>
          </w:p>
          <w:p w14:paraId="0FE0F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The </w:t>
            </w:r>
            <w:r w:rsidRPr="00BE00C7">
              <w:rPr>
                <w:rFonts w:cs="Arial"/>
                <w:lang w:eastAsia="en-NZ"/>
              </w:rPr>
              <w:lastRenderedPageBreak/>
              <w:t>IP programme is reviewed annually, and it was last reviewed on 31 December 2024.</w:t>
            </w:r>
          </w:p>
          <w:p w14:paraId="44ABF6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41FCFA2"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There are sufficient resources and personal protective equipment (PPE) available, and staff have been trained accordingly.</w:t>
            </w:r>
          </w:p>
          <w:p w14:paraId="236D25F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2D570DDD" w14:textId="77777777" w:rsidR="00000000" w:rsidRPr="00BE00C7" w:rsidRDefault="00000000" w:rsidP="00BE00C7">
            <w:pPr>
              <w:pStyle w:val="OutcomeDescription"/>
              <w:spacing w:before="120" w:after="120"/>
              <w:rPr>
                <w:rFonts w:cs="Arial"/>
                <w:lang w:eastAsia="en-NZ"/>
              </w:rPr>
            </w:pPr>
          </w:p>
        </w:tc>
      </w:tr>
      <w:tr w:rsidR="00F41426" w14:paraId="499B95EA" w14:textId="77777777">
        <w:tc>
          <w:tcPr>
            <w:tcW w:w="0" w:type="auto"/>
          </w:tcPr>
          <w:p w14:paraId="5BBE0A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4A0A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B0BEAE" w14:textId="77777777" w:rsidR="00000000" w:rsidRPr="00BE00C7" w:rsidRDefault="00000000" w:rsidP="00BE00C7">
            <w:pPr>
              <w:pStyle w:val="OutcomeDescription"/>
              <w:spacing w:before="120" w:after="120"/>
              <w:rPr>
                <w:rFonts w:cs="Arial"/>
                <w:lang w:eastAsia="en-NZ"/>
              </w:rPr>
            </w:pPr>
          </w:p>
        </w:tc>
        <w:tc>
          <w:tcPr>
            <w:tcW w:w="0" w:type="auto"/>
          </w:tcPr>
          <w:p w14:paraId="118FFA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7A3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7BD8DCCD" w14:textId="77777777" w:rsidR="00000000" w:rsidRPr="00BE00C7" w:rsidRDefault="00000000" w:rsidP="00BE00C7">
            <w:pPr>
              <w:pStyle w:val="OutcomeDescription"/>
              <w:spacing w:before="120" w:after="120"/>
              <w:rPr>
                <w:rFonts w:cs="Arial"/>
                <w:lang w:eastAsia="en-NZ"/>
              </w:rPr>
            </w:pPr>
          </w:p>
        </w:tc>
      </w:tr>
      <w:tr w:rsidR="00F41426" w14:paraId="2D142E15" w14:textId="77777777">
        <w:tc>
          <w:tcPr>
            <w:tcW w:w="0" w:type="auto"/>
          </w:tcPr>
          <w:p w14:paraId="70D30C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B85D4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0848B6F8" w14:textId="77777777" w:rsidR="00000000" w:rsidRPr="00BE00C7" w:rsidRDefault="00000000" w:rsidP="00BE00C7">
            <w:pPr>
              <w:pStyle w:val="OutcomeDescription"/>
              <w:spacing w:before="120" w:after="120"/>
              <w:rPr>
                <w:rFonts w:cs="Arial"/>
                <w:lang w:eastAsia="en-NZ"/>
              </w:rPr>
            </w:pPr>
          </w:p>
        </w:tc>
        <w:tc>
          <w:tcPr>
            <w:tcW w:w="0" w:type="auto"/>
          </w:tcPr>
          <w:p w14:paraId="689FFF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185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are shared with staff. </w:t>
            </w:r>
            <w:r w:rsidRPr="00BE00C7">
              <w:rPr>
                <w:rFonts w:cs="Arial"/>
                <w:lang w:eastAsia="en-NZ"/>
              </w:rPr>
              <w:lastRenderedPageBreak/>
              <w:t xml:space="preserve">Surveillance includes ethnicity data.  A summary report for a recent infection outbreak was reviewed, and it demonstrated a thorough process for investigation and follow-up.  Learnings from the event have now been incorporated into practice. </w:t>
            </w:r>
          </w:p>
          <w:p w14:paraId="0A675ED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is culturally safe.</w:t>
            </w:r>
          </w:p>
          <w:p w14:paraId="3AAD7FFF" w14:textId="77777777" w:rsidR="00000000" w:rsidRPr="00BE00C7" w:rsidRDefault="00000000" w:rsidP="00BE00C7">
            <w:pPr>
              <w:pStyle w:val="OutcomeDescription"/>
              <w:spacing w:before="120" w:after="120"/>
              <w:rPr>
                <w:rFonts w:cs="Arial"/>
                <w:lang w:eastAsia="en-NZ"/>
              </w:rPr>
            </w:pPr>
          </w:p>
        </w:tc>
      </w:tr>
      <w:tr w:rsidR="00F41426" w14:paraId="4739D21E" w14:textId="77777777">
        <w:tc>
          <w:tcPr>
            <w:tcW w:w="0" w:type="auto"/>
          </w:tcPr>
          <w:p w14:paraId="7A38AA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AEA41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7E0FE76" w14:textId="77777777" w:rsidR="00000000" w:rsidRPr="00BE00C7" w:rsidRDefault="00000000" w:rsidP="00BE00C7">
            <w:pPr>
              <w:pStyle w:val="OutcomeDescription"/>
              <w:spacing w:before="120" w:after="120"/>
              <w:rPr>
                <w:rFonts w:cs="Arial"/>
                <w:lang w:eastAsia="en-NZ"/>
              </w:rPr>
            </w:pPr>
          </w:p>
        </w:tc>
        <w:tc>
          <w:tcPr>
            <w:tcW w:w="0" w:type="auto"/>
          </w:tcPr>
          <w:p w14:paraId="4D8EB8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4FA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6BDD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caregivers have dual responsibilities for cleaning and laundry. Staff follow documented policies and processes for the management of waste and infectious and hazardous substances.  Laundry and cleaning processes are monitored for effectiveness. The IPCC has oversight of the environmental testing and monitoring programme.  The caregivers have completed relevant training and were observed to carry out duties safely. Chemicals were stored safely in the locked sluice room.</w:t>
            </w:r>
          </w:p>
          <w:p w14:paraId="7CFF919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kept clean and tidy. This was confirmed through observations.</w:t>
            </w:r>
          </w:p>
          <w:p w14:paraId="73816CDA" w14:textId="77777777" w:rsidR="00000000" w:rsidRPr="00BE00C7" w:rsidRDefault="00000000" w:rsidP="00BE00C7">
            <w:pPr>
              <w:pStyle w:val="OutcomeDescription"/>
              <w:spacing w:before="120" w:after="120"/>
              <w:rPr>
                <w:rFonts w:cs="Arial"/>
                <w:lang w:eastAsia="en-NZ"/>
              </w:rPr>
            </w:pPr>
          </w:p>
        </w:tc>
      </w:tr>
      <w:tr w:rsidR="00F41426" w14:paraId="061EEBC7" w14:textId="77777777">
        <w:tc>
          <w:tcPr>
            <w:tcW w:w="0" w:type="auto"/>
          </w:tcPr>
          <w:p w14:paraId="103EAA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F20F0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C5E0E6" w14:textId="77777777" w:rsidR="00000000" w:rsidRPr="00BE00C7" w:rsidRDefault="00000000" w:rsidP="00BE00C7">
            <w:pPr>
              <w:pStyle w:val="OutcomeDescription"/>
              <w:spacing w:before="120" w:after="120"/>
              <w:rPr>
                <w:rFonts w:cs="Arial"/>
                <w:lang w:eastAsia="en-NZ"/>
              </w:rPr>
            </w:pPr>
          </w:p>
        </w:tc>
        <w:tc>
          <w:tcPr>
            <w:tcW w:w="0" w:type="auto"/>
          </w:tcPr>
          <w:p w14:paraId="6B51A6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68B4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Rosaria Rest Home maintains a restraint-free environment. The governance group demonstrated commitment to this, supported by the registered nurse. The registered nurse stated that any use of restraint is reported to the governing body. At the time of the audit, no resident was using a restraint, and this has been the case since the previous audit. </w:t>
            </w:r>
          </w:p>
          <w:p w14:paraId="69DC98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procedures reviewed met the requirements of the standards. The registered nurse was the restraint coordinator, who provided support and oversight should restraint be required in the future. There was a job description that outlined the role. Staff had been trained in the least restrictive practice, safe restraint practice, </w:t>
            </w:r>
            <w:r w:rsidRPr="00BE00C7">
              <w:rPr>
                <w:rFonts w:cs="Arial"/>
                <w:lang w:eastAsia="en-NZ"/>
              </w:rPr>
              <w:lastRenderedPageBreak/>
              <w:t xml:space="preserve">alternative cultural-specific interventions, and de-escalation techniques as part of the education programme.   </w:t>
            </w:r>
          </w:p>
          <w:p w14:paraId="4ECC6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restraint approval group, which includes the registered nurse and the general practitioner. The registered nurse and the owner/director meet every month to discuss whether restraint is to be used. The approval team would consider approval of any restraint, approval of the method of restraint, guidelines, education of staff, observations and evaluation, and they would ensure that the correct equipment was used.   </w:t>
            </w:r>
          </w:p>
          <w:p w14:paraId="137083C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were covered in the orientation programme of the facility and included in the education programme (which includes annual restraint competency), and restraint use was identified as part of the quality programme and reported at all levels of the organisation.  All staff had completed annual training around de-escalation and management of challenging behaviour in the last year.</w:t>
            </w:r>
          </w:p>
          <w:p w14:paraId="5E7D4077" w14:textId="77777777" w:rsidR="00000000" w:rsidRPr="00BE00C7" w:rsidRDefault="00000000" w:rsidP="00BE00C7">
            <w:pPr>
              <w:pStyle w:val="OutcomeDescription"/>
              <w:spacing w:before="120" w:after="120"/>
              <w:rPr>
                <w:rFonts w:cs="Arial"/>
                <w:lang w:eastAsia="en-NZ"/>
              </w:rPr>
            </w:pPr>
          </w:p>
        </w:tc>
      </w:tr>
    </w:tbl>
    <w:p w14:paraId="6B47DCE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EF258D1" w14:textId="77777777" w:rsidR="00000000" w:rsidRDefault="00000000">
      <w:pPr>
        <w:pStyle w:val="Heading1"/>
        <w:rPr>
          <w:rFonts w:cs="Arial"/>
        </w:rPr>
      </w:pPr>
      <w:r>
        <w:rPr>
          <w:rFonts w:cs="Arial"/>
        </w:rPr>
        <w:lastRenderedPageBreak/>
        <w:t>Specific results for criterion where corrective actions are required</w:t>
      </w:r>
    </w:p>
    <w:p w14:paraId="72462E1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963960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C7F6AA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1328"/>
        <w:gridCol w:w="4811"/>
        <w:gridCol w:w="2524"/>
        <w:gridCol w:w="2088"/>
      </w:tblGrid>
      <w:tr w:rsidR="00F41426" w14:paraId="478C82F1" w14:textId="77777777">
        <w:tc>
          <w:tcPr>
            <w:tcW w:w="0" w:type="auto"/>
          </w:tcPr>
          <w:p w14:paraId="4F2C4A6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2F76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E712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BF5B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2DCFE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41426" w14:paraId="7984ECD0" w14:textId="77777777">
        <w:tc>
          <w:tcPr>
            <w:tcW w:w="0" w:type="auto"/>
          </w:tcPr>
          <w:p w14:paraId="748824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25F5D0D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625A40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B7A40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documented adverse and near-miss events in line with the National Adverse Events Reporting Policy. A sample of 10 incident forms reviewed showed these were fully completed; incidents were investigated, action plans developed, and actions were followed up in a timely manner. However, the Severity Assessment Code (SAC) 2 event reporting process was not reported as per policy requirements. One resident experienced two falls that resulted in fractures, which were not reported in accordance with policy and standard requirements.</w:t>
            </w:r>
          </w:p>
          <w:p w14:paraId="5BFC19DE" w14:textId="77777777" w:rsidR="00000000" w:rsidRPr="00BE00C7" w:rsidRDefault="00000000" w:rsidP="00BE00C7">
            <w:pPr>
              <w:pStyle w:val="OutcomeDescription"/>
              <w:spacing w:before="120" w:after="120"/>
              <w:rPr>
                <w:rFonts w:cs="Arial"/>
                <w:lang w:eastAsia="en-NZ"/>
              </w:rPr>
            </w:pPr>
          </w:p>
        </w:tc>
        <w:tc>
          <w:tcPr>
            <w:tcW w:w="0" w:type="auto"/>
          </w:tcPr>
          <w:p w14:paraId="71794398" w14:textId="77777777" w:rsidR="00000000" w:rsidRPr="00BE00C7" w:rsidRDefault="00000000" w:rsidP="00BE00C7">
            <w:pPr>
              <w:pStyle w:val="OutcomeDescription"/>
              <w:spacing w:before="120" w:after="120"/>
              <w:rPr>
                <w:rFonts w:cs="Arial"/>
                <w:lang w:eastAsia="en-NZ"/>
              </w:rPr>
            </w:pPr>
            <w:r w:rsidRPr="00BE00C7">
              <w:rPr>
                <w:rFonts w:cs="Arial"/>
                <w:lang w:eastAsia="en-NZ"/>
              </w:rPr>
              <w:t>SAC 2 event reporting was not completed for a resident who had two falls that resulted in fractures.</w:t>
            </w:r>
          </w:p>
          <w:p w14:paraId="54231847" w14:textId="77777777" w:rsidR="00000000" w:rsidRPr="00BE00C7" w:rsidRDefault="00000000" w:rsidP="00BE00C7">
            <w:pPr>
              <w:pStyle w:val="OutcomeDescription"/>
              <w:spacing w:before="120" w:after="120"/>
              <w:rPr>
                <w:rFonts w:cs="Arial"/>
                <w:lang w:eastAsia="en-NZ"/>
              </w:rPr>
            </w:pPr>
          </w:p>
        </w:tc>
        <w:tc>
          <w:tcPr>
            <w:tcW w:w="0" w:type="auto"/>
          </w:tcPr>
          <w:p w14:paraId="6167319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SAC 2 ratings are completed as per policy and standard requirements.</w:t>
            </w:r>
          </w:p>
          <w:p w14:paraId="4EE62082" w14:textId="77777777" w:rsidR="00000000" w:rsidRPr="00BE00C7" w:rsidRDefault="00000000" w:rsidP="00BE00C7">
            <w:pPr>
              <w:pStyle w:val="OutcomeDescription"/>
              <w:spacing w:before="120" w:after="120"/>
              <w:rPr>
                <w:rFonts w:cs="Arial"/>
                <w:lang w:eastAsia="en-NZ"/>
              </w:rPr>
            </w:pPr>
          </w:p>
          <w:p w14:paraId="6D79ECF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1426" w14:paraId="7DB39B00" w14:textId="77777777">
        <w:tc>
          <w:tcPr>
            <w:tcW w:w="0" w:type="auto"/>
          </w:tcPr>
          <w:p w14:paraId="7B7DD82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25DB3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understand and comply with statutory and regulatory </w:t>
            </w:r>
            <w:r w:rsidRPr="00BE00C7">
              <w:rPr>
                <w:rFonts w:cs="Arial"/>
                <w:lang w:eastAsia="en-NZ"/>
              </w:rPr>
              <w:lastRenderedPageBreak/>
              <w:t>obligations in relation to essential notification reporting.</w:t>
            </w:r>
          </w:p>
        </w:tc>
        <w:tc>
          <w:tcPr>
            <w:tcW w:w="0" w:type="auto"/>
          </w:tcPr>
          <w:p w14:paraId="65D410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38802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standard require the service to comply with statutory and regulatory reporting obligations. The management team interviewed described the process around essential notification </w:t>
            </w:r>
            <w:r w:rsidRPr="00BE00C7">
              <w:rPr>
                <w:rFonts w:cs="Arial"/>
                <w:lang w:eastAsia="en-NZ"/>
              </w:rPr>
              <w:lastRenderedPageBreak/>
              <w:t>reporting requirements. The previous completed Section 31 notifications were sighted.  However, when there was a change in the facility manager in April 2024, the essential notification was not completed. One of the owner/directors is now the current facility manager.</w:t>
            </w:r>
          </w:p>
          <w:p w14:paraId="63C21F0E" w14:textId="77777777" w:rsidR="00000000" w:rsidRPr="00BE00C7" w:rsidRDefault="00000000" w:rsidP="00BE00C7">
            <w:pPr>
              <w:pStyle w:val="OutcomeDescription"/>
              <w:spacing w:before="120" w:after="120"/>
              <w:rPr>
                <w:rFonts w:cs="Arial"/>
                <w:lang w:eastAsia="en-NZ"/>
              </w:rPr>
            </w:pPr>
          </w:p>
        </w:tc>
        <w:tc>
          <w:tcPr>
            <w:tcW w:w="0" w:type="auto"/>
          </w:tcPr>
          <w:p w14:paraId="292E40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Not all applicable events requiring essential notification, such as the change of the facility </w:t>
            </w:r>
            <w:r w:rsidRPr="00BE00C7">
              <w:rPr>
                <w:rFonts w:cs="Arial"/>
                <w:lang w:eastAsia="en-NZ"/>
              </w:rPr>
              <w:lastRenderedPageBreak/>
              <w:t>manager, have been reported to the Ministry of Health.</w:t>
            </w:r>
          </w:p>
          <w:p w14:paraId="6E6CE488" w14:textId="77777777" w:rsidR="00000000" w:rsidRPr="00BE00C7" w:rsidRDefault="00000000" w:rsidP="00BE00C7">
            <w:pPr>
              <w:pStyle w:val="OutcomeDescription"/>
              <w:spacing w:before="120" w:after="120"/>
              <w:rPr>
                <w:rFonts w:cs="Arial"/>
                <w:lang w:eastAsia="en-NZ"/>
              </w:rPr>
            </w:pPr>
          </w:p>
        </w:tc>
        <w:tc>
          <w:tcPr>
            <w:tcW w:w="0" w:type="auto"/>
          </w:tcPr>
          <w:p w14:paraId="62882F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applicable events are reported to the appropriate </w:t>
            </w:r>
            <w:r w:rsidRPr="00BE00C7">
              <w:rPr>
                <w:rFonts w:cs="Arial"/>
                <w:lang w:eastAsia="en-NZ"/>
              </w:rPr>
              <w:lastRenderedPageBreak/>
              <w:t>authority in a timely manner.</w:t>
            </w:r>
          </w:p>
          <w:p w14:paraId="1D949DF9" w14:textId="77777777" w:rsidR="00000000" w:rsidRPr="00BE00C7" w:rsidRDefault="00000000" w:rsidP="00BE00C7">
            <w:pPr>
              <w:pStyle w:val="OutcomeDescription"/>
              <w:spacing w:before="120" w:after="120"/>
              <w:rPr>
                <w:rFonts w:cs="Arial"/>
                <w:lang w:eastAsia="en-NZ"/>
              </w:rPr>
            </w:pPr>
          </w:p>
          <w:p w14:paraId="697D0EF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1426" w14:paraId="6799F138" w14:textId="77777777">
        <w:tc>
          <w:tcPr>
            <w:tcW w:w="0" w:type="auto"/>
          </w:tcPr>
          <w:p w14:paraId="6E4E52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3.5.4</w:t>
            </w:r>
          </w:p>
          <w:p w14:paraId="4DC2A9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3FF6BDD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DE60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in use was reviewed by a qualified dietitian in March 2022. Residents’ weight is monitored monthly, and those with weight issues were reviewed by the GP and nutritional supplements were prescribed.</w:t>
            </w:r>
          </w:p>
          <w:p w14:paraId="292D29A6" w14:textId="77777777" w:rsidR="00000000" w:rsidRPr="00BE00C7" w:rsidRDefault="00000000" w:rsidP="00BE00C7">
            <w:pPr>
              <w:pStyle w:val="OutcomeDescription"/>
              <w:spacing w:before="120" w:after="120"/>
              <w:rPr>
                <w:rFonts w:cs="Arial"/>
                <w:lang w:eastAsia="en-NZ"/>
              </w:rPr>
            </w:pPr>
          </w:p>
        </w:tc>
        <w:tc>
          <w:tcPr>
            <w:tcW w:w="0" w:type="auto"/>
          </w:tcPr>
          <w:p w14:paraId="44A38B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was overdue for review by a qualified dietitian.</w:t>
            </w:r>
          </w:p>
          <w:p w14:paraId="51208283" w14:textId="77777777" w:rsidR="00000000" w:rsidRPr="00BE00C7" w:rsidRDefault="00000000" w:rsidP="00BE00C7">
            <w:pPr>
              <w:pStyle w:val="OutcomeDescription"/>
              <w:spacing w:before="120" w:after="120"/>
              <w:rPr>
                <w:rFonts w:cs="Arial"/>
                <w:lang w:eastAsia="en-NZ"/>
              </w:rPr>
            </w:pPr>
          </w:p>
        </w:tc>
        <w:tc>
          <w:tcPr>
            <w:tcW w:w="0" w:type="auto"/>
          </w:tcPr>
          <w:p w14:paraId="673BCB0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menu is reviewed by a qualified dietitian as required by the policy.</w:t>
            </w:r>
          </w:p>
          <w:p w14:paraId="7BE7E962" w14:textId="77777777" w:rsidR="00000000" w:rsidRPr="00BE00C7" w:rsidRDefault="00000000" w:rsidP="00BE00C7">
            <w:pPr>
              <w:pStyle w:val="OutcomeDescription"/>
              <w:spacing w:before="120" w:after="120"/>
              <w:rPr>
                <w:rFonts w:cs="Arial"/>
                <w:lang w:eastAsia="en-NZ"/>
              </w:rPr>
            </w:pPr>
          </w:p>
          <w:p w14:paraId="0AF156C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1426" w14:paraId="4A754C60" w14:textId="77777777">
        <w:tc>
          <w:tcPr>
            <w:tcW w:w="0" w:type="auto"/>
          </w:tcPr>
          <w:p w14:paraId="17C7D9A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68F562C9"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8DB9C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C1662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that expires on 22 June 2026. There are two rooms, room 13 and room 29, that have toilets installed. These were fitted with call bells, handrails and water sprinklers, and these rooms remain small in size. An inspection completed by a certified plumber on 31 January 2024 found that these did not meet compliance requirements. A report by an independent building consultant dated 8 February 2024 confirmed that the alterations did not meet Auckland Council standards. This area requiring improvement remains open.</w:t>
            </w:r>
          </w:p>
          <w:p w14:paraId="51D377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reported that a representative from Health New Zealand – Te Whatu Ora visited the facility on several occasions to assess the toilets. Recommendations were made for residents to complete a consent form to authorise the usage of the toilets. Signed consent forms were sighted in the resident files. Despite the limited dimensions of the toilets, which cannot accommodate a </w:t>
            </w:r>
            <w:r w:rsidRPr="00BE00C7">
              <w:rPr>
                <w:rFonts w:cs="Arial"/>
                <w:lang w:eastAsia="en-NZ"/>
              </w:rPr>
              <w:lastRenderedPageBreak/>
              <w:t>wheelchair or walker, residents utilising the facilities reported no issues with size, as they were able to utilise them without mobility challenges. Furthermore, the owner/director reported that the facility was informed by Health New Zealand – Te Whatu Ora that this will remain a recurring area of improvement until resolved.</w:t>
            </w:r>
          </w:p>
          <w:p w14:paraId="38940476" w14:textId="77777777" w:rsidR="00000000" w:rsidRPr="00BE00C7" w:rsidRDefault="00000000" w:rsidP="00BE00C7">
            <w:pPr>
              <w:pStyle w:val="OutcomeDescription"/>
              <w:spacing w:before="120" w:after="120"/>
              <w:rPr>
                <w:rFonts w:cs="Arial"/>
                <w:lang w:eastAsia="en-NZ"/>
              </w:rPr>
            </w:pPr>
          </w:p>
        </w:tc>
        <w:tc>
          <w:tcPr>
            <w:tcW w:w="0" w:type="auto"/>
          </w:tcPr>
          <w:p w14:paraId="217BED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Ensuite toilets continue to not meet compliance requirements as per Auckland Council and the building consultant report.</w:t>
            </w:r>
          </w:p>
          <w:p w14:paraId="2A58B76C" w14:textId="77777777" w:rsidR="00000000" w:rsidRPr="00BE00C7" w:rsidRDefault="00000000" w:rsidP="00BE00C7">
            <w:pPr>
              <w:pStyle w:val="OutcomeDescription"/>
              <w:spacing w:before="120" w:after="120"/>
              <w:rPr>
                <w:rFonts w:cs="Arial"/>
                <w:lang w:eastAsia="en-NZ"/>
              </w:rPr>
            </w:pPr>
          </w:p>
        </w:tc>
        <w:tc>
          <w:tcPr>
            <w:tcW w:w="0" w:type="auto"/>
          </w:tcPr>
          <w:p w14:paraId="288173F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alterations meet compliance requirements by the council.</w:t>
            </w:r>
          </w:p>
          <w:p w14:paraId="094A9A62" w14:textId="77777777" w:rsidR="00000000" w:rsidRPr="00BE00C7" w:rsidRDefault="00000000" w:rsidP="00BE00C7">
            <w:pPr>
              <w:pStyle w:val="OutcomeDescription"/>
              <w:spacing w:before="120" w:after="120"/>
              <w:rPr>
                <w:rFonts w:cs="Arial"/>
                <w:lang w:eastAsia="en-NZ"/>
              </w:rPr>
            </w:pPr>
          </w:p>
          <w:p w14:paraId="0E11584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0FFE6E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448FDB6" w14:textId="77777777" w:rsidR="00000000" w:rsidRDefault="00000000">
      <w:pPr>
        <w:pStyle w:val="Heading1"/>
        <w:rPr>
          <w:rFonts w:cs="Arial"/>
        </w:rPr>
      </w:pPr>
      <w:r>
        <w:rPr>
          <w:rFonts w:cs="Arial"/>
        </w:rPr>
        <w:lastRenderedPageBreak/>
        <w:t>Specific results for criterion where a continuous improvement has been recorded</w:t>
      </w:r>
    </w:p>
    <w:p w14:paraId="3F39FCE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EA7A58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84DDD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1426" w14:paraId="7E48BF61" w14:textId="77777777">
        <w:tc>
          <w:tcPr>
            <w:tcW w:w="0" w:type="auto"/>
          </w:tcPr>
          <w:p w14:paraId="343F5FB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E2F7C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947895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F9F" w14:textId="77777777" w:rsidR="00043FD4" w:rsidRDefault="00043FD4">
      <w:r>
        <w:separator/>
      </w:r>
    </w:p>
  </w:endnote>
  <w:endnote w:type="continuationSeparator" w:id="0">
    <w:p w14:paraId="30057A2E" w14:textId="77777777" w:rsidR="00043FD4" w:rsidRDefault="0004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0677" w14:textId="77777777" w:rsidR="00000000" w:rsidRDefault="00000000">
    <w:pPr>
      <w:pStyle w:val="Footer"/>
    </w:pPr>
  </w:p>
  <w:p w14:paraId="0ADECD57" w14:textId="77777777" w:rsidR="00000000" w:rsidRDefault="00000000"/>
  <w:p w14:paraId="2078285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D26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Rosaria Rest Home 2006 Limited - Rosaria Rest Home</w:t>
    </w:r>
    <w:bookmarkEnd w:id="59"/>
    <w:r>
      <w:rPr>
        <w:rFonts w:cs="Arial"/>
        <w:sz w:val="16"/>
        <w:szCs w:val="20"/>
      </w:rPr>
      <w:tab/>
      <w:t xml:space="preserve">Date of Audit: </w:t>
    </w:r>
    <w:bookmarkStart w:id="60" w:name="AuditStartDate1"/>
    <w:r>
      <w:rPr>
        <w:rFonts w:cs="Arial"/>
        <w:sz w:val="16"/>
        <w:szCs w:val="20"/>
      </w:rPr>
      <w:t>21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885CE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77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C44B" w14:textId="77777777" w:rsidR="00043FD4" w:rsidRDefault="00043FD4">
      <w:r>
        <w:separator/>
      </w:r>
    </w:p>
  </w:footnote>
  <w:footnote w:type="continuationSeparator" w:id="0">
    <w:p w14:paraId="4B8BAA6E" w14:textId="77777777" w:rsidR="00043FD4" w:rsidRDefault="0004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E7B5" w14:textId="77777777" w:rsidR="00000000" w:rsidRDefault="00000000">
    <w:pPr>
      <w:pStyle w:val="Header"/>
    </w:pPr>
  </w:p>
  <w:p w14:paraId="3D3EFB8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B2A2" w14:textId="77777777" w:rsidR="00000000" w:rsidRDefault="00000000">
    <w:pPr>
      <w:pStyle w:val="Header"/>
    </w:pPr>
  </w:p>
  <w:p w14:paraId="13C4BA8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B59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DB60776">
      <w:start w:val="1"/>
      <w:numFmt w:val="decimal"/>
      <w:lvlText w:val="%1."/>
      <w:lvlJc w:val="left"/>
      <w:pPr>
        <w:ind w:left="360" w:hanging="360"/>
      </w:pPr>
    </w:lvl>
    <w:lvl w:ilvl="1" w:tplc="80F0D7BC" w:tentative="1">
      <w:start w:val="1"/>
      <w:numFmt w:val="lowerLetter"/>
      <w:lvlText w:val="%2."/>
      <w:lvlJc w:val="left"/>
      <w:pPr>
        <w:ind w:left="1080" w:hanging="360"/>
      </w:pPr>
    </w:lvl>
    <w:lvl w:ilvl="2" w:tplc="07303058" w:tentative="1">
      <w:start w:val="1"/>
      <w:numFmt w:val="lowerRoman"/>
      <w:lvlText w:val="%3."/>
      <w:lvlJc w:val="right"/>
      <w:pPr>
        <w:ind w:left="1800" w:hanging="180"/>
      </w:pPr>
    </w:lvl>
    <w:lvl w:ilvl="3" w:tplc="039839E6" w:tentative="1">
      <w:start w:val="1"/>
      <w:numFmt w:val="decimal"/>
      <w:lvlText w:val="%4."/>
      <w:lvlJc w:val="left"/>
      <w:pPr>
        <w:ind w:left="2520" w:hanging="360"/>
      </w:pPr>
    </w:lvl>
    <w:lvl w:ilvl="4" w:tplc="773244AC" w:tentative="1">
      <w:start w:val="1"/>
      <w:numFmt w:val="lowerLetter"/>
      <w:lvlText w:val="%5."/>
      <w:lvlJc w:val="left"/>
      <w:pPr>
        <w:ind w:left="3240" w:hanging="360"/>
      </w:pPr>
    </w:lvl>
    <w:lvl w:ilvl="5" w:tplc="EB407FC4" w:tentative="1">
      <w:start w:val="1"/>
      <w:numFmt w:val="lowerRoman"/>
      <w:lvlText w:val="%6."/>
      <w:lvlJc w:val="right"/>
      <w:pPr>
        <w:ind w:left="3960" w:hanging="180"/>
      </w:pPr>
    </w:lvl>
    <w:lvl w:ilvl="6" w:tplc="F0E291F6" w:tentative="1">
      <w:start w:val="1"/>
      <w:numFmt w:val="decimal"/>
      <w:lvlText w:val="%7."/>
      <w:lvlJc w:val="left"/>
      <w:pPr>
        <w:ind w:left="4680" w:hanging="360"/>
      </w:pPr>
    </w:lvl>
    <w:lvl w:ilvl="7" w:tplc="1CF40BCC" w:tentative="1">
      <w:start w:val="1"/>
      <w:numFmt w:val="lowerLetter"/>
      <w:lvlText w:val="%8."/>
      <w:lvlJc w:val="left"/>
      <w:pPr>
        <w:ind w:left="5400" w:hanging="360"/>
      </w:pPr>
    </w:lvl>
    <w:lvl w:ilvl="8" w:tplc="D7D46A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26CC56">
      <w:start w:val="1"/>
      <w:numFmt w:val="bullet"/>
      <w:lvlText w:val=""/>
      <w:lvlJc w:val="left"/>
      <w:pPr>
        <w:ind w:left="720" w:hanging="360"/>
      </w:pPr>
      <w:rPr>
        <w:rFonts w:ascii="Symbol" w:hAnsi="Symbol" w:hint="default"/>
      </w:rPr>
    </w:lvl>
    <w:lvl w:ilvl="1" w:tplc="856E33E4" w:tentative="1">
      <w:start w:val="1"/>
      <w:numFmt w:val="bullet"/>
      <w:lvlText w:val="o"/>
      <w:lvlJc w:val="left"/>
      <w:pPr>
        <w:ind w:left="1440" w:hanging="360"/>
      </w:pPr>
      <w:rPr>
        <w:rFonts w:ascii="Courier New" w:hAnsi="Courier New" w:cs="Courier New" w:hint="default"/>
      </w:rPr>
    </w:lvl>
    <w:lvl w:ilvl="2" w:tplc="14EAD836" w:tentative="1">
      <w:start w:val="1"/>
      <w:numFmt w:val="bullet"/>
      <w:lvlText w:val=""/>
      <w:lvlJc w:val="left"/>
      <w:pPr>
        <w:ind w:left="2160" w:hanging="360"/>
      </w:pPr>
      <w:rPr>
        <w:rFonts w:ascii="Wingdings" w:hAnsi="Wingdings" w:hint="default"/>
      </w:rPr>
    </w:lvl>
    <w:lvl w:ilvl="3" w:tplc="40428AAC" w:tentative="1">
      <w:start w:val="1"/>
      <w:numFmt w:val="bullet"/>
      <w:lvlText w:val=""/>
      <w:lvlJc w:val="left"/>
      <w:pPr>
        <w:ind w:left="2880" w:hanging="360"/>
      </w:pPr>
      <w:rPr>
        <w:rFonts w:ascii="Symbol" w:hAnsi="Symbol" w:hint="default"/>
      </w:rPr>
    </w:lvl>
    <w:lvl w:ilvl="4" w:tplc="6DDC318E" w:tentative="1">
      <w:start w:val="1"/>
      <w:numFmt w:val="bullet"/>
      <w:lvlText w:val="o"/>
      <w:lvlJc w:val="left"/>
      <w:pPr>
        <w:ind w:left="3600" w:hanging="360"/>
      </w:pPr>
      <w:rPr>
        <w:rFonts w:ascii="Courier New" w:hAnsi="Courier New" w:cs="Courier New" w:hint="default"/>
      </w:rPr>
    </w:lvl>
    <w:lvl w:ilvl="5" w:tplc="6AAA8F8E" w:tentative="1">
      <w:start w:val="1"/>
      <w:numFmt w:val="bullet"/>
      <w:lvlText w:val=""/>
      <w:lvlJc w:val="left"/>
      <w:pPr>
        <w:ind w:left="4320" w:hanging="360"/>
      </w:pPr>
      <w:rPr>
        <w:rFonts w:ascii="Wingdings" w:hAnsi="Wingdings" w:hint="default"/>
      </w:rPr>
    </w:lvl>
    <w:lvl w:ilvl="6" w:tplc="A11C5192" w:tentative="1">
      <w:start w:val="1"/>
      <w:numFmt w:val="bullet"/>
      <w:lvlText w:val=""/>
      <w:lvlJc w:val="left"/>
      <w:pPr>
        <w:ind w:left="5040" w:hanging="360"/>
      </w:pPr>
      <w:rPr>
        <w:rFonts w:ascii="Symbol" w:hAnsi="Symbol" w:hint="default"/>
      </w:rPr>
    </w:lvl>
    <w:lvl w:ilvl="7" w:tplc="C4044AD0" w:tentative="1">
      <w:start w:val="1"/>
      <w:numFmt w:val="bullet"/>
      <w:lvlText w:val="o"/>
      <w:lvlJc w:val="left"/>
      <w:pPr>
        <w:ind w:left="5760" w:hanging="360"/>
      </w:pPr>
      <w:rPr>
        <w:rFonts w:ascii="Courier New" w:hAnsi="Courier New" w:cs="Courier New" w:hint="default"/>
      </w:rPr>
    </w:lvl>
    <w:lvl w:ilvl="8" w:tplc="62200528" w:tentative="1">
      <w:start w:val="1"/>
      <w:numFmt w:val="bullet"/>
      <w:lvlText w:val=""/>
      <w:lvlJc w:val="left"/>
      <w:pPr>
        <w:ind w:left="6480" w:hanging="360"/>
      </w:pPr>
      <w:rPr>
        <w:rFonts w:ascii="Wingdings" w:hAnsi="Wingdings" w:hint="default"/>
      </w:rPr>
    </w:lvl>
  </w:abstractNum>
  <w:num w:numId="1" w16cid:durableId="1112699921">
    <w:abstractNumId w:val="1"/>
  </w:num>
  <w:num w:numId="2" w16cid:durableId="17341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26"/>
    <w:rsid w:val="00043FD4"/>
    <w:rsid w:val="00262A45"/>
    <w:rsid w:val="00360C52"/>
    <w:rsid w:val="009D7AF0"/>
    <w:rsid w:val="00B87E6C"/>
    <w:rsid w:val="00F414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71BE"/>
  <w15:docId w15:val="{D9669B6B-DDA0-4701-82AC-E17ABB4F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10083</Words>
  <Characters>57478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2025-09-24T22:04:00Z</dcterms:created>
  <dcterms:modified xsi:type="dcterms:W3CDTF">2025-09-24T22:06:00Z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