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7629" w14:textId="77777777" w:rsidR="00000000" w:rsidRDefault="00000000">
      <w:pPr>
        <w:pStyle w:val="Heading1"/>
        <w:rPr>
          <w:rFonts w:cs="Arial"/>
        </w:rPr>
      </w:pPr>
      <w:bookmarkStart w:id="0" w:name="PRMS_RIName"/>
      <w:r>
        <w:rPr>
          <w:rFonts w:cs="Arial"/>
        </w:rPr>
        <w:t>Dunblane Lifecare Limited - Dunblane Lifecare</w:t>
      </w:r>
      <w:bookmarkEnd w:id="0"/>
    </w:p>
    <w:p w14:paraId="1F0BE4C1" w14:textId="77777777" w:rsidR="00000000" w:rsidRDefault="00000000">
      <w:pPr>
        <w:pStyle w:val="Heading2"/>
        <w:spacing w:after="0"/>
        <w:rPr>
          <w:rFonts w:cs="Arial"/>
        </w:rPr>
      </w:pPr>
      <w:r>
        <w:rPr>
          <w:rFonts w:cs="Arial"/>
        </w:rPr>
        <w:t>Introduction</w:t>
      </w:r>
    </w:p>
    <w:p w14:paraId="26537C2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BCDEAC8"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5B4F0F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8D2CB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7FA35E9" w14:textId="77777777" w:rsidR="00000000" w:rsidRDefault="00000000">
      <w:pPr>
        <w:spacing w:before="240" w:after="240"/>
        <w:rPr>
          <w:rFonts w:cs="Arial"/>
          <w:lang w:eastAsia="en-NZ"/>
        </w:rPr>
      </w:pPr>
      <w:r>
        <w:rPr>
          <w:rFonts w:cs="Arial"/>
          <w:lang w:eastAsia="en-NZ"/>
        </w:rPr>
        <w:t>The specifics of this audit included:</w:t>
      </w:r>
    </w:p>
    <w:p w14:paraId="34F3110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BE0E3C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Dunblane Lifecare Limited</w:t>
      </w:r>
      <w:bookmarkEnd w:id="4"/>
    </w:p>
    <w:p w14:paraId="2D901A6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Dunblane Lifecare</w:t>
      </w:r>
      <w:bookmarkEnd w:id="5"/>
    </w:p>
    <w:p w14:paraId="0C51765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C351BA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July 2025</w:t>
      </w:r>
      <w:bookmarkEnd w:id="7"/>
      <w:r w:rsidRPr="009418D4">
        <w:rPr>
          <w:rFonts w:cs="Arial"/>
        </w:rPr>
        <w:tab/>
        <w:t xml:space="preserve">End date: </w:t>
      </w:r>
      <w:bookmarkStart w:id="8" w:name="AuditEndDate"/>
      <w:r>
        <w:rPr>
          <w:rFonts w:cs="Arial"/>
        </w:rPr>
        <w:t>10 July 2025</w:t>
      </w:r>
      <w:bookmarkEnd w:id="8"/>
    </w:p>
    <w:p w14:paraId="0C71C24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3373959" w14:textId="77777777" w:rsidR="00EE59E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70</w:t>
      </w:r>
      <w:bookmarkEnd w:id="10"/>
    </w:p>
    <w:p w14:paraId="789FC21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3E6572F" w14:textId="77777777" w:rsidR="00000000" w:rsidRDefault="00000000">
      <w:pPr>
        <w:pStyle w:val="Heading1"/>
        <w:rPr>
          <w:rFonts w:cs="Arial"/>
        </w:rPr>
      </w:pPr>
      <w:r>
        <w:rPr>
          <w:rFonts w:cs="Arial"/>
        </w:rPr>
        <w:lastRenderedPageBreak/>
        <w:t>Executive summary of the audit</w:t>
      </w:r>
    </w:p>
    <w:p w14:paraId="56AB7AAB" w14:textId="77777777" w:rsidR="00000000" w:rsidRDefault="00000000">
      <w:pPr>
        <w:pStyle w:val="Heading2"/>
        <w:rPr>
          <w:rFonts w:cs="Arial"/>
        </w:rPr>
      </w:pPr>
      <w:r>
        <w:rPr>
          <w:rFonts w:cs="Arial"/>
        </w:rPr>
        <w:t>Introduction</w:t>
      </w:r>
    </w:p>
    <w:p w14:paraId="0B8DCEB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A40C94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759CF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513FEE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B26ED3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F66325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EA6F12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57E371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6134F1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E59E2" w14:paraId="34860DD9" w14:textId="77777777">
        <w:trPr>
          <w:cantSplit/>
          <w:tblHeader/>
        </w:trPr>
        <w:tc>
          <w:tcPr>
            <w:tcW w:w="1260" w:type="dxa"/>
            <w:tcBorders>
              <w:bottom w:val="single" w:sz="4" w:space="0" w:color="000000"/>
            </w:tcBorders>
            <w:vAlign w:val="center"/>
          </w:tcPr>
          <w:p w14:paraId="2DCEA70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BEAD12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A666038" w14:textId="77777777" w:rsidR="00000000" w:rsidRDefault="00000000">
            <w:pPr>
              <w:spacing w:before="60" w:after="60"/>
              <w:rPr>
                <w:rFonts w:eastAsia="Calibri"/>
                <w:b/>
                <w:szCs w:val="24"/>
              </w:rPr>
            </w:pPr>
            <w:r>
              <w:rPr>
                <w:rFonts w:eastAsia="Calibri"/>
                <w:b/>
                <w:szCs w:val="24"/>
              </w:rPr>
              <w:t>Definition</w:t>
            </w:r>
          </w:p>
        </w:tc>
      </w:tr>
      <w:tr w:rsidR="00EE59E2" w14:paraId="186075A1" w14:textId="77777777">
        <w:trPr>
          <w:cantSplit/>
          <w:trHeight w:val="964"/>
        </w:trPr>
        <w:tc>
          <w:tcPr>
            <w:tcW w:w="1260" w:type="dxa"/>
            <w:tcBorders>
              <w:bottom w:val="single" w:sz="4" w:space="0" w:color="000000"/>
            </w:tcBorders>
            <w:shd w:val="clear" w:color="0066FF" w:fill="0000FF"/>
            <w:vAlign w:val="center"/>
          </w:tcPr>
          <w:p w14:paraId="15CE1EF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F85C69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A213E5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E59E2" w14:paraId="1016B80F" w14:textId="77777777">
        <w:trPr>
          <w:cantSplit/>
          <w:trHeight w:val="964"/>
        </w:trPr>
        <w:tc>
          <w:tcPr>
            <w:tcW w:w="1260" w:type="dxa"/>
            <w:shd w:val="clear" w:color="33CC33" w:fill="00FF00"/>
            <w:vAlign w:val="center"/>
          </w:tcPr>
          <w:p w14:paraId="478D70EA" w14:textId="77777777" w:rsidR="00000000" w:rsidRDefault="00000000">
            <w:pPr>
              <w:spacing w:before="60" w:after="60"/>
              <w:rPr>
                <w:rFonts w:eastAsia="Calibri"/>
                <w:szCs w:val="24"/>
              </w:rPr>
            </w:pPr>
          </w:p>
        </w:tc>
        <w:tc>
          <w:tcPr>
            <w:tcW w:w="7095" w:type="dxa"/>
            <w:shd w:val="clear" w:color="auto" w:fill="auto"/>
            <w:vAlign w:val="center"/>
          </w:tcPr>
          <w:p w14:paraId="1831892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67E70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E59E2" w14:paraId="3E1752FC" w14:textId="77777777">
        <w:trPr>
          <w:cantSplit/>
          <w:trHeight w:val="964"/>
        </w:trPr>
        <w:tc>
          <w:tcPr>
            <w:tcW w:w="1260" w:type="dxa"/>
            <w:tcBorders>
              <w:bottom w:val="single" w:sz="4" w:space="0" w:color="000000"/>
            </w:tcBorders>
            <w:shd w:val="clear" w:color="auto" w:fill="FFFF00"/>
            <w:vAlign w:val="center"/>
          </w:tcPr>
          <w:p w14:paraId="529FD9FC" w14:textId="77777777" w:rsidR="00000000" w:rsidRDefault="00000000">
            <w:pPr>
              <w:spacing w:before="60" w:after="60"/>
              <w:rPr>
                <w:rFonts w:eastAsia="Calibri"/>
                <w:szCs w:val="24"/>
              </w:rPr>
            </w:pPr>
          </w:p>
        </w:tc>
        <w:tc>
          <w:tcPr>
            <w:tcW w:w="7095" w:type="dxa"/>
            <w:shd w:val="clear" w:color="auto" w:fill="auto"/>
            <w:vAlign w:val="center"/>
          </w:tcPr>
          <w:p w14:paraId="597A7DC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B37FDF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E59E2" w14:paraId="4B79BB64" w14:textId="77777777">
        <w:trPr>
          <w:cantSplit/>
          <w:trHeight w:val="964"/>
        </w:trPr>
        <w:tc>
          <w:tcPr>
            <w:tcW w:w="1260" w:type="dxa"/>
            <w:tcBorders>
              <w:bottom w:val="single" w:sz="4" w:space="0" w:color="000000"/>
            </w:tcBorders>
            <w:shd w:val="clear" w:color="auto" w:fill="FFC800"/>
            <w:vAlign w:val="center"/>
          </w:tcPr>
          <w:p w14:paraId="1FD76E5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6B1669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BA486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E59E2" w14:paraId="44015794" w14:textId="77777777">
        <w:trPr>
          <w:cantSplit/>
          <w:trHeight w:val="964"/>
        </w:trPr>
        <w:tc>
          <w:tcPr>
            <w:tcW w:w="1260" w:type="dxa"/>
            <w:shd w:val="clear" w:color="auto" w:fill="FF0000"/>
            <w:vAlign w:val="center"/>
          </w:tcPr>
          <w:p w14:paraId="1816C8EB" w14:textId="77777777" w:rsidR="00000000" w:rsidRDefault="00000000">
            <w:pPr>
              <w:spacing w:before="60" w:after="60"/>
              <w:rPr>
                <w:rFonts w:eastAsia="Calibri"/>
                <w:szCs w:val="24"/>
              </w:rPr>
            </w:pPr>
          </w:p>
        </w:tc>
        <w:tc>
          <w:tcPr>
            <w:tcW w:w="7095" w:type="dxa"/>
            <w:shd w:val="clear" w:color="auto" w:fill="auto"/>
            <w:vAlign w:val="center"/>
          </w:tcPr>
          <w:p w14:paraId="3D268DD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1BC92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289A442" w14:textId="77777777" w:rsidR="00000000" w:rsidRDefault="00000000">
      <w:pPr>
        <w:pStyle w:val="Heading2"/>
        <w:spacing w:after="0"/>
        <w:rPr>
          <w:rFonts w:cs="Arial"/>
        </w:rPr>
      </w:pPr>
      <w:r>
        <w:rPr>
          <w:rFonts w:cs="Arial"/>
        </w:rPr>
        <w:t>General overview of the audit</w:t>
      </w:r>
    </w:p>
    <w:p w14:paraId="756F2322" w14:textId="77777777" w:rsidR="00000000" w:rsidRDefault="00000000">
      <w:pPr>
        <w:spacing w:before="240" w:line="276" w:lineRule="auto"/>
        <w:rPr>
          <w:rFonts w:eastAsia="Calibri"/>
        </w:rPr>
      </w:pPr>
      <w:bookmarkStart w:id="13" w:name="GeneralOverview"/>
      <w:r w:rsidRPr="00A4268A">
        <w:rPr>
          <w:rFonts w:eastAsia="Calibri"/>
        </w:rPr>
        <w:t>New Zealand Aged Care Services – (Dunblane Lifecare) provides rest home, hospital and dementia care services for up to 78 residents. No significant changes have occurred since the previous audit.</w:t>
      </w:r>
    </w:p>
    <w:p w14:paraId="43A3C12C" w14:textId="77777777" w:rsidR="00EE59E2"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Standard 8134:2021 and the contracts the service holds with Health New Zealand – Te Whatu Ora Tairāwhiti (Te Whatu Ora Tairāwhiti). It included review of policies and procedures, review of residents’ and staff files, observations and interviews with residents, whānau members, governance representatives, managers, staff, contracted allied health providers and a general practitioner.  Residents and whānau were complimentary about the care provided.</w:t>
      </w:r>
    </w:p>
    <w:p w14:paraId="7C367C17" w14:textId="77777777" w:rsidR="00EE59E2" w:rsidRPr="00A4268A" w:rsidRDefault="00000000">
      <w:pPr>
        <w:spacing w:before="240" w:line="276" w:lineRule="auto"/>
        <w:rPr>
          <w:rFonts w:eastAsia="Calibri"/>
        </w:rPr>
      </w:pPr>
      <w:r w:rsidRPr="00A4268A">
        <w:rPr>
          <w:rFonts w:eastAsia="Calibri"/>
        </w:rPr>
        <w:t>Improvements are required in relation to the implementation of Te Whare Tapa Whā model of care, the completion of staff competencies and training on cultural safety, Te Tiriti o Waitangi and equity, ensuring validation and recording of annual practising certificates for health professionals, staff orientation, performance appraisals and completion of  the code of conduct forms.  Improvements are also required to ensure care plans are completed and that activities plans cover the 24-hour period, and are implemented in the dementia care service, and that the programme is overseen by a diversional therapist.  Additionally, improvements are required in relation to annual training for staff administering medicines and records of completion of emergency management training.</w:t>
      </w:r>
    </w:p>
    <w:bookmarkEnd w:id="13"/>
    <w:p w14:paraId="514366A8" w14:textId="77777777" w:rsidR="00EE59E2" w:rsidRPr="00A4268A" w:rsidRDefault="00EE59E2">
      <w:pPr>
        <w:spacing w:before="240" w:line="276" w:lineRule="auto"/>
        <w:rPr>
          <w:rFonts w:eastAsia="Calibri"/>
        </w:rPr>
      </w:pPr>
    </w:p>
    <w:p w14:paraId="21C60EE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59E2" w14:paraId="47AE22F0" w14:textId="77777777" w:rsidTr="00A4268A">
        <w:trPr>
          <w:cantSplit/>
        </w:trPr>
        <w:tc>
          <w:tcPr>
            <w:tcW w:w="10206" w:type="dxa"/>
            <w:vAlign w:val="center"/>
          </w:tcPr>
          <w:p w14:paraId="46358B0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237BB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5F4DCBB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68DC43D"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7E7F35AA" w14:textId="77777777" w:rsidR="00000000" w:rsidRDefault="00000000">
      <w:pPr>
        <w:spacing w:before="240" w:line="276" w:lineRule="auto"/>
        <w:rPr>
          <w:rFonts w:eastAsia="Calibri"/>
        </w:rPr>
      </w:pPr>
      <w:bookmarkStart w:id="16" w:name="ConsumerRights"/>
      <w:r w:rsidRPr="00A4268A">
        <w:rPr>
          <w:rFonts w:eastAsia="Calibri"/>
        </w:rPr>
        <w:t xml:space="preserve">Dunblane Lifecare works collaboratively to support and encourage a Māori worldview of health in service delivery. Māori are provided with equitable and effective services based on Te Tiriti o Waitangi and the principles of mana motuhake. </w:t>
      </w:r>
    </w:p>
    <w:p w14:paraId="713AAAD9" w14:textId="77777777" w:rsidR="00EE59E2"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2B93CD7" w14:textId="77777777" w:rsidR="00EE59E2"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were respected and supported. Management staff have completed Te Tiriti o Waitangi training, which is reflected in day-to-day service delivery.  Staff are yet to all complete the relevant training. Residents were safe from abuse.</w:t>
      </w:r>
    </w:p>
    <w:p w14:paraId="4760079B" w14:textId="77777777" w:rsidR="00EE59E2"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4A1096C1" w14:textId="77777777" w:rsidR="00EE59E2"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797454F5" w14:textId="77777777" w:rsidR="00EE59E2" w:rsidRPr="00A4268A" w:rsidRDefault="00EE59E2">
      <w:pPr>
        <w:spacing w:before="240" w:line="276" w:lineRule="auto"/>
        <w:rPr>
          <w:rFonts w:eastAsia="Calibri"/>
        </w:rPr>
      </w:pPr>
    </w:p>
    <w:p w14:paraId="7EEC3BF4"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59E2" w14:paraId="77FE1BBF" w14:textId="77777777" w:rsidTr="00A4268A">
        <w:trPr>
          <w:cantSplit/>
        </w:trPr>
        <w:tc>
          <w:tcPr>
            <w:tcW w:w="10206" w:type="dxa"/>
            <w:vAlign w:val="center"/>
          </w:tcPr>
          <w:p w14:paraId="47C4F0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9532D5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FF376D"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A7B75B4"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1D5F7C65" w14:textId="77777777" w:rsidR="00EE59E2"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333E7C9" w14:textId="77777777" w:rsidR="00EE59E2"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294FF398" w14:textId="77777777" w:rsidR="00EE59E2"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7B40E582" w14:textId="77777777" w:rsidR="00EE59E2"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to ensure adequate staff coverage.  Orientation was not recorded in the records reviewed. </w:t>
      </w:r>
    </w:p>
    <w:p w14:paraId="03B19D86" w14:textId="77777777" w:rsidR="00EE59E2"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4FF4C35E" w14:textId="77777777" w:rsidR="00EE59E2" w:rsidRPr="00A4268A" w:rsidRDefault="00EE59E2">
      <w:pPr>
        <w:spacing w:before="240" w:line="276" w:lineRule="auto"/>
        <w:rPr>
          <w:rFonts w:eastAsia="Calibri"/>
        </w:rPr>
      </w:pPr>
    </w:p>
    <w:p w14:paraId="7BF7D4FF"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59E2" w14:paraId="62942A03" w14:textId="77777777" w:rsidTr="00A4268A">
        <w:trPr>
          <w:cantSplit/>
        </w:trPr>
        <w:tc>
          <w:tcPr>
            <w:tcW w:w="10206" w:type="dxa"/>
            <w:vAlign w:val="center"/>
          </w:tcPr>
          <w:p w14:paraId="6DB3316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E7AEC2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CC23C68"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91C92D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08398B69" w14:textId="77777777" w:rsidR="00EE59E2"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based on comprehensive information and accommodated any new problems that arose.  Files reviewed demonstrated that care met the needs of residents and whānau and was evaluated on a regular and timely basis. </w:t>
      </w:r>
    </w:p>
    <w:p w14:paraId="22A5FE0F" w14:textId="77777777" w:rsidR="00EE59E2" w:rsidRPr="00A4268A" w:rsidRDefault="00000000" w:rsidP="00621629">
      <w:pPr>
        <w:spacing w:before="240" w:line="276" w:lineRule="auto"/>
        <w:rPr>
          <w:rFonts w:eastAsia="Calibri"/>
        </w:rPr>
      </w:pPr>
      <w:r w:rsidRPr="00A4268A">
        <w:rPr>
          <w:rFonts w:eastAsia="Calibri"/>
        </w:rPr>
        <w:t>In the rest home and hospital wings residents are supported to maintain and develop their interests and participate in meaningful community and social activities suitable to their age and stage of life.</w:t>
      </w:r>
    </w:p>
    <w:p w14:paraId="551040CB" w14:textId="77777777" w:rsidR="00EE59E2" w:rsidRPr="00A4268A" w:rsidRDefault="00000000" w:rsidP="00621629">
      <w:pPr>
        <w:spacing w:before="240" w:line="276" w:lineRule="auto"/>
        <w:rPr>
          <w:rFonts w:eastAsia="Calibri"/>
        </w:rPr>
      </w:pPr>
      <w:r w:rsidRPr="00A4268A">
        <w:rPr>
          <w:rFonts w:eastAsia="Calibri"/>
        </w:rPr>
        <w:t xml:space="preserve">Medicines are safely managed. Staff understood their responsibilities, as guided by the medication management policy and procedures. </w:t>
      </w:r>
    </w:p>
    <w:p w14:paraId="6B928030" w14:textId="77777777" w:rsidR="00EE59E2"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6E4CA679" w14:textId="77777777" w:rsidR="00EE59E2"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D9B65AC" w14:textId="77777777" w:rsidR="00EE59E2" w:rsidRPr="00A4268A" w:rsidRDefault="00EE59E2" w:rsidP="00621629">
      <w:pPr>
        <w:spacing w:before="240" w:line="276" w:lineRule="auto"/>
        <w:rPr>
          <w:rFonts w:eastAsia="Calibri"/>
        </w:rPr>
      </w:pPr>
    </w:p>
    <w:p w14:paraId="1D9838C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59E2" w14:paraId="3036074D" w14:textId="77777777" w:rsidTr="00A4268A">
        <w:trPr>
          <w:cantSplit/>
        </w:trPr>
        <w:tc>
          <w:tcPr>
            <w:tcW w:w="10206" w:type="dxa"/>
            <w:vAlign w:val="center"/>
          </w:tcPr>
          <w:p w14:paraId="73C5D9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82C01E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B51E7CB"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3C2E36D"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069B86E5" w14:textId="77777777" w:rsidR="00EE59E2" w:rsidRPr="00A4268A" w:rsidRDefault="00000000">
      <w:pPr>
        <w:spacing w:before="240" w:line="276" w:lineRule="auto"/>
        <w:rPr>
          <w:rFonts w:eastAsia="Calibri"/>
        </w:rPr>
      </w:pPr>
      <w:r w:rsidRPr="00A4268A">
        <w:rPr>
          <w:rFonts w:eastAsia="Calibri"/>
        </w:rPr>
        <w:t>Staff are trained in fire emergency procedures, use of emergency fire equipment and attend regular fire drills however civil defence emergency training was not documented.  Staff, residents and whānau interviewed understood fire emergency and security arrangements. Residents and whānau reported a timely staff response to call bells.  Security is maintained.</w:t>
      </w:r>
    </w:p>
    <w:bookmarkEnd w:id="25"/>
    <w:p w14:paraId="1792BECF" w14:textId="77777777" w:rsidR="00EE59E2" w:rsidRPr="00A4268A" w:rsidRDefault="00EE59E2">
      <w:pPr>
        <w:spacing w:before="240" w:line="276" w:lineRule="auto"/>
        <w:rPr>
          <w:rFonts w:eastAsia="Calibri"/>
        </w:rPr>
      </w:pPr>
    </w:p>
    <w:p w14:paraId="73AEC6D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59E2" w14:paraId="0597B20D" w14:textId="77777777" w:rsidTr="00A4268A">
        <w:trPr>
          <w:cantSplit/>
        </w:trPr>
        <w:tc>
          <w:tcPr>
            <w:tcW w:w="10206" w:type="dxa"/>
            <w:vAlign w:val="center"/>
          </w:tcPr>
          <w:p w14:paraId="130F166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4DC11D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9A622F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796542C"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4D27DF58" w14:textId="77777777" w:rsidR="00EE59E2"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0DB01820" w14:textId="77777777" w:rsidR="00EE59E2"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 response plan.</w:t>
      </w:r>
    </w:p>
    <w:p w14:paraId="379A3F58" w14:textId="77777777" w:rsidR="00EE59E2"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337CE3E4" w14:textId="77777777" w:rsidR="00EE59E2"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593F8242" w14:textId="77777777" w:rsidR="00EE59E2" w:rsidRPr="00A4268A" w:rsidRDefault="00EE59E2">
      <w:pPr>
        <w:spacing w:before="240" w:line="276" w:lineRule="auto"/>
        <w:rPr>
          <w:rFonts w:eastAsia="Calibri"/>
        </w:rPr>
      </w:pPr>
    </w:p>
    <w:p w14:paraId="7475156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59E2" w14:paraId="669A6FF8" w14:textId="77777777" w:rsidTr="00A4268A">
        <w:trPr>
          <w:cantSplit/>
        </w:trPr>
        <w:tc>
          <w:tcPr>
            <w:tcW w:w="10206" w:type="dxa"/>
            <w:vAlign w:val="center"/>
          </w:tcPr>
          <w:p w14:paraId="4AC34B8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134CFD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216FAA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DC669BD"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residents using restraints at the time of audit.  </w:t>
      </w:r>
    </w:p>
    <w:p w14:paraId="4FD36009" w14:textId="77777777" w:rsidR="00EE59E2"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7B181414" w14:textId="77777777" w:rsidR="00EE59E2" w:rsidRPr="00A4268A" w:rsidRDefault="00EE59E2">
      <w:pPr>
        <w:spacing w:before="240" w:line="276" w:lineRule="auto"/>
        <w:rPr>
          <w:rFonts w:eastAsia="Calibri"/>
        </w:rPr>
      </w:pPr>
    </w:p>
    <w:p w14:paraId="65C74929" w14:textId="77777777" w:rsidR="00000000" w:rsidRDefault="00000000" w:rsidP="000E6E02">
      <w:pPr>
        <w:pStyle w:val="Heading2"/>
        <w:spacing w:before="0"/>
        <w:rPr>
          <w:rFonts w:cs="Arial"/>
        </w:rPr>
      </w:pPr>
      <w:r>
        <w:rPr>
          <w:rFonts w:cs="Arial"/>
        </w:rPr>
        <w:t>Summary of attainment</w:t>
      </w:r>
    </w:p>
    <w:p w14:paraId="294E9A8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E59E2" w14:paraId="5E83D6A9" w14:textId="77777777">
        <w:tc>
          <w:tcPr>
            <w:tcW w:w="1384" w:type="dxa"/>
            <w:vAlign w:val="center"/>
          </w:tcPr>
          <w:p w14:paraId="478A6DA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49D863F" w14:textId="77777777" w:rsidR="00000000" w:rsidRDefault="00000000">
            <w:pPr>
              <w:keepNext/>
              <w:spacing w:before="60" w:after="60"/>
              <w:jc w:val="center"/>
              <w:rPr>
                <w:rFonts w:cs="Arial"/>
                <w:b/>
                <w:sz w:val="20"/>
                <w:szCs w:val="20"/>
              </w:rPr>
            </w:pPr>
            <w:r>
              <w:rPr>
                <w:rFonts w:cs="Arial"/>
                <w:b/>
                <w:sz w:val="20"/>
                <w:szCs w:val="20"/>
              </w:rPr>
              <w:t>Continuous Improvement</w:t>
            </w:r>
          </w:p>
          <w:p w14:paraId="4A33EBE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4EE3F5B" w14:textId="77777777" w:rsidR="00000000" w:rsidRDefault="00000000">
            <w:pPr>
              <w:keepNext/>
              <w:spacing w:before="60" w:after="60"/>
              <w:jc w:val="center"/>
              <w:rPr>
                <w:rFonts w:cs="Arial"/>
                <w:b/>
                <w:sz w:val="20"/>
                <w:szCs w:val="20"/>
              </w:rPr>
            </w:pPr>
            <w:r>
              <w:rPr>
                <w:rFonts w:cs="Arial"/>
                <w:b/>
                <w:sz w:val="20"/>
                <w:szCs w:val="20"/>
              </w:rPr>
              <w:t>Fully Attained</w:t>
            </w:r>
          </w:p>
          <w:p w14:paraId="03016D9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8D6D48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4A5587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63F373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235904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BED753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FB7D03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9BBE87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8D2A55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41E526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A4BF1B0" w14:textId="77777777" w:rsidR="00000000" w:rsidRDefault="00000000">
            <w:pPr>
              <w:keepNext/>
              <w:spacing w:before="60" w:after="60"/>
              <w:jc w:val="center"/>
              <w:rPr>
                <w:rFonts w:cs="Arial"/>
                <w:b/>
                <w:sz w:val="20"/>
                <w:szCs w:val="20"/>
              </w:rPr>
            </w:pPr>
            <w:r>
              <w:rPr>
                <w:rFonts w:cs="Arial"/>
                <w:b/>
                <w:sz w:val="20"/>
                <w:szCs w:val="20"/>
              </w:rPr>
              <w:t>(PA Critical)</w:t>
            </w:r>
          </w:p>
        </w:tc>
      </w:tr>
      <w:tr w:rsidR="00EE59E2" w14:paraId="05F3FCC8" w14:textId="77777777">
        <w:tc>
          <w:tcPr>
            <w:tcW w:w="1384" w:type="dxa"/>
            <w:vAlign w:val="center"/>
          </w:tcPr>
          <w:p w14:paraId="02CEF68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D53AF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43007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3076196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DB8FFB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8</w:t>
            </w:r>
            <w:bookmarkEnd w:id="35"/>
          </w:p>
        </w:tc>
        <w:tc>
          <w:tcPr>
            <w:tcW w:w="1843" w:type="dxa"/>
            <w:vAlign w:val="center"/>
          </w:tcPr>
          <w:p w14:paraId="7D363ED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51646A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2A2431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E59E2" w14:paraId="4830B834" w14:textId="77777777">
        <w:tc>
          <w:tcPr>
            <w:tcW w:w="1384" w:type="dxa"/>
            <w:vAlign w:val="center"/>
          </w:tcPr>
          <w:p w14:paraId="7C35461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2CDE9F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095A93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188A29F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7794B1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10</w:t>
            </w:r>
            <w:bookmarkEnd w:id="42"/>
          </w:p>
        </w:tc>
        <w:tc>
          <w:tcPr>
            <w:tcW w:w="1843" w:type="dxa"/>
            <w:vAlign w:val="center"/>
          </w:tcPr>
          <w:p w14:paraId="5342811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95EC04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303E9E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177DB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E59E2" w14:paraId="64A12E05" w14:textId="77777777">
        <w:tc>
          <w:tcPr>
            <w:tcW w:w="1384" w:type="dxa"/>
            <w:vAlign w:val="center"/>
          </w:tcPr>
          <w:p w14:paraId="703E58E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2E6639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B86D26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E425E47" w14:textId="77777777" w:rsidR="00000000" w:rsidRDefault="00000000">
            <w:pPr>
              <w:keepNext/>
              <w:spacing w:before="60" w:after="60"/>
              <w:jc w:val="center"/>
              <w:rPr>
                <w:rFonts w:cs="Arial"/>
                <w:b/>
                <w:sz w:val="20"/>
                <w:szCs w:val="20"/>
              </w:rPr>
            </w:pPr>
            <w:r>
              <w:rPr>
                <w:rFonts w:cs="Arial"/>
                <w:b/>
                <w:sz w:val="20"/>
                <w:szCs w:val="20"/>
              </w:rPr>
              <w:t>Unattained Low Risk</w:t>
            </w:r>
          </w:p>
          <w:p w14:paraId="5327D81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A997512" w14:textId="77777777" w:rsidR="00000000" w:rsidRDefault="00000000">
            <w:pPr>
              <w:keepNext/>
              <w:spacing w:before="60" w:after="60"/>
              <w:jc w:val="center"/>
              <w:rPr>
                <w:rFonts w:cs="Arial"/>
                <w:b/>
                <w:sz w:val="20"/>
                <w:szCs w:val="20"/>
              </w:rPr>
            </w:pPr>
            <w:r>
              <w:rPr>
                <w:rFonts w:cs="Arial"/>
                <w:b/>
                <w:sz w:val="20"/>
                <w:szCs w:val="20"/>
              </w:rPr>
              <w:t>Unattained Moderate Risk</w:t>
            </w:r>
          </w:p>
          <w:p w14:paraId="2C2D0C6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741B597" w14:textId="77777777" w:rsidR="00000000" w:rsidRDefault="00000000">
            <w:pPr>
              <w:keepNext/>
              <w:spacing w:before="60" w:after="60"/>
              <w:jc w:val="center"/>
              <w:rPr>
                <w:rFonts w:cs="Arial"/>
                <w:b/>
                <w:sz w:val="20"/>
                <w:szCs w:val="20"/>
              </w:rPr>
            </w:pPr>
            <w:r>
              <w:rPr>
                <w:rFonts w:cs="Arial"/>
                <w:b/>
                <w:sz w:val="20"/>
                <w:szCs w:val="20"/>
              </w:rPr>
              <w:t>Unattained High Risk</w:t>
            </w:r>
          </w:p>
          <w:p w14:paraId="0EE04A7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D9533DC" w14:textId="77777777" w:rsidR="00000000" w:rsidRDefault="00000000">
            <w:pPr>
              <w:keepNext/>
              <w:spacing w:before="60" w:after="60"/>
              <w:jc w:val="center"/>
              <w:rPr>
                <w:rFonts w:cs="Arial"/>
                <w:b/>
                <w:sz w:val="20"/>
                <w:szCs w:val="20"/>
              </w:rPr>
            </w:pPr>
            <w:r>
              <w:rPr>
                <w:rFonts w:cs="Arial"/>
                <w:b/>
                <w:sz w:val="20"/>
                <w:szCs w:val="20"/>
              </w:rPr>
              <w:t>Unattained Critical Risk</w:t>
            </w:r>
          </w:p>
          <w:p w14:paraId="6FF35217" w14:textId="77777777" w:rsidR="00000000" w:rsidRDefault="00000000">
            <w:pPr>
              <w:keepNext/>
              <w:spacing w:before="60" w:after="60"/>
              <w:jc w:val="center"/>
              <w:rPr>
                <w:rFonts w:cs="Arial"/>
                <w:b/>
                <w:sz w:val="20"/>
                <w:szCs w:val="20"/>
              </w:rPr>
            </w:pPr>
            <w:r>
              <w:rPr>
                <w:rFonts w:cs="Arial"/>
                <w:b/>
                <w:sz w:val="20"/>
                <w:szCs w:val="20"/>
              </w:rPr>
              <w:t>(UA Critical)</w:t>
            </w:r>
          </w:p>
        </w:tc>
      </w:tr>
      <w:tr w:rsidR="00EE59E2" w14:paraId="248DFB36" w14:textId="77777777">
        <w:tc>
          <w:tcPr>
            <w:tcW w:w="1384" w:type="dxa"/>
            <w:vAlign w:val="center"/>
          </w:tcPr>
          <w:p w14:paraId="166F64C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A7A4D3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F1C4F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61D630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06E2CE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DBDC72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E59E2" w14:paraId="7C87C54E" w14:textId="77777777">
        <w:tc>
          <w:tcPr>
            <w:tcW w:w="1384" w:type="dxa"/>
            <w:vAlign w:val="center"/>
          </w:tcPr>
          <w:p w14:paraId="75EB0A9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5019FF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61A1D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E898A6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D900D4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A593D0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FA93A4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A2D498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66984A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912A34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9"/>
        <w:gridCol w:w="6204"/>
      </w:tblGrid>
      <w:tr w:rsidR="00EE59E2" w14:paraId="3AAB6167" w14:textId="77777777">
        <w:tc>
          <w:tcPr>
            <w:tcW w:w="0" w:type="auto"/>
          </w:tcPr>
          <w:p w14:paraId="4B0EC5D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0C99E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DD1CE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E59E2" w14:paraId="44D9C067" w14:textId="77777777">
        <w:tc>
          <w:tcPr>
            <w:tcW w:w="0" w:type="auto"/>
          </w:tcPr>
          <w:p w14:paraId="5BC473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A9C437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7D4EF97" w14:textId="77777777" w:rsidR="00000000" w:rsidRPr="00BE00C7" w:rsidRDefault="00000000" w:rsidP="00BE00C7">
            <w:pPr>
              <w:pStyle w:val="OutcomeDescription"/>
              <w:spacing w:before="120" w:after="120"/>
              <w:rPr>
                <w:rFonts w:cs="Arial"/>
                <w:lang w:eastAsia="en-NZ"/>
              </w:rPr>
            </w:pPr>
          </w:p>
        </w:tc>
        <w:tc>
          <w:tcPr>
            <w:tcW w:w="0" w:type="auto"/>
          </w:tcPr>
          <w:p w14:paraId="3EF8590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87B83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Dunblane Lifecare had developed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A Māori health plan has been developed with input from cultural advisers and is used for residents who identify as Māori.  The organisation had adopted Te Whare Tapa Whā model of care; however, this had not been implemented in the care plans of the significant number of residents who identified as Māori (33). This was identified as an area for improvement.  </w:t>
            </w:r>
          </w:p>
          <w:p w14:paraId="15822CD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 Tikanga best practice flip charts were sighted throughout the facility.</w:t>
            </w:r>
          </w:p>
          <w:p w14:paraId="3DFFF27A"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The care home manager identified as Māori and spoke te reo Māori.  Staff ethnicity data is documented on recruitment and trended.</w:t>
            </w:r>
          </w:p>
          <w:p w14:paraId="1F060425" w14:textId="77777777" w:rsidR="00000000" w:rsidRPr="00BE00C7" w:rsidRDefault="00000000" w:rsidP="00BE00C7">
            <w:pPr>
              <w:pStyle w:val="OutcomeDescription"/>
              <w:spacing w:before="120" w:after="120"/>
              <w:rPr>
                <w:rFonts w:cs="Arial"/>
                <w:lang w:eastAsia="en-NZ"/>
              </w:rPr>
            </w:pPr>
          </w:p>
        </w:tc>
      </w:tr>
      <w:tr w:rsidR="00EE59E2" w14:paraId="76EC0F5A" w14:textId="77777777">
        <w:tc>
          <w:tcPr>
            <w:tcW w:w="0" w:type="auto"/>
          </w:tcPr>
          <w:p w14:paraId="70B71B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BB0FA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F8EB6C4" w14:textId="77777777" w:rsidR="00000000" w:rsidRPr="00BE00C7" w:rsidRDefault="00000000" w:rsidP="00BE00C7">
            <w:pPr>
              <w:pStyle w:val="OutcomeDescription"/>
              <w:spacing w:before="120" w:after="120"/>
              <w:rPr>
                <w:rFonts w:cs="Arial"/>
                <w:lang w:eastAsia="en-NZ"/>
              </w:rPr>
            </w:pPr>
          </w:p>
        </w:tc>
        <w:tc>
          <w:tcPr>
            <w:tcW w:w="0" w:type="auto"/>
          </w:tcPr>
          <w:p w14:paraId="71063B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32A19E" w14:textId="77777777" w:rsidR="00000000" w:rsidRPr="00BE00C7" w:rsidRDefault="00000000" w:rsidP="00BE00C7">
            <w:pPr>
              <w:pStyle w:val="OutcomeDescription"/>
              <w:spacing w:before="120" w:after="120"/>
              <w:rPr>
                <w:rFonts w:cs="Arial"/>
                <w:lang w:eastAsia="en-NZ"/>
              </w:rPr>
            </w:pPr>
            <w:r w:rsidRPr="00BE00C7">
              <w:rPr>
                <w:rFonts w:cs="Arial"/>
                <w:lang w:eastAsia="en-NZ"/>
              </w:rPr>
              <w:t>Dunblane Lifecare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 The organisation has adopted a Pacific model of care for any residents who identify as Pacific people.</w:t>
            </w:r>
          </w:p>
          <w:p w14:paraId="0C6EDD47" w14:textId="77777777" w:rsidR="00000000" w:rsidRPr="00BE00C7" w:rsidRDefault="00000000" w:rsidP="00BE00C7">
            <w:pPr>
              <w:pStyle w:val="OutcomeDescription"/>
              <w:spacing w:before="120" w:after="120"/>
              <w:rPr>
                <w:rFonts w:cs="Arial"/>
                <w:lang w:eastAsia="en-NZ"/>
              </w:rPr>
            </w:pPr>
            <w:r w:rsidRPr="00BE00C7">
              <w:rPr>
                <w:rFonts w:cs="Arial"/>
                <w:lang w:eastAsia="en-NZ"/>
              </w:rPr>
              <w:t>Pacific staff interviewed felt that Pacific people’s worldview, and cultural and spiritual beliefs were embraced in the policies reviewed.</w:t>
            </w:r>
          </w:p>
          <w:p w14:paraId="142BAD16"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with Pacific staff being employed across roles.  There were no residents who identified as Pacific people on the day of the audit.</w:t>
            </w:r>
          </w:p>
          <w:p w14:paraId="6A9BD29F" w14:textId="77777777" w:rsidR="00000000" w:rsidRPr="00BE00C7" w:rsidRDefault="00000000" w:rsidP="00BE00C7">
            <w:pPr>
              <w:pStyle w:val="OutcomeDescription"/>
              <w:spacing w:before="120" w:after="120"/>
              <w:rPr>
                <w:rFonts w:cs="Arial"/>
                <w:lang w:eastAsia="en-NZ"/>
              </w:rPr>
            </w:pPr>
          </w:p>
        </w:tc>
      </w:tr>
      <w:tr w:rsidR="00EE59E2" w14:paraId="2DB38A80" w14:textId="77777777">
        <w:tc>
          <w:tcPr>
            <w:tcW w:w="0" w:type="auto"/>
          </w:tcPr>
          <w:p w14:paraId="5915D7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5FDC6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3A991C1" w14:textId="77777777" w:rsidR="00000000" w:rsidRPr="00BE00C7" w:rsidRDefault="00000000" w:rsidP="00BE00C7">
            <w:pPr>
              <w:pStyle w:val="OutcomeDescription"/>
              <w:spacing w:before="120" w:after="120"/>
              <w:rPr>
                <w:rFonts w:cs="Arial"/>
                <w:lang w:eastAsia="en-NZ"/>
              </w:rPr>
            </w:pPr>
          </w:p>
        </w:tc>
        <w:tc>
          <w:tcPr>
            <w:tcW w:w="0" w:type="auto"/>
          </w:tcPr>
          <w:p w14:paraId="7B4983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3E70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Posters of the Code in English, te reo Māori and New Zealand Sign Language were posted around the facility. </w:t>
            </w:r>
          </w:p>
          <w:p w14:paraId="4C601E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1E836692"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was observed in service delivery, as confirmed in interviews with residents and whānau.</w:t>
            </w:r>
          </w:p>
          <w:p w14:paraId="3202BA58" w14:textId="77777777" w:rsidR="00000000" w:rsidRPr="00BE00C7" w:rsidRDefault="00000000" w:rsidP="00BE00C7">
            <w:pPr>
              <w:pStyle w:val="OutcomeDescription"/>
              <w:spacing w:before="120" w:after="120"/>
              <w:rPr>
                <w:rFonts w:cs="Arial"/>
                <w:lang w:eastAsia="en-NZ"/>
              </w:rPr>
            </w:pPr>
          </w:p>
        </w:tc>
      </w:tr>
      <w:tr w:rsidR="00EE59E2" w14:paraId="294A8DB9" w14:textId="77777777">
        <w:tc>
          <w:tcPr>
            <w:tcW w:w="0" w:type="auto"/>
          </w:tcPr>
          <w:p w14:paraId="5BD523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AC928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32299FCE" w14:textId="77777777" w:rsidR="00000000" w:rsidRPr="00BE00C7" w:rsidRDefault="00000000" w:rsidP="00BE00C7">
            <w:pPr>
              <w:pStyle w:val="OutcomeDescription"/>
              <w:spacing w:before="120" w:after="120"/>
              <w:rPr>
                <w:rFonts w:cs="Arial"/>
                <w:lang w:eastAsia="en-NZ"/>
              </w:rPr>
            </w:pPr>
          </w:p>
        </w:tc>
        <w:tc>
          <w:tcPr>
            <w:tcW w:w="0" w:type="auto"/>
          </w:tcPr>
          <w:p w14:paraId="01E475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47AD8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for people with disabilities, confirmed that they/their </w:t>
            </w:r>
            <w:r w:rsidRPr="00BE00C7">
              <w:rPr>
                <w:rFonts w:cs="Arial"/>
                <w:lang w:eastAsia="en-NZ"/>
              </w:rPr>
              <w:lastRenderedPageBreak/>
              <w:t xml:space="preserve">relative received services in a manner that had regard for their dignity, gender, privacy, sexual orientation, spirituality and choices. </w:t>
            </w:r>
          </w:p>
          <w:p w14:paraId="67C70B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had a private room. </w:t>
            </w:r>
          </w:p>
          <w:p w14:paraId="5A1BE427"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were promoted within the service through the activities programme, care planning process, and te reo Māori information posted around the facility. Staff have not undertaken cultural safety education and/or Te Tiriti o Waitangi training, and this was identified as an area of improvement.</w:t>
            </w:r>
          </w:p>
          <w:p w14:paraId="7B0C86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2A94CB5E" w14:textId="77777777" w:rsidR="00000000" w:rsidRPr="00BE00C7" w:rsidRDefault="00000000" w:rsidP="00BE00C7">
            <w:pPr>
              <w:pStyle w:val="OutcomeDescription"/>
              <w:spacing w:before="120" w:after="120"/>
              <w:rPr>
                <w:rFonts w:cs="Arial"/>
                <w:lang w:eastAsia="en-NZ"/>
              </w:rPr>
            </w:pPr>
          </w:p>
        </w:tc>
      </w:tr>
      <w:tr w:rsidR="00EE59E2" w14:paraId="1C82BB47" w14:textId="77777777">
        <w:tc>
          <w:tcPr>
            <w:tcW w:w="0" w:type="auto"/>
          </w:tcPr>
          <w:p w14:paraId="2C2BAB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24C13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B843483" w14:textId="77777777" w:rsidR="00000000" w:rsidRPr="00BE00C7" w:rsidRDefault="00000000" w:rsidP="00BE00C7">
            <w:pPr>
              <w:pStyle w:val="OutcomeDescription"/>
              <w:spacing w:before="120" w:after="120"/>
              <w:rPr>
                <w:rFonts w:cs="Arial"/>
                <w:lang w:eastAsia="en-NZ"/>
              </w:rPr>
            </w:pPr>
          </w:p>
        </w:tc>
        <w:tc>
          <w:tcPr>
            <w:tcW w:w="0" w:type="auto"/>
          </w:tcPr>
          <w:p w14:paraId="79DF6E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9BB6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and whānau interviews, or in documentation reviewed.  </w:t>
            </w:r>
          </w:p>
          <w:p w14:paraId="6FBF6A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There was a ‘comfort account’ that residents could use to keep their money safe, if desired. The service was transitioning to using an external financial service provider for the management of residents' finances, if desired.</w:t>
            </w:r>
          </w:p>
          <w:p w14:paraId="1D66710C"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as verified by the residents and whānau.  Staff interviewed felt comfortable in raising any concerns in relation to institutional and systemic racism, and that any concerns would be acted upon. A strengths-based and holistic model of care was evident and included Te Whare Tapa Whā model of care. However, use of Te Whare Tapa Whā model of care was not implemented for residents who identified as Māori (refer to criterion 1.1.1).</w:t>
            </w:r>
          </w:p>
          <w:p w14:paraId="7E0B8F3B" w14:textId="77777777" w:rsidR="00000000" w:rsidRPr="00BE00C7" w:rsidRDefault="00000000" w:rsidP="00BE00C7">
            <w:pPr>
              <w:pStyle w:val="OutcomeDescription"/>
              <w:spacing w:before="120" w:after="120"/>
              <w:rPr>
                <w:rFonts w:cs="Arial"/>
                <w:lang w:eastAsia="en-NZ"/>
              </w:rPr>
            </w:pPr>
          </w:p>
        </w:tc>
      </w:tr>
      <w:tr w:rsidR="00EE59E2" w14:paraId="386C0393" w14:textId="77777777">
        <w:tc>
          <w:tcPr>
            <w:tcW w:w="0" w:type="auto"/>
          </w:tcPr>
          <w:p w14:paraId="5E575B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85FF2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3D422FF" w14:textId="77777777" w:rsidR="00000000" w:rsidRPr="00BE00C7" w:rsidRDefault="00000000" w:rsidP="00BE00C7">
            <w:pPr>
              <w:pStyle w:val="OutcomeDescription"/>
              <w:spacing w:before="120" w:after="120"/>
              <w:rPr>
                <w:rFonts w:cs="Arial"/>
                <w:lang w:eastAsia="en-NZ"/>
              </w:rPr>
            </w:pPr>
          </w:p>
        </w:tc>
        <w:tc>
          <w:tcPr>
            <w:tcW w:w="0" w:type="auto"/>
          </w:tcPr>
          <w:p w14:paraId="2C4F7C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695C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including young people with disabilities, whānau, and Enduring Powers of Attorney (EPOAs) for residents in the dementia </w:t>
            </w:r>
            <w:r w:rsidRPr="00BE00C7">
              <w:rPr>
                <w:rFonts w:cs="Arial"/>
                <w:lang w:eastAsia="en-NZ"/>
              </w:rPr>
              <w:lastRenderedPageBreak/>
              <w:t xml:space="preserve">unit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651AE8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544F20D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 Contact details of interpreter services were posted around the facility.</w:t>
            </w:r>
          </w:p>
          <w:p w14:paraId="7AAC209C" w14:textId="77777777" w:rsidR="00000000" w:rsidRPr="00BE00C7" w:rsidRDefault="00000000" w:rsidP="00BE00C7">
            <w:pPr>
              <w:pStyle w:val="OutcomeDescription"/>
              <w:spacing w:before="120" w:after="120"/>
              <w:rPr>
                <w:rFonts w:cs="Arial"/>
                <w:lang w:eastAsia="en-NZ"/>
              </w:rPr>
            </w:pPr>
          </w:p>
        </w:tc>
      </w:tr>
      <w:tr w:rsidR="00EE59E2" w14:paraId="104848D6" w14:textId="77777777">
        <w:tc>
          <w:tcPr>
            <w:tcW w:w="0" w:type="auto"/>
          </w:tcPr>
          <w:p w14:paraId="22D1DE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85060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E99F12A" w14:textId="77777777" w:rsidR="00000000" w:rsidRPr="00BE00C7" w:rsidRDefault="00000000" w:rsidP="00BE00C7">
            <w:pPr>
              <w:pStyle w:val="OutcomeDescription"/>
              <w:spacing w:before="120" w:after="120"/>
              <w:rPr>
                <w:rFonts w:cs="Arial"/>
                <w:lang w:eastAsia="en-NZ"/>
              </w:rPr>
            </w:pPr>
          </w:p>
        </w:tc>
        <w:tc>
          <w:tcPr>
            <w:tcW w:w="0" w:type="auto"/>
          </w:tcPr>
          <w:p w14:paraId="22C5BF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3F846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young people with disabilities and/or their legal representative are provided with the information necessary to make informed decisions. They felt empowered to actively participate in decision-making.  With the consent of the resident, whānau were included in decision-making. Signed admission agreements, general informed consent, and medical consent forms were available in residents’ records reviewed.</w:t>
            </w:r>
          </w:p>
          <w:p w14:paraId="7AC66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285A712B"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EPOAs were activated for residents in the dementia unit.</w:t>
            </w:r>
          </w:p>
          <w:p w14:paraId="30B44F05" w14:textId="77777777" w:rsidR="00000000" w:rsidRPr="00BE00C7" w:rsidRDefault="00000000" w:rsidP="00BE00C7">
            <w:pPr>
              <w:pStyle w:val="OutcomeDescription"/>
              <w:spacing w:before="120" w:after="120"/>
              <w:rPr>
                <w:rFonts w:cs="Arial"/>
                <w:lang w:eastAsia="en-NZ"/>
              </w:rPr>
            </w:pPr>
          </w:p>
        </w:tc>
      </w:tr>
      <w:tr w:rsidR="00EE59E2" w14:paraId="64350240" w14:textId="77777777">
        <w:tc>
          <w:tcPr>
            <w:tcW w:w="0" w:type="auto"/>
          </w:tcPr>
          <w:p w14:paraId="401F01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081AC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09BE008B" w14:textId="77777777" w:rsidR="00000000" w:rsidRPr="00BE00C7" w:rsidRDefault="00000000" w:rsidP="00BE00C7">
            <w:pPr>
              <w:pStyle w:val="OutcomeDescription"/>
              <w:spacing w:before="120" w:after="120"/>
              <w:rPr>
                <w:rFonts w:cs="Arial"/>
                <w:lang w:eastAsia="en-NZ"/>
              </w:rPr>
            </w:pPr>
          </w:p>
        </w:tc>
        <w:tc>
          <w:tcPr>
            <w:tcW w:w="0" w:type="auto"/>
          </w:tcPr>
          <w:p w14:paraId="592794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6703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which leads to improvements.  The process meets the requirements of the Code.  Residents and whānau understood their right to make a complaint and knew how to do so. </w:t>
            </w:r>
          </w:p>
          <w:p w14:paraId="3109F8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Documentation sighted showed that complainants had been informed of findings following investigation. Where possible, improvements had been made because of the investigation. </w:t>
            </w:r>
          </w:p>
          <w:p w14:paraId="66A0CA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assures the process works equitably for Māori by ensuring the complaints procedure is documented in te reo Māori. The Code is displayed in te reo and English versions.</w:t>
            </w:r>
          </w:p>
          <w:p w14:paraId="417C3E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complaints received in the past year, and both have been closed out effectively. Two complaints from the Health and Disability Commissioner’s office (HDC) were reviewed. One complaint initially made by a whānau member to HDC in 2019 was received by the service in 2021. The previous care home manager responded to a provisional report in June 2024. However, no further communication was received until 12 March 2025. A letter from the HDC, with recommendations to be responded to in three months, was documented. Recommendations related to education and training, interRAI training, timely response to multidisciplinary team (MDT) referrals, utilising the frailty care guidelines, wound care specialist training, timely and appropriate communication with family/whānau, and for staff to complete the HDC Code of Rights training.  This complaint was being managed by support office staff at the time of the audit. Recommendations had been addressed, and a further response was forwarded to HDC on 26 June 2025 but was yet to be closed out. Another HDC complaint received in June 2024 was responded to and successfully closed out in December 2024. No other complaints from external agencies had been received.</w:t>
            </w:r>
          </w:p>
          <w:p w14:paraId="567511B4" w14:textId="77777777" w:rsidR="00000000" w:rsidRPr="00BE00C7" w:rsidRDefault="00000000" w:rsidP="00BE00C7">
            <w:pPr>
              <w:pStyle w:val="OutcomeDescription"/>
              <w:spacing w:before="120" w:after="120"/>
              <w:rPr>
                <w:rFonts w:cs="Arial"/>
                <w:lang w:eastAsia="en-NZ"/>
              </w:rPr>
            </w:pPr>
          </w:p>
        </w:tc>
      </w:tr>
      <w:tr w:rsidR="00EE59E2" w14:paraId="12200371" w14:textId="77777777">
        <w:tc>
          <w:tcPr>
            <w:tcW w:w="0" w:type="auto"/>
          </w:tcPr>
          <w:p w14:paraId="60A445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90F75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0111CA3B" w14:textId="77777777" w:rsidR="00000000" w:rsidRPr="00BE00C7" w:rsidRDefault="00000000" w:rsidP="00BE00C7">
            <w:pPr>
              <w:pStyle w:val="OutcomeDescription"/>
              <w:spacing w:before="120" w:after="120"/>
              <w:rPr>
                <w:rFonts w:cs="Arial"/>
                <w:lang w:eastAsia="en-NZ"/>
              </w:rPr>
            </w:pPr>
          </w:p>
        </w:tc>
        <w:tc>
          <w:tcPr>
            <w:tcW w:w="0" w:type="auto"/>
          </w:tcPr>
          <w:p w14:paraId="2287F2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7B8E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(New Zealand Aged Care Services) assumes accountability for delivering a high-quality service to the resident communities served, with meaningful Māori representation on governance groups. The governance group demonstrated expertise in Te Tiriti, health equity and cultural safety. The care home and village-manager (CH&amp;VM) has strong links with Māori health providers in the region, identified as Māori, and had close links with a local kaumātua who represents the same iwi. </w:t>
            </w:r>
          </w:p>
          <w:p w14:paraId="23074D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leadership structure, including for clinical governance, is appropriate to the size and complexity of the organisation, and there is an experienced and suitably qualified person managing the service. The CH&amp;VM has been in the role for seven months. The clinical nurse lead was able to replace the CHM when absent for any planned or unplanned leave.  The executive team at the support office have worked at addressing barriers to equitable service delivery and in the recruitment of Māori and Pacific staff. The needs of young people with disabilities are reflected in organisational documents.</w:t>
            </w:r>
          </w:p>
          <w:p w14:paraId="6A3BE047" w14:textId="77777777" w:rsidR="00000000" w:rsidRPr="00BE00C7" w:rsidRDefault="00000000" w:rsidP="00BE00C7">
            <w:pPr>
              <w:pStyle w:val="OutcomeDescription"/>
              <w:spacing w:before="120" w:after="120"/>
              <w:rPr>
                <w:rFonts w:cs="Arial"/>
                <w:lang w:eastAsia="en-NZ"/>
              </w:rPr>
            </w:pPr>
            <w:r w:rsidRPr="00BE00C7">
              <w:rPr>
                <w:rFonts w:cs="Arial"/>
                <w:lang w:eastAsia="en-NZ"/>
              </w:rPr>
              <w:t>Dunblane Lifecare has a business plan 2025-2026 that defines the organisation’s structure, purpose, values and scope, direction, performance and goals. The plan supports the improvement of equitable outcomes for Māori and tāngata whaikaha. This local level plan supports the overarching strategic business plan for the organisation. A commitment to the quality and risk management system was evident through policy, interviews and processes, and through feedback mechanisms.  Members of the governance group interviewed felt well informed on progress and risks. This was confirmed in a sample of reports to the board of directors. Ethnicity data is being collected to support equitable service delivery.</w:t>
            </w:r>
          </w:p>
          <w:p w14:paraId="1617FC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3138EC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 in planning and evaluation of services through annual surveys. </w:t>
            </w:r>
          </w:p>
          <w:p w14:paraId="6FD5C2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CH&amp;VM and the clinical nurse lead interviewed confirmed knowledge of the sector, regulatory and reporting requirements, and maintained currency within the field. Each work collaboratively together and felt well supported by the support office staff.</w:t>
            </w:r>
          </w:p>
          <w:p w14:paraId="768992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Tairāwhiti for providing rest home-level care, respite care, long-term chronic health care (LTCHC) – under 65 years of age (YPD) hospital and dementia care services. On the day of the audit, the occupancy was 70 residents. This included 24 hospital, one hospital respite care, two hospital-level care YPD, 22 dementia </w:t>
            </w:r>
            <w:r w:rsidRPr="00BE00C7">
              <w:rPr>
                <w:rFonts w:cs="Arial"/>
                <w:lang w:eastAsia="en-NZ"/>
              </w:rPr>
              <w:lastRenderedPageBreak/>
              <w:t>care with one dementia care respite, and 20 rest home-level care and one rest home-level YPD residents.</w:t>
            </w:r>
          </w:p>
          <w:p w14:paraId="16D55B66" w14:textId="77777777" w:rsidR="00000000" w:rsidRPr="00BE00C7" w:rsidRDefault="00000000" w:rsidP="00BE00C7">
            <w:pPr>
              <w:pStyle w:val="OutcomeDescription"/>
              <w:spacing w:before="120" w:after="120"/>
              <w:rPr>
                <w:rFonts w:cs="Arial"/>
                <w:lang w:eastAsia="en-NZ"/>
              </w:rPr>
            </w:pPr>
          </w:p>
        </w:tc>
      </w:tr>
      <w:tr w:rsidR="00EE59E2" w14:paraId="5E68E2E1" w14:textId="77777777">
        <w:tc>
          <w:tcPr>
            <w:tcW w:w="0" w:type="auto"/>
          </w:tcPr>
          <w:p w14:paraId="7130C0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64456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B5DF6F" w14:textId="77777777" w:rsidR="00000000" w:rsidRPr="00BE00C7" w:rsidRDefault="00000000" w:rsidP="00BE00C7">
            <w:pPr>
              <w:pStyle w:val="OutcomeDescription"/>
              <w:spacing w:before="120" w:after="120"/>
              <w:rPr>
                <w:rFonts w:cs="Arial"/>
                <w:lang w:eastAsia="en-NZ"/>
              </w:rPr>
            </w:pPr>
          </w:p>
        </w:tc>
        <w:tc>
          <w:tcPr>
            <w:tcW w:w="0" w:type="auto"/>
          </w:tcPr>
          <w:p w14:paraId="7A4974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1391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clinical incidents and complaints, audit activities, a regular patient satisfaction survey, monitoring of outcomes, policies and procedures, clinical incidents including infections, and restraint management. Residents, whānau and staff contribute to quality improvement through six-monthly surveys, which are distributed and collated from the support office. Feedback is provided to staff. Outcomes are used for quality improvement of service delivery. </w:t>
            </w:r>
          </w:p>
          <w:p w14:paraId="5CCC51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tikanga policies, and access to cultural support roles internally and externally. </w:t>
            </w:r>
          </w:p>
          <w:p w14:paraId="25704B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corrective actions are developed and implemented to address any shortfalls.  Progress against quality outcomes is evaluated. Quality data is communicated and discussed, and this was confirmed by records sighted and by staff interviewed. </w:t>
            </w:r>
          </w:p>
          <w:p w14:paraId="600DCC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were current and covered all necessary aspects of the service and of contractual requirements and were current. </w:t>
            </w:r>
          </w:p>
          <w:p w14:paraId="0C7BDF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CH&amp;VM described the processes for the identification, documentation, monitoring, review and reporting of risks, including health and safety risks, and development of mitigation strategies. The hazard and risk register reviewed was current and up to date.</w:t>
            </w:r>
          </w:p>
          <w:p w14:paraId="07414E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6F6331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CH&amp;VM and the CNL understood and had complied with essential notification reporting requirements. Two Section 31 </w:t>
            </w:r>
            <w:r w:rsidRPr="00BE00C7">
              <w:rPr>
                <w:rFonts w:cs="Arial"/>
                <w:lang w:eastAsia="en-NZ"/>
              </w:rPr>
              <w:lastRenderedPageBreak/>
              <w:t>notifications to HealthCERT were reviewed: Both related to residents absconding from the facility (18 September 2024 and 6 November 2024). There have been no adverse events reported to the Health Quality &amp; Safety Commission (the Commission) since the previous audit.</w:t>
            </w:r>
          </w:p>
          <w:p w14:paraId="4B7B90A5" w14:textId="77777777" w:rsidR="00000000" w:rsidRPr="00BE00C7" w:rsidRDefault="00000000" w:rsidP="00BE00C7">
            <w:pPr>
              <w:pStyle w:val="OutcomeDescription"/>
              <w:spacing w:before="120" w:after="120"/>
              <w:rPr>
                <w:rFonts w:cs="Arial"/>
                <w:lang w:eastAsia="en-NZ"/>
              </w:rPr>
            </w:pPr>
          </w:p>
        </w:tc>
      </w:tr>
      <w:tr w:rsidR="00EE59E2" w14:paraId="3B9ADBFC" w14:textId="77777777">
        <w:tc>
          <w:tcPr>
            <w:tcW w:w="0" w:type="auto"/>
          </w:tcPr>
          <w:p w14:paraId="78D4C2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54516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6722C27" w14:textId="77777777" w:rsidR="00000000" w:rsidRPr="00BE00C7" w:rsidRDefault="00000000" w:rsidP="00BE00C7">
            <w:pPr>
              <w:pStyle w:val="OutcomeDescription"/>
              <w:spacing w:before="120" w:after="120"/>
              <w:rPr>
                <w:rFonts w:cs="Arial"/>
                <w:lang w:eastAsia="en-NZ"/>
              </w:rPr>
            </w:pPr>
          </w:p>
        </w:tc>
        <w:tc>
          <w:tcPr>
            <w:tcW w:w="0" w:type="auto"/>
          </w:tcPr>
          <w:p w14:paraId="3514846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F28FC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clinically safe care, 24 hours a day, seven days a week (24/7). The facility adjusts staffing levels to meet the changing needs of residents.  The CH&amp;VM discussed the staff rosters and allocation of staff.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and there is 24/7 RN coverage.</w:t>
            </w:r>
          </w:p>
          <w:p w14:paraId="125F15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64BA514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There was an annual training plan; however, training and/or competencies in some topics could not be verified on the day of the audit.  This was identified as an area for improvement. High-quality Māori health information is accessed and used to support training and development programmes, policy development, and care delivery.</w:t>
            </w:r>
          </w:p>
          <w:p w14:paraId="5ACC024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(NZQA) education programme to meet the requirements of the provider’s agreement with Health New Zealand – Te Whatu Ora Tairāwhiti. Staff working in the dementia care area have either completed or are enrolled in the required education. Thirty-five healthcare assistants (HCAs) are employed, and 18 HCAs have completed a relevant NZQA Level 4 qualification, five Level 3 and 12 have completed or are enrolled in Level 2.</w:t>
            </w:r>
          </w:p>
          <w:p w14:paraId="5F804B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reported feeling well supported and safe in the workplace.</w:t>
            </w:r>
          </w:p>
          <w:p w14:paraId="57DFB11F" w14:textId="77777777" w:rsidR="00000000" w:rsidRPr="00BE00C7" w:rsidRDefault="00000000" w:rsidP="00BE00C7">
            <w:pPr>
              <w:pStyle w:val="OutcomeDescription"/>
              <w:spacing w:before="120" w:after="120"/>
              <w:rPr>
                <w:rFonts w:cs="Arial"/>
                <w:lang w:eastAsia="en-NZ"/>
              </w:rPr>
            </w:pPr>
          </w:p>
        </w:tc>
      </w:tr>
      <w:tr w:rsidR="00EE59E2" w14:paraId="129F76D3" w14:textId="77777777">
        <w:tc>
          <w:tcPr>
            <w:tcW w:w="0" w:type="auto"/>
          </w:tcPr>
          <w:p w14:paraId="3EF637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6C3B0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C47F319" w14:textId="77777777" w:rsidR="00000000" w:rsidRPr="00BE00C7" w:rsidRDefault="00000000" w:rsidP="00BE00C7">
            <w:pPr>
              <w:pStyle w:val="OutcomeDescription"/>
              <w:spacing w:before="120" w:after="120"/>
              <w:rPr>
                <w:rFonts w:cs="Arial"/>
                <w:lang w:eastAsia="en-NZ"/>
              </w:rPr>
            </w:pPr>
          </w:p>
        </w:tc>
        <w:tc>
          <w:tcPr>
            <w:tcW w:w="0" w:type="auto"/>
          </w:tcPr>
          <w:p w14:paraId="0F45C0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1E9693F"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implemented.  Job descriptions were documented for each role. Professional qualifications, registrations and scopes of practice had been validated prior to employment, and this was required annually. Health professionals employed by and contracted to the service are required to have their annual practising certificates (APCs) reviewed, and a record is maintained. However, the records did not verify the current APCs of medical staff who are contracted to this facility for 2025.</w:t>
            </w:r>
          </w:p>
          <w:p w14:paraId="727737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sampled staff records did not verify that orientation had occurred for newly employed staff, the code of conduct forms were incomplete, and annual performance appraisals had not been completed in the appropriate timeframe. These areas were identified for improvement. </w:t>
            </w:r>
          </w:p>
          <w:p w14:paraId="629A25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buddy system worked well during orientation however, no competencies were completed during this time. </w:t>
            </w:r>
          </w:p>
          <w:p w14:paraId="4E9374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09FC1A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HCAs confirmed that they can be involved in a debrief or discussion, and receive support if needed following incidents, to ensure their wellbeing.</w:t>
            </w:r>
          </w:p>
          <w:p w14:paraId="278ACB21" w14:textId="77777777" w:rsidR="00000000" w:rsidRPr="00BE00C7" w:rsidRDefault="00000000" w:rsidP="00BE00C7">
            <w:pPr>
              <w:pStyle w:val="OutcomeDescription"/>
              <w:spacing w:before="120" w:after="120"/>
              <w:rPr>
                <w:rFonts w:cs="Arial"/>
                <w:lang w:eastAsia="en-NZ"/>
              </w:rPr>
            </w:pPr>
          </w:p>
        </w:tc>
      </w:tr>
      <w:tr w:rsidR="00EE59E2" w14:paraId="1AFD680E" w14:textId="77777777">
        <w:tc>
          <w:tcPr>
            <w:tcW w:w="0" w:type="auto"/>
          </w:tcPr>
          <w:p w14:paraId="0A9E3B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352A0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43E4EB9A" w14:textId="77777777" w:rsidR="00000000" w:rsidRPr="00BE00C7" w:rsidRDefault="00000000" w:rsidP="00BE00C7">
            <w:pPr>
              <w:pStyle w:val="OutcomeDescription"/>
              <w:spacing w:before="120" w:after="120"/>
              <w:rPr>
                <w:rFonts w:cs="Arial"/>
                <w:lang w:eastAsia="en-NZ"/>
              </w:rPr>
            </w:pPr>
          </w:p>
        </w:tc>
        <w:tc>
          <w:tcPr>
            <w:tcW w:w="0" w:type="auto"/>
          </w:tcPr>
          <w:p w14:paraId="402F52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7643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transitioned to an electronic information management system. All necessary demographic, personal, clinical and health information was fully completed in the residents’ files sampled for review. Clinical notes were current, integrated and legible, and met current documentation standards. Information was </w:t>
            </w:r>
            <w:r w:rsidRPr="00BE00C7">
              <w:rPr>
                <w:rFonts w:cs="Arial"/>
                <w:lang w:eastAsia="en-NZ"/>
              </w:rPr>
              <w:lastRenderedPageBreak/>
              <w:t>accessible for all those who needed it. Staff had individual passwords to access electronic files.</w:t>
            </w:r>
          </w:p>
          <w:p w14:paraId="3DF9D79A"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34D0F2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was not responsible for issuing National Health Index (NHI) numbers to residents.</w:t>
            </w:r>
          </w:p>
          <w:p w14:paraId="4EF7FEF9" w14:textId="77777777" w:rsidR="00000000" w:rsidRPr="00BE00C7" w:rsidRDefault="00000000" w:rsidP="00BE00C7">
            <w:pPr>
              <w:pStyle w:val="OutcomeDescription"/>
              <w:spacing w:before="120" w:after="120"/>
              <w:rPr>
                <w:rFonts w:cs="Arial"/>
                <w:lang w:eastAsia="en-NZ"/>
              </w:rPr>
            </w:pPr>
          </w:p>
        </w:tc>
      </w:tr>
      <w:tr w:rsidR="00EE59E2" w14:paraId="54A3D761" w14:textId="77777777">
        <w:tc>
          <w:tcPr>
            <w:tcW w:w="0" w:type="auto"/>
          </w:tcPr>
          <w:p w14:paraId="068DB3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52C54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0B556C9" w14:textId="77777777" w:rsidR="00000000" w:rsidRPr="00BE00C7" w:rsidRDefault="00000000" w:rsidP="00BE00C7">
            <w:pPr>
              <w:pStyle w:val="OutcomeDescription"/>
              <w:spacing w:before="120" w:after="120"/>
              <w:rPr>
                <w:rFonts w:cs="Arial"/>
                <w:lang w:eastAsia="en-NZ"/>
              </w:rPr>
            </w:pPr>
          </w:p>
        </w:tc>
        <w:tc>
          <w:tcPr>
            <w:tcW w:w="0" w:type="auto"/>
          </w:tcPr>
          <w:p w14:paraId="17CF06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2BFB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Dunblane Lifecare when their required level of care has been assessed and confirmed by the local Needs Assessment and Service Coordination (NASC) agency. Files reviewed met contractual requirements.  Residents entered the service based on documented entry criteria available to the community and understood by staff.  The entry process met the needs of residents. All residents admitted to the secure dementia unit had a specialist’s authorisation for placement, and their EPOAs had consented for the residents to be admitted to the secure unit. Whānau interviewed were satisfied with the admission process and the information that had been made available to them on admission.  </w:t>
            </w:r>
          </w:p>
          <w:p w14:paraId="3E622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Routine analysis to show entry and decline rates, including entry and decline rates for Māori, has not been implemented.  </w:t>
            </w:r>
          </w:p>
          <w:p w14:paraId="57A58A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04B2A656" w14:textId="77777777" w:rsidR="00000000" w:rsidRPr="00BE00C7" w:rsidRDefault="00000000" w:rsidP="00BE00C7">
            <w:pPr>
              <w:pStyle w:val="OutcomeDescription"/>
              <w:spacing w:before="120" w:after="120"/>
              <w:rPr>
                <w:rFonts w:cs="Arial"/>
                <w:lang w:eastAsia="en-NZ"/>
              </w:rPr>
            </w:pPr>
          </w:p>
        </w:tc>
      </w:tr>
      <w:tr w:rsidR="00EE59E2" w14:paraId="0566A5C6" w14:textId="77777777">
        <w:tc>
          <w:tcPr>
            <w:tcW w:w="0" w:type="auto"/>
          </w:tcPr>
          <w:p w14:paraId="2C8A8F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AB158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whānau </w:t>
            </w:r>
            <w:r w:rsidRPr="00BE00C7">
              <w:rPr>
                <w:rFonts w:cs="Arial"/>
                <w:lang w:eastAsia="en-NZ"/>
              </w:rPr>
              <w:lastRenderedPageBreak/>
              <w:t>rangatiratanga.</w:t>
            </w:r>
            <w:r w:rsidRPr="00BE00C7">
              <w:rPr>
                <w:rFonts w:cs="Arial"/>
                <w:lang w:eastAsia="en-NZ"/>
              </w:rPr>
              <w:br/>
              <w:t>As service providers: We work in partnership with people and whānau to support wellbeing.</w:t>
            </w:r>
          </w:p>
          <w:p w14:paraId="60A8AF1A" w14:textId="77777777" w:rsidR="00000000" w:rsidRPr="00BE00C7" w:rsidRDefault="00000000" w:rsidP="00BE00C7">
            <w:pPr>
              <w:pStyle w:val="OutcomeDescription"/>
              <w:spacing w:before="120" w:after="120"/>
              <w:rPr>
                <w:rFonts w:cs="Arial"/>
                <w:lang w:eastAsia="en-NZ"/>
              </w:rPr>
            </w:pPr>
          </w:p>
        </w:tc>
        <w:tc>
          <w:tcPr>
            <w:tcW w:w="0" w:type="auto"/>
          </w:tcPr>
          <w:p w14:paraId="425251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B034E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work in partnership with the resident and whānau to support wellbeing. New care plans based on the provider’s model of care were completed on the new electronic information management system that the service has transitioned too recently.</w:t>
            </w:r>
          </w:p>
          <w:p w14:paraId="78D442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Assessment was based on a range of clinical assessments and included resident and whānau input (as applicable).  Timeframes for the initial assessment, medical or nurse practitioner assessment, initial care plan, and review timeframes met contractual and policy requirements.  Staff understood and supported Māori and whānau to identify their own pae ora outcomes in their care delivery. However, Māori personal health plans that include Te Whare Tapa Wha model of care were not completed for residents who identified as Māori; refer to criterion 1.1.1. This was verified by sampling residents’ records and from interviews of clinical staff. Residents and whānau for residents who identified as Māori expressed that their cultural values and beliefs were observed in service delivery.</w:t>
            </w:r>
          </w:p>
          <w:p w14:paraId="02107C44"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some medical conditions was not well documented. Not all identified residents’ needs were included in care planning as implemented; refer to criterion 3.2.3.  Regular evaluation of responses to planned care, including the use of a range of outcome measures, was completed.  Behaviour management plans were completed for residents in the dementia unit, with identified triggers and strategies to manage the identified behaviours documented. Where progress was different to that expected, changes were made to the care plan. Residents and whānau confirmed active involvement in the process.</w:t>
            </w:r>
          </w:p>
          <w:p w14:paraId="4D7BF4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the assessment and care planning processes.  Examples of choices and control over service delivery were discussed with staff, tāngata whaikaha and whānau.  Tāngata whaikaha/whānau can independently access information.  </w:t>
            </w:r>
          </w:p>
          <w:p w14:paraId="274F5F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Observations and interviews verified that the care provided to residents was consistent with their assessed needs, goals and aspirations. A range of equipment and resources was available, suited to the levels of care provided and in accordance with the residents’ needs.  </w:t>
            </w:r>
          </w:p>
          <w:p w14:paraId="266B81FE" w14:textId="77777777" w:rsidR="00000000" w:rsidRPr="00BE00C7" w:rsidRDefault="00000000" w:rsidP="003B0542">
            <w:pPr>
              <w:pStyle w:val="OutcomeDescription"/>
              <w:spacing w:before="120" w:after="120"/>
              <w:rPr>
                <w:rFonts w:cs="Arial"/>
                <w:lang w:eastAsia="en-NZ"/>
              </w:rPr>
            </w:pPr>
          </w:p>
        </w:tc>
      </w:tr>
      <w:tr w:rsidR="00EE59E2" w14:paraId="04DBB78B" w14:textId="77777777">
        <w:tc>
          <w:tcPr>
            <w:tcW w:w="0" w:type="auto"/>
          </w:tcPr>
          <w:p w14:paraId="4DF24E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3C43A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9FD5CEF" w14:textId="77777777" w:rsidR="00000000" w:rsidRPr="00BE00C7" w:rsidRDefault="00000000" w:rsidP="00BE00C7">
            <w:pPr>
              <w:pStyle w:val="OutcomeDescription"/>
              <w:spacing w:before="120" w:after="120"/>
              <w:rPr>
                <w:rFonts w:cs="Arial"/>
                <w:lang w:eastAsia="en-NZ"/>
              </w:rPr>
            </w:pPr>
          </w:p>
        </w:tc>
        <w:tc>
          <w:tcPr>
            <w:tcW w:w="0" w:type="auto"/>
          </w:tcPr>
          <w:p w14:paraId="07E3292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0AF49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activities coordinators and one of them was in the process of completing diversional therapy training. At the time of the audit, there was no qualified diversional therapist overseeing the activities programme; refer to criterion 3.3.1.</w:t>
            </w:r>
          </w:p>
          <w:p w14:paraId="4FA8C516"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Activities on the programme included cultural events celebrations, Waitangi Day and Matariki celebrations, music, walking groups, craft, van outings, sensory activities and word games.</w:t>
            </w:r>
          </w:p>
          <w:p w14:paraId="189DB2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for residents in the dementia unit were tailored to meet the residents’ needs, and residents were observed freely walking around the unit and in the secure garden outside the unit. There were no activity plans developed to cover the 24-hour period for individual residents in the dementia unit; refer to criterion 3.3.1. </w:t>
            </w:r>
          </w:p>
          <w:p w14:paraId="74E0A2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Young people with disabilities were supported to access activities suitable for their age and needs. </w:t>
            </w:r>
          </w:p>
          <w:p w14:paraId="68B50504"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residents’ meetings and satisfaction surveys.  Those interviewed confirmed they found the programme met their needs.</w:t>
            </w:r>
          </w:p>
          <w:p w14:paraId="038E4AE4" w14:textId="77777777" w:rsidR="00000000" w:rsidRPr="00BE00C7" w:rsidRDefault="00000000" w:rsidP="00BE00C7">
            <w:pPr>
              <w:pStyle w:val="OutcomeDescription"/>
              <w:spacing w:before="120" w:after="120"/>
              <w:rPr>
                <w:rFonts w:cs="Arial"/>
                <w:lang w:eastAsia="en-NZ"/>
              </w:rPr>
            </w:pPr>
          </w:p>
        </w:tc>
      </w:tr>
      <w:tr w:rsidR="00EE59E2" w14:paraId="5D0AC9EF" w14:textId="77777777">
        <w:tc>
          <w:tcPr>
            <w:tcW w:w="0" w:type="auto"/>
          </w:tcPr>
          <w:p w14:paraId="7C1CF1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D5BBA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31E4566" w14:textId="77777777" w:rsidR="00000000" w:rsidRPr="00BE00C7" w:rsidRDefault="00000000" w:rsidP="00BE00C7">
            <w:pPr>
              <w:pStyle w:val="OutcomeDescription"/>
              <w:spacing w:before="120" w:after="120"/>
              <w:rPr>
                <w:rFonts w:cs="Arial"/>
                <w:lang w:eastAsia="en-NZ"/>
              </w:rPr>
            </w:pPr>
          </w:p>
        </w:tc>
        <w:tc>
          <w:tcPr>
            <w:tcW w:w="0" w:type="auto"/>
          </w:tcPr>
          <w:p w14:paraId="7B59424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A5091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Annual medication administration competencies were not up to date for some staff who administer medicine. Interviewed staff understood their responsibilities when administering medicine.  </w:t>
            </w:r>
          </w:p>
          <w:p w14:paraId="6FD8C7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were stored safely, including controlled drugs. The required stock checks had been </w:t>
            </w:r>
            <w:r w:rsidRPr="00BE00C7">
              <w:rPr>
                <w:rFonts w:cs="Arial"/>
                <w:lang w:eastAsia="en-NZ"/>
              </w:rPr>
              <w:lastRenderedPageBreak/>
              <w:t xml:space="preserve">completed.  Medicines stored were within the recommended temperature range. </w:t>
            </w:r>
          </w:p>
          <w:p w14:paraId="6A770D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reviews were consistently recorded on the medicine chart.  Standing orders are not used. </w:t>
            </w:r>
          </w:p>
          <w:p w14:paraId="74572A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when required. There were no residents who were self-administering medicine at the time of the audit.  Residents, including Māori residents and their whānau, were supported to understand their medications.  </w:t>
            </w:r>
          </w:p>
          <w:p w14:paraId="4F03BA31" w14:textId="77777777" w:rsidR="00000000" w:rsidRPr="00BE00C7" w:rsidRDefault="00000000" w:rsidP="00BE00C7">
            <w:pPr>
              <w:pStyle w:val="OutcomeDescription"/>
              <w:spacing w:before="120" w:after="120"/>
              <w:rPr>
                <w:rFonts w:cs="Arial"/>
                <w:lang w:eastAsia="en-NZ"/>
              </w:rPr>
            </w:pPr>
          </w:p>
        </w:tc>
      </w:tr>
      <w:tr w:rsidR="00EE59E2" w14:paraId="082722CD" w14:textId="77777777">
        <w:tc>
          <w:tcPr>
            <w:tcW w:w="0" w:type="auto"/>
          </w:tcPr>
          <w:p w14:paraId="01F1B1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02EFB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5717ED7" w14:textId="77777777" w:rsidR="00000000" w:rsidRPr="00BE00C7" w:rsidRDefault="00000000" w:rsidP="00BE00C7">
            <w:pPr>
              <w:pStyle w:val="OutcomeDescription"/>
              <w:spacing w:before="120" w:after="120"/>
              <w:rPr>
                <w:rFonts w:cs="Arial"/>
                <w:lang w:eastAsia="en-NZ"/>
              </w:rPr>
            </w:pPr>
          </w:p>
        </w:tc>
        <w:tc>
          <w:tcPr>
            <w:tcW w:w="0" w:type="auto"/>
          </w:tcPr>
          <w:p w14:paraId="3E1BC5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77F0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in April 2025.  Recommendations made at that time have been implemented. </w:t>
            </w:r>
          </w:p>
          <w:p w14:paraId="76496C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operated with an approved food safety plan and registration that will expire on 10 December 2025. </w:t>
            </w:r>
          </w:p>
          <w:p w14:paraId="79DAC1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any special diets, allergies and modified texture requirements were accommodated in the daily meal plan.  Māori and their whānau had menu options that were culturally specific to te ao Māori.  </w:t>
            </w:r>
          </w:p>
          <w:p w14:paraId="5843DBF0"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from resident and whānau interviews, satisfaction surveys and resident meeting minutes. Residents were given sufficient time to eat their meals in an unhurried fashion and those requiring assistance had this provided with dignity. Snacks and drinks were provided on a twenty-four-hour basis for residents.</w:t>
            </w:r>
          </w:p>
          <w:p w14:paraId="3E596FE9" w14:textId="77777777" w:rsidR="00000000" w:rsidRPr="00BE00C7" w:rsidRDefault="00000000" w:rsidP="00BE00C7">
            <w:pPr>
              <w:pStyle w:val="OutcomeDescription"/>
              <w:spacing w:before="120" w:after="120"/>
              <w:rPr>
                <w:rFonts w:cs="Arial"/>
                <w:lang w:eastAsia="en-NZ"/>
              </w:rPr>
            </w:pPr>
          </w:p>
        </w:tc>
      </w:tr>
      <w:tr w:rsidR="00EE59E2" w14:paraId="75A35DF7" w14:textId="77777777">
        <w:tc>
          <w:tcPr>
            <w:tcW w:w="0" w:type="auto"/>
          </w:tcPr>
          <w:p w14:paraId="606ECE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5E8FE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680DFA4" w14:textId="77777777" w:rsidR="00000000" w:rsidRPr="00BE00C7" w:rsidRDefault="00000000" w:rsidP="00BE00C7">
            <w:pPr>
              <w:pStyle w:val="OutcomeDescription"/>
              <w:spacing w:before="120" w:after="120"/>
              <w:rPr>
                <w:rFonts w:cs="Arial"/>
                <w:lang w:eastAsia="en-NZ"/>
              </w:rPr>
            </w:pPr>
          </w:p>
        </w:tc>
        <w:tc>
          <w:tcPr>
            <w:tcW w:w="0" w:type="auto"/>
          </w:tcPr>
          <w:p w14:paraId="391067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6539AD"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There were written policies and procedures to guide staff practice.</w:t>
            </w:r>
          </w:p>
          <w:p w14:paraId="57626AAD" w14:textId="77777777" w:rsidR="00000000" w:rsidRPr="00BE00C7" w:rsidRDefault="00000000" w:rsidP="00BE00C7">
            <w:pPr>
              <w:pStyle w:val="OutcomeDescription"/>
              <w:spacing w:before="120" w:after="120"/>
              <w:rPr>
                <w:rFonts w:cs="Arial"/>
                <w:lang w:eastAsia="en-NZ"/>
              </w:rPr>
            </w:pPr>
          </w:p>
        </w:tc>
      </w:tr>
      <w:tr w:rsidR="00EE59E2" w14:paraId="5801CA54" w14:textId="77777777">
        <w:tc>
          <w:tcPr>
            <w:tcW w:w="0" w:type="auto"/>
          </w:tcPr>
          <w:p w14:paraId="1758B4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12008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4E5E05E" w14:textId="77777777" w:rsidR="00000000" w:rsidRPr="00BE00C7" w:rsidRDefault="00000000" w:rsidP="00BE00C7">
            <w:pPr>
              <w:pStyle w:val="OutcomeDescription"/>
              <w:spacing w:before="120" w:after="120"/>
              <w:rPr>
                <w:rFonts w:cs="Arial"/>
                <w:lang w:eastAsia="en-NZ"/>
              </w:rPr>
            </w:pPr>
          </w:p>
        </w:tc>
        <w:tc>
          <w:tcPr>
            <w:tcW w:w="0" w:type="auto"/>
          </w:tcPr>
          <w:p w14:paraId="01DD36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9259C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building warrant of fitness (expiry 1 December 2025) was displayed at the entrance to the facility. Electrical equipment and resources were calibrated and checked by a contracted service provider on 12 September 2024. An inventory of all equipment was verified. A contracted electrician checks all electrical equipment throughout the facility annually. Hot water checks are maintained monthly, and records were reviewed indicating requirements were met.</w:t>
            </w:r>
          </w:p>
          <w:p w14:paraId="6F8AFC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The dementia care service (memory loss unit) had a large lounge and dining areas. Residents could walk around freely and safely outside of the unit.</w:t>
            </w:r>
          </w:p>
          <w:p w14:paraId="41F3E6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Personalised equipment was available for residents with disabilities to meet their needs.   There are adequate numbers of accessible bathroom and toilet facilities throughout the facility.   </w:t>
            </w:r>
          </w:p>
          <w:p w14:paraId="44EAE2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whānau were happy with the environment, including heating and ventilation, natural light, privacy, and maintenance.  </w:t>
            </w:r>
          </w:p>
          <w:p w14:paraId="01FB5F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Consultation would be sought if the building underwent any major reconstruction or alterations to ensure the aspirations and culture of Māori are reflected in the design process.</w:t>
            </w:r>
          </w:p>
          <w:p w14:paraId="23964C82" w14:textId="77777777" w:rsidR="00000000" w:rsidRPr="00BE00C7" w:rsidRDefault="00000000" w:rsidP="00BE00C7">
            <w:pPr>
              <w:pStyle w:val="OutcomeDescription"/>
              <w:spacing w:before="120" w:after="120"/>
              <w:rPr>
                <w:rFonts w:cs="Arial"/>
                <w:lang w:eastAsia="en-NZ"/>
              </w:rPr>
            </w:pPr>
          </w:p>
        </w:tc>
      </w:tr>
      <w:tr w:rsidR="00EE59E2" w14:paraId="59F4AEF4" w14:textId="77777777">
        <w:tc>
          <w:tcPr>
            <w:tcW w:w="0" w:type="auto"/>
          </w:tcPr>
          <w:p w14:paraId="57BBE4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E41FF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4E23C8A" w14:textId="77777777" w:rsidR="00000000" w:rsidRPr="00BE00C7" w:rsidRDefault="00000000" w:rsidP="00BE00C7">
            <w:pPr>
              <w:pStyle w:val="OutcomeDescription"/>
              <w:spacing w:before="120" w:after="120"/>
              <w:rPr>
                <w:rFonts w:cs="Arial"/>
                <w:lang w:eastAsia="en-NZ"/>
              </w:rPr>
            </w:pPr>
          </w:p>
        </w:tc>
        <w:tc>
          <w:tcPr>
            <w:tcW w:w="0" w:type="auto"/>
          </w:tcPr>
          <w:p w14:paraId="1639310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B1BC5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fire emergency and security situations.  Staff interviewed knew what to do in a fire emergency; however, training has not been provided on other civil defence emergencies. This was identified as an area of improvement. </w:t>
            </w:r>
          </w:p>
          <w:p w14:paraId="63708F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Fire and Emergency New Zealand (FENZ) on 30 June 2015. The last fire emergency training for staff was held on 7 July 2025.  On 1 July 2025, New Zealand Aged Care Services entered a new national contract to cover all its aged residential care (ARC) services and villages, to meet the required compliances and legislative requirements for fire emergencies. </w:t>
            </w:r>
          </w:p>
          <w:p w14:paraId="703768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A large 22,000 litre water tank was available onsite; and a generator was checked regularly. Grab boxes are readily available for emergencies which contained torches, batteries, a transistor radio, continence products, personal protective resources (PPE), toiletries, toilet paper, disposable utensils and paper cups, empty water bottles, a barbecue and a gas cylinder. </w:t>
            </w:r>
          </w:p>
          <w:p w14:paraId="18C302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maintenance person, who has been in the role for nearly six years, was interviewed. Records were well maintained. Emergency planning links to the business continuity plan and all contact </w:t>
            </w:r>
            <w:r w:rsidRPr="00BE00C7">
              <w:rPr>
                <w:rFonts w:cs="Arial"/>
                <w:lang w:eastAsia="en-NZ"/>
              </w:rPr>
              <w:lastRenderedPageBreak/>
              <w:t xml:space="preserve">numbers of residents are maintained. An environment check was carried out and all equipment and resources were checked three-monthly. </w:t>
            </w:r>
          </w:p>
          <w:p w14:paraId="0C31C4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can provide a level of first aid relevant to the risks for the type of service provided. </w:t>
            </w:r>
          </w:p>
          <w:p w14:paraId="6C40A3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06CB8B8F"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49B5AE83" w14:textId="77777777" w:rsidR="00000000" w:rsidRPr="00BE00C7" w:rsidRDefault="00000000" w:rsidP="00BE00C7">
            <w:pPr>
              <w:pStyle w:val="OutcomeDescription"/>
              <w:spacing w:before="120" w:after="120"/>
              <w:rPr>
                <w:rFonts w:cs="Arial"/>
                <w:lang w:eastAsia="en-NZ"/>
              </w:rPr>
            </w:pPr>
          </w:p>
        </w:tc>
      </w:tr>
      <w:tr w:rsidR="00EE59E2" w14:paraId="690AB32B" w14:textId="77777777">
        <w:tc>
          <w:tcPr>
            <w:tcW w:w="0" w:type="auto"/>
          </w:tcPr>
          <w:p w14:paraId="1AE8BE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DF06B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B664C0F" w14:textId="77777777" w:rsidR="00000000" w:rsidRPr="00BE00C7" w:rsidRDefault="00000000" w:rsidP="00BE00C7">
            <w:pPr>
              <w:pStyle w:val="OutcomeDescription"/>
              <w:spacing w:before="120" w:after="120"/>
              <w:rPr>
                <w:rFonts w:cs="Arial"/>
                <w:lang w:eastAsia="en-NZ"/>
              </w:rPr>
            </w:pPr>
          </w:p>
        </w:tc>
        <w:tc>
          <w:tcPr>
            <w:tcW w:w="0" w:type="auto"/>
          </w:tcPr>
          <w:p w14:paraId="5E80A8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C93F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2BA160C8" w14:textId="77777777" w:rsidR="00000000" w:rsidRPr="00BE00C7" w:rsidRDefault="00000000" w:rsidP="00BE00C7">
            <w:pPr>
              <w:pStyle w:val="OutcomeDescription"/>
              <w:spacing w:before="120" w:after="120"/>
              <w:rPr>
                <w:rFonts w:cs="Arial"/>
                <w:lang w:eastAsia="en-NZ"/>
              </w:rPr>
            </w:pPr>
          </w:p>
        </w:tc>
      </w:tr>
      <w:tr w:rsidR="00EE59E2" w14:paraId="48363890" w14:textId="77777777">
        <w:tc>
          <w:tcPr>
            <w:tcW w:w="0" w:type="auto"/>
          </w:tcPr>
          <w:p w14:paraId="5A8862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D3D2E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F31C1E7" w14:textId="77777777" w:rsidR="00000000" w:rsidRPr="00BE00C7" w:rsidRDefault="00000000" w:rsidP="00BE00C7">
            <w:pPr>
              <w:pStyle w:val="OutcomeDescription"/>
              <w:spacing w:before="120" w:after="120"/>
              <w:rPr>
                <w:rFonts w:cs="Arial"/>
                <w:lang w:eastAsia="en-NZ"/>
              </w:rPr>
            </w:pPr>
          </w:p>
        </w:tc>
        <w:tc>
          <w:tcPr>
            <w:tcW w:w="0" w:type="auto"/>
          </w:tcPr>
          <w:p w14:paraId="62E8B3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42D2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has been sought when making decisions around procurement relevant to care delivery, or facility changes, and policies. The clinical nurse lead stated that the IPCC would be consulted for design of any new building, when required.</w:t>
            </w:r>
          </w:p>
          <w:p w14:paraId="629B68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A </w:t>
            </w:r>
            <w:r w:rsidRPr="00BE00C7">
              <w:rPr>
                <w:rFonts w:cs="Arial"/>
                <w:lang w:eastAsia="en-NZ"/>
              </w:rPr>
              <w:lastRenderedPageBreak/>
              <w:t>new IP programme was implemented in January 2025. The programme was reported on quarterly and will be reviewed annually.</w:t>
            </w:r>
          </w:p>
          <w:p w14:paraId="7EF317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and procedures through orientation and were observed to follow these correctly.  Residents and their whānau were educated about infection prevention in a manner that met their needs, as verified in interviews. Educational resources and signage were available in te reo Māori. </w:t>
            </w:r>
          </w:p>
          <w:p w14:paraId="4ECB427A"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response plan is documented and has been regularly tested. There were sufficient resources and personal protective equipment (PPE) available, and staff interviewed stated they had been trained accordingly but no records were maintained (refer to 2.3.3).</w:t>
            </w:r>
          </w:p>
          <w:p w14:paraId="66C214F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not reused.</w:t>
            </w:r>
          </w:p>
          <w:p w14:paraId="3EAB2EFB" w14:textId="77777777" w:rsidR="00000000" w:rsidRPr="00BE00C7" w:rsidRDefault="00000000" w:rsidP="00BE00C7">
            <w:pPr>
              <w:pStyle w:val="OutcomeDescription"/>
              <w:spacing w:before="120" w:after="120"/>
              <w:rPr>
                <w:rFonts w:cs="Arial"/>
                <w:lang w:eastAsia="en-NZ"/>
              </w:rPr>
            </w:pPr>
          </w:p>
        </w:tc>
      </w:tr>
      <w:tr w:rsidR="00EE59E2" w14:paraId="0CFB28F3" w14:textId="77777777">
        <w:tc>
          <w:tcPr>
            <w:tcW w:w="0" w:type="auto"/>
          </w:tcPr>
          <w:p w14:paraId="6324BC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37107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2430BF1" w14:textId="77777777" w:rsidR="00000000" w:rsidRPr="00BE00C7" w:rsidRDefault="00000000" w:rsidP="00BE00C7">
            <w:pPr>
              <w:pStyle w:val="OutcomeDescription"/>
              <w:spacing w:before="120" w:after="120"/>
              <w:rPr>
                <w:rFonts w:cs="Arial"/>
                <w:lang w:eastAsia="en-NZ"/>
              </w:rPr>
            </w:pPr>
          </w:p>
        </w:tc>
        <w:tc>
          <w:tcPr>
            <w:tcW w:w="0" w:type="auto"/>
          </w:tcPr>
          <w:p w14:paraId="112E09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2C4B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is appropriate for the size and complexity of the service, supported by policies and procedures.  The effectiveness of the AMS programme was evaluated by monitoring antimicrobial use and identifying areas for improvement.  </w:t>
            </w:r>
          </w:p>
          <w:p w14:paraId="744EC57C" w14:textId="77777777" w:rsidR="00000000" w:rsidRPr="00BE00C7" w:rsidRDefault="00000000" w:rsidP="00BE00C7">
            <w:pPr>
              <w:pStyle w:val="OutcomeDescription"/>
              <w:spacing w:before="120" w:after="120"/>
              <w:rPr>
                <w:rFonts w:cs="Arial"/>
                <w:lang w:eastAsia="en-NZ"/>
              </w:rPr>
            </w:pPr>
          </w:p>
        </w:tc>
      </w:tr>
      <w:tr w:rsidR="00EE59E2" w14:paraId="44A3D065" w14:textId="77777777">
        <w:tc>
          <w:tcPr>
            <w:tcW w:w="0" w:type="auto"/>
          </w:tcPr>
          <w:p w14:paraId="1A5EB2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DEC99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8B8AC0B" w14:textId="77777777" w:rsidR="00000000" w:rsidRPr="00BE00C7" w:rsidRDefault="00000000" w:rsidP="00BE00C7">
            <w:pPr>
              <w:pStyle w:val="OutcomeDescription"/>
              <w:spacing w:before="120" w:after="120"/>
              <w:rPr>
                <w:rFonts w:cs="Arial"/>
                <w:lang w:eastAsia="en-NZ"/>
              </w:rPr>
            </w:pPr>
          </w:p>
        </w:tc>
        <w:tc>
          <w:tcPr>
            <w:tcW w:w="0" w:type="auto"/>
          </w:tcPr>
          <w:p w14:paraId="1FACE2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779E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types of services offered and is in line with risks and priorities defined in the infection control programme. Monthly surveillance data was collated and analysed </w:t>
            </w:r>
            <w:r w:rsidRPr="00BE00C7">
              <w:rPr>
                <w:rFonts w:cs="Arial"/>
                <w:lang w:eastAsia="en-NZ"/>
              </w:rPr>
              <w:lastRenderedPageBreak/>
              <w:t>to identify any trends, possible causative factors, and required actions. Results of the surveillance programme are shared with staff.  Surveillance included ethnicity data.</w:t>
            </w:r>
          </w:p>
          <w:p w14:paraId="75FF0CF6"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residents, or the EPOAs of residents experiencing a health care-associated infection (HAI), was culturally safe. This was confirmed in interviews.</w:t>
            </w:r>
          </w:p>
          <w:p w14:paraId="54A1220B" w14:textId="77777777" w:rsidR="00000000" w:rsidRPr="00BE00C7" w:rsidRDefault="00000000" w:rsidP="00BE00C7">
            <w:pPr>
              <w:pStyle w:val="OutcomeDescription"/>
              <w:spacing w:before="120" w:after="120"/>
              <w:rPr>
                <w:rFonts w:cs="Arial"/>
                <w:lang w:eastAsia="en-NZ"/>
              </w:rPr>
            </w:pPr>
          </w:p>
        </w:tc>
      </w:tr>
      <w:tr w:rsidR="00EE59E2" w14:paraId="3A220570" w14:textId="77777777">
        <w:tc>
          <w:tcPr>
            <w:tcW w:w="0" w:type="auto"/>
          </w:tcPr>
          <w:p w14:paraId="5B7E88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04F75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362333C" w14:textId="77777777" w:rsidR="00000000" w:rsidRPr="00BE00C7" w:rsidRDefault="00000000" w:rsidP="00BE00C7">
            <w:pPr>
              <w:pStyle w:val="OutcomeDescription"/>
              <w:spacing w:before="120" w:after="120"/>
              <w:rPr>
                <w:rFonts w:cs="Arial"/>
                <w:lang w:eastAsia="en-NZ"/>
              </w:rPr>
            </w:pPr>
          </w:p>
        </w:tc>
        <w:tc>
          <w:tcPr>
            <w:tcW w:w="0" w:type="auto"/>
          </w:tcPr>
          <w:p w14:paraId="09543F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24D9EA"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 Laundry and cleaning policies and procedures were available to guide care.</w:t>
            </w:r>
          </w:p>
          <w:p w14:paraId="20C89AA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product/chemical training and were observed to carry out duties safely. Chemicals were stored safely.</w:t>
            </w:r>
          </w:p>
          <w:p w14:paraId="4AE2F9A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w:t>
            </w:r>
          </w:p>
          <w:p w14:paraId="009047E0" w14:textId="77777777" w:rsidR="00000000" w:rsidRPr="00BE00C7" w:rsidRDefault="00000000" w:rsidP="00BE00C7">
            <w:pPr>
              <w:pStyle w:val="OutcomeDescription"/>
              <w:spacing w:before="120" w:after="120"/>
              <w:rPr>
                <w:rFonts w:cs="Arial"/>
                <w:lang w:eastAsia="en-NZ"/>
              </w:rPr>
            </w:pPr>
          </w:p>
        </w:tc>
      </w:tr>
      <w:tr w:rsidR="00EE59E2" w14:paraId="38543F51" w14:textId="77777777">
        <w:tc>
          <w:tcPr>
            <w:tcW w:w="0" w:type="auto"/>
          </w:tcPr>
          <w:p w14:paraId="463761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5B17D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5301AE4" w14:textId="77777777" w:rsidR="00000000" w:rsidRPr="00BE00C7" w:rsidRDefault="00000000" w:rsidP="00BE00C7">
            <w:pPr>
              <w:pStyle w:val="OutcomeDescription"/>
              <w:spacing w:before="120" w:after="120"/>
              <w:rPr>
                <w:rFonts w:cs="Arial"/>
                <w:lang w:eastAsia="en-NZ"/>
              </w:rPr>
            </w:pPr>
          </w:p>
        </w:tc>
        <w:tc>
          <w:tcPr>
            <w:tcW w:w="0" w:type="auto"/>
          </w:tcPr>
          <w:p w14:paraId="71844E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CA54DA"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demonstrates commitment to this, supported by a member of the executive leadership at operational level.  At the time of audit, four residents were using a restraint. Any use of restraint is reported to the governing body.</w:t>
            </w:r>
          </w:p>
          <w:p w14:paraId="1C2616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policies and procedures for restraint elimination and safe practice were being reviewed. Staff have been trained in the least restrictive practice, safe restraint practice, alternative cultural-specific interventions, and de-escalation techniques. </w:t>
            </w:r>
          </w:p>
          <w:p w14:paraId="7C3AD8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group is responsible for the approval of the use of restraints and the restraint processes. There are clear lines </w:t>
            </w:r>
            <w:r w:rsidRPr="00BE00C7">
              <w:rPr>
                <w:rFonts w:cs="Arial"/>
                <w:lang w:eastAsia="en-NZ"/>
              </w:rPr>
              <w:lastRenderedPageBreak/>
              <w:t>of accountability, all restraints have been approved, and the overall use of restraint is being monitored and analysed. Whānau/EPOA are involved in decision-making.</w:t>
            </w:r>
          </w:p>
          <w:p w14:paraId="78999E21" w14:textId="77777777" w:rsidR="00000000" w:rsidRPr="00BE00C7" w:rsidRDefault="00000000" w:rsidP="00BE00C7">
            <w:pPr>
              <w:pStyle w:val="OutcomeDescription"/>
              <w:spacing w:before="120" w:after="120"/>
              <w:rPr>
                <w:rFonts w:cs="Arial"/>
                <w:lang w:eastAsia="en-NZ"/>
              </w:rPr>
            </w:pPr>
          </w:p>
        </w:tc>
      </w:tr>
      <w:tr w:rsidR="00EE59E2" w14:paraId="0F620859" w14:textId="77777777">
        <w:tc>
          <w:tcPr>
            <w:tcW w:w="0" w:type="auto"/>
          </w:tcPr>
          <w:p w14:paraId="130DCC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136A84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86AA320" w14:textId="77777777" w:rsidR="00000000" w:rsidRPr="00BE00C7" w:rsidRDefault="00000000" w:rsidP="00BE00C7">
            <w:pPr>
              <w:pStyle w:val="OutcomeDescription"/>
              <w:spacing w:before="120" w:after="120"/>
              <w:rPr>
                <w:rFonts w:cs="Arial"/>
                <w:lang w:eastAsia="en-NZ"/>
              </w:rPr>
            </w:pPr>
          </w:p>
        </w:tc>
        <w:tc>
          <w:tcPr>
            <w:tcW w:w="0" w:type="auto"/>
          </w:tcPr>
          <w:p w14:paraId="2E0107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85A8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restraint is used, this is as a last resort when all alternatives have been explored. Assessments for the use of restraint, monitoring and evaluation was documented and included all requirements of the standard. Whānau interviewed confirmed their involvement.  Access to advocacy is facilitated as necessary.   </w:t>
            </w:r>
          </w:p>
          <w:p w14:paraId="3AA984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restraint is overseen by the clinical nurse lead and takes into consideration the person’s cultural, physical, psychological and psychosocial needs, and addresses wairuatanga. </w:t>
            </w:r>
          </w:p>
          <w:p w14:paraId="1453064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and is reviewed at each restraint approval group meeting. The register contained enough information to provide an auditable record, including all requirements of the standard. No emergency restraint has been implemented  or required over the last two years as per the restraint register reviewed. The four residents requiring a restraint had bed rails in place.</w:t>
            </w:r>
          </w:p>
          <w:p w14:paraId="5023FB06" w14:textId="77777777" w:rsidR="00000000" w:rsidRPr="00BE00C7" w:rsidRDefault="00000000" w:rsidP="00BE00C7">
            <w:pPr>
              <w:pStyle w:val="OutcomeDescription"/>
              <w:spacing w:before="120" w:after="120"/>
              <w:rPr>
                <w:rFonts w:cs="Arial"/>
                <w:lang w:eastAsia="en-NZ"/>
              </w:rPr>
            </w:pPr>
          </w:p>
        </w:tc>
      </w:tr>
      <w:tr w:rsidR="00EE59E2" w14:paraId="3FEDA3D3" w14:textId="77777777">
        <w:tc>
          <w:tcPr>
            <w:tcW w:w="0" w:type="auto"/>
          </w:tcPr>
          <w:p w14:paraId="3EE6F8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3DE2B7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3DB3B33C" w14:textId="77777777" w:rsidR="00000000" w:rsidRPr="00BE00C7" w:rsidRDefault="00000000" w:rsidP="00BE00C7">
            <w:pPr>
              <w:pStyle w:val="OutcomeDescription"/>
              <w:spacing w:before="120" w:after="120"/>
              <w:rPr>
                <w:rFonts w:cs="Arial"/>
                <w:lang w:eastAsia="en-NZ"/>
              </w:rPr>
            </w:pPr>
          </w:p>
        </w:tc>
        <w:tc>
          <w:tcPr>
            <w:tcW w:w="0" w:type="auto"/>
          </w:tcPr>
          <w:p w14:paraId="31EFCF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F83F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undertakes a six-monthly review of all restraint use, which includes all the requirements of the standard. The outcome of the review is reported to the governance body.  Any changes to policies, guidelines, education and processes are implemented if indicated. The use of restraint has been reduced by six over the past year.</w:t>
            </w:r>
          </w:p>
          <w:p w14:paraId="699623F0" w14:textId="77777777" w:rsidR="00000000" w:rsidRPr="00BE00C7" w:rsidRDefault="00000000" w:rsidP="00BE00C7">
            <w:pPr>
              <w:pStyle w:val="OutcomeDescription"/>
              <w:spacing w:before="120" w:after="120"/>
              <w:rPr>
                <w:rFonts w:cs="Arial"/>
                <w:lang w:eastAsia="en-NZ"/>
              </w:rPr>
            </w:pPr>
          </w:p>
        </w:tc>
      </w:tr>
    </w:tbl>
    <w:p w14:paraId="1AB2B63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505FACE" w14:textId="77777777" w:rsidR="00000000" w:rsidRDefault="00000000">
      <w:pPr>
        <w:pStyle w:val="Heading1"/>
        <w:rPr>
          <w:rFonts w:cs="Arial"/>
        </w:rPr>
      </w:pPr>
      <w:r>
        <w:rPr>
          <w:rFonts w:cs="Arial"/>
        </w:rPr>
        <w:lastRenderedPageBreak/>
        <w:t>Specific results for criterion where corrective actions are required</w:t>
      </w:r>
    </w:p>
    <w:p w14:paraId="617396F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A734B5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41CFDC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302"/>
        <w:gridCol w:w="3785"/>
        <w:gridCol w:w="3639"/>
        <w:gridCol w:w="2538"/>
      </w:tblGrid>
      <w:tr w:rsidR="00EE59E2" w14:paraId="796209F0" w14:textId="77777777">
        <w:tc>
          <w:tcPr>
            <w:tcW w:w="0" w:type="auto"/>
          </w:tcPr>
          <w:p w14:paraId="07407A3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F9E197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433FD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1F43C7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1C0B81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E59E2" w14:paraId="630A4D26" w14:textId="77777777">
        <w:tc>
          <w:tcPr>
            <w:tcW w:w="0" w:type="auto"/>
          </w:tcPr>
          <w:p w14:paraId="41242B0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1.1.1</w:t>
            </w:r>
          </w:p>
          <w:p w14:paraId="2392B815"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embed and enact Te Tiriti o Waitangi within all its work, recognising Māori, and supporting Māori in their aspirations, whatever they are (that is, recognising mana motuhake).</w:t>
            </w:r>
          </w:p>
        </w:tc>
        <w:tc>
          <w:tcPr>
            <w:tcW w:w="0" w:type="auto"/>
          </w:tcPr>
          <w:p w14:paraId="4EACB4A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29A44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Whare Tāpa Whā model of care had been adopted by the organisation to use as the model of care for residents who identified as Māori. There were 33 Māori residents at the facility at the time of audit. Individual residents’ care plans reviewed did not demonstrate the implementation of Te Whare Tapa Whā model of care in any of the care plans reviewed.  Despite the care plans not being implemented, the residents and whānau were pleased with the care and support they received, and whanau were always welcome to visit the facility.   </w:t>
            </w:r>
          </w:p>
          <w:p w14:paraId="033EFAF0" w14:textId="77777777" w:rsidR="00000000" w:rsidRPr="00BE00C7" w:rsidRDefault="00000000" w:rsidP="00BE00C7">
            <w:pPr>
              <w:pStyle w:val="OutcomeDescription"/>
              <w:spacing w:before="120" w:after="120"/>
              <w:rPr>
                <w:rFonts w:cs="Arial"/>
                <w:lang w:eastAsia="en-NZ"/>
              </w:rPr>
            </w:pPr>
          </w:p>
        </w:tc>
        <w:tc>
          <w:tcPr>
            <w:tcW w:w="0" w:type="auto"/>
          </w:tcPr>
          <w:p w14:paraId="222D82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model of care, Te Whare Tapa Whā, had not been implemented into the planning of care for residents who identified as Māori.</w:t>
            </w:r>
          </w:p>
          <w:p w14:paraId="46FA4D16" w14:textId="77777777" w:rsidR="00000000" w:rsidRPr="00BE00C7" w:rsidRDefault="00000000" w:rsidP="00BE00C7">
            <w:pPr>
              <w:pStyle w:val="OutcomeDescription"/>
              <w:spacing w:before="120" w:after="120"/>
              <w:rPr>
                <w:rFonts w:cs="Arial"/>
                <w:lang w:eastAsia="en-NZ"/>
              </w:rPr>
            </w:pPr>
          </w:p>
        </w:tc>
        <w:tc>
          <w:tcPr>
            <w:tcW w:w="0" w:type="auto"/>
          </w:tcPr>
          <w:p w14:paraId="0B6C1E9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appropriate model of care has been implemented into the planning of care for residents who identify as Māori.</w:t>
            </w:r>
          </w:p>
          <w:p w14:paraId="4DDF0370" w14:textId="77777777" w:rsidR="00000000" w:rsidRPr="00BE00C7" w:rsidRDefault="00000000" w:rsidP="00BE00C7">
            <w:pPr>
              <w:pStyle w:val="OutcomeDescription"/>
              <w:spacing w:before="120" w:after="120"/>
              <w:rPr>
                <w:rFonts w:cs="Arial"/>
                <w:lang w:eastAsia="en-NZ"/>
              </w:rPr>
            </w:pPr>
          </w:p>
          <w:p w14:paraId="7F93C57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43A3363F" w14:textId="77777777">
        <w:tc>
          <w:tcPr>
            <w:tcW w:w="0" w:type="auto"/>
          </w:tcPr>
          <w:p w14:paraId="1D3EA79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1.4.5</w:t>
            </w:r>
          </w:p>
          <w:p w14:paraId="07AF03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Services shall ensure health care and support </w:t>
            </w:r>
            <w:r w:rsidRPr="00BE00C7">
              <w:rPr>
                <w:rFonts w:cs="Arial"/>
                <w:lang w:eastAsia="en-NZ"/>
              </w:rPr>
              <w:lastRenderedPageBreak/>
              <w:t>workers receive Te Tiriti o Waitangi training and that this is reflected in day-to-day service delivery.</w:t>
            </w:r>
          </w:p>
        </w:tc>
        <w:tc>
          <w:tcPr>
            <w:tcW w:w="0" w:type="auto"/>
          </w:tcPr>
          <w:p w14:paraId="602044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0EFB9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had access to a Māori Culture Handbook and Tikanga best practice guideline flipcharts. Staff explained how </w:t>
            </w:r>
            <w:r w:rsidRPr="00BE00C7">
              <w:rPr>
                <w:rFonts w:cs="Arial"/>
                <w:lang w:eastAsia="en-NZ"/>
              </w:rPr>
              <w:lastRenderedPageBreak/>
              <w:t>they apply the principles of Te Tiriti o Waitangi in their daily work. However, staff cultural safety education and/or Te Tiriti o Waitangi education/ training has not been provided as confirmed by staff in interviews and staff records reviewed.</w:t>
            </w:r>
          </w:p>
          <w:p w14:paraId="17A5065C" w14:textId="77777777" w:rsidR="00000000" w:rsidRPr="00BE00C7" w:rsidRDefault="00000000" w:rsidP="00BE00C7">
            <w:pPr>
              <w:pStyle w:val="OutcomeDescription"/>
              <w:spacing w:before="120" w:after="120"/>
              <w:rPr>
                <w:rFonts w:cs="Arial"/>
                <w:lang w:eastAsia="en-NZ"/>
              </w:rPr>
            </w:pPr>
          </w:p>
        </w:tc>
        <w:tc>
          <w:tcPr>
            <w:tcW w:w="0" w:type="auto"/>
          </w:tcPr>
          <w:p w14:paraId="30F1B8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have not completed cultural safety education and/or Te Tiriti o Waitangi education/training.</w:t>
            </w:r>
          </w:p>
          <w:p w14:paraId="4432D456" w14:textId="77777777" w:rsidR="00000000" w:rsidRPr="00BE00C7" w:rsidRDefault="00000000" w:rsidP="00BE00C7">
            <w:pPr>
              <w:pStyle w:val="OutcomeDescription"/>
              <w:spacing w:before="120" w:after="120"/>
              <w:rPr>
                <w:rFonts w:cs="Arial"/>
                <w:lang w:eastAsia="en-NZ"/>
              </w:rPr>
            </w:pPr>
          </w:p>
        </w:tc>
        <w:tc>
          <w:tcPr>
            <w:tcW w:w="0" w:type="auto"/>
          </w:tcPr>
          <w:p w14:paraId="6D08C0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staff complete the required cultural safety and/ or Te Tiriti training </w:t>
            </w:r>
            <w:r w:rsidRPr="00BE00C7">
              <w:rPr>
                <w:rFonts w:cs="Arial"/>
                <w:lang w:eastAsia="en-NZ"/>
              </w:rPr>
              <w:lastRenderedPageBreak/>
              <w:t>/education to meet the criterion requirement.</w:t>
            </w:r>
          </w:p>
          <w:p w14:paraId="03BEB5FC" w14:textId="77777777" w:rsidR="00000000" w:rsidRPr="00BE00C7" w:rsidRDefault="00000000" w:rsidP="00BE00C7">
            <w:pPr>
              <w:pStyle w:val="OutcomeDescription"/>
              <w:spacing w:before="120" w:after="120"/>
              <w:rPr>
                <w:rFonts w:cs="Arial"/>
                <w:lang w:eastAsia="en-NZ"/>
              </w:rPr>
            </w:pPr>
          </w:p>
          <w:p w14:paraId="465846D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257D3C3E" w14:textId="77777777">
        <w:tc>
          <w:tcPr>
            <w:tcW w:w="0" w:type="auto"/>
          </w:tcPr>
          <w:p w14:paraId="6764DDE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23A30BD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410B08A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57FA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training records were reviewed. The service provider has worked effectively to ensure the care staff have completed the NZQA training levels; however, the other topics required to be covered, including cultural training, Te Tiriti o Waitangi and equity training, manual training, infection prevention, wound care management and skin tears have not been completed or recorded appropriately.</w:t>
            </w:r>
          </w:p>
          <w:p w14:paraId="4D1FFF6A" w14:textId="77777777" w:rsidR="00000000" w:rsidRPr="00BE00C7" w:rsidRDefault="00000000" w:rsidP="00BE00C7">
            <w:pPr>
              <w:pStyle w:val="OutcomeDescription"/>
              <w:spacing w:before="120" w:after="120"/>
              <w:rPr>
                <w:rFonts w:cs="Arial"/>
                <w:lang w:eastAsia="en-NZ"/>
              </w:rPr>
            </w:pPr>
          </w:p>
        </w:tc>
        <w:tc>
          <w:tcPr>
            <w:tcW w:w="0" w:type="auto"/>
          </w:tcPr>
          <w:p w14:paraId="5F965EAC" w14:textId="77777777" w:rsidR="00000000" w:rsidRPr="00BE00C7" w:rsidRDefault="00000000" w:rsidP="00BE00C7">
            <w:pPr>
              <w:pStyle w:val="OutcomeDescription"/>
              <w:spacing w:before="120" w:after="120"/>
              <w:rPr>
                <w:rFonts w:cs="Arial"/>
                <w:lang w:eastAsia="en-NZ"/>
              </w:rPr>
            </w:pPr>
            <w:r w:rsidRPr="00BE00C7">
              <w:rPr>
                <w:rFonts w:cs="Arial"/>
                <w:lang w:eastAsia="en-NZ"/>
              </w:rPr>
              <w:t>Minimal training and/or competencies had been completed and recorded, to ensure care staff can provide high quality and safe services.</w:t>
            </w:r>
          </w:p>
          <w:p w14:paraId="26BACC2B" w14:textId="77777777" w:rsidR="00000000" w:rsidRPr="00BE00C7" w:rsidRDefault="00000000" w:rsidP="00BE00C7">
            <w:pPr>
              <w:pStyle w:val="OutcomeDescription"/>
              <w:spacing w:before="120" w:after="120"/>
              <w:rPr>
                <w:rFonts w:cs="Arial"/>
                <w:lang w:eastAsia="en-NZ"/>
              </w:rPr>
            </w:pPr>
          </w:p>
        </w:tc>
        <w:tc>
          <w:tcPr>
            <w:tcW w:w="0" w:type="auto"/>
          </w:tcPr>
          <w:p w14:paraId="673765B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training and competencies have been completed to meet the needs of the Ngā Paerewa Standard and the obligations of the service’s agreement with Te Whatu Ora Tairāwhiti.</w:t>
            </w:r>
          </w:p>
          <w:p w14:paraId="5346CE83" w14:textId="77777777" w:rsidR="00000000" w:rsidRPr="00BE00C7" w:rsidRDefault="00000000" w:rsidP="00BE00C7">
            <w:pPr>
              <w:pStyle w:val="OutcomeDescription"/>
              <w:spacing w:before="120" w:after="120"/>
              <w:rPr>
                <w:rFonts w:cs="Arial"/>
                <w:lang w:eastAsia="en-NZ"/>
              </w:rPr>
            </w:pPr>
          </w:p>
          <w:p w14:paraId="5E6D630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729D301C" w14:textId="77777777">
        <w:tc>
          <w:tcPr>
            <w:tcW w:w="0" w:type="auto"/>
          </w:tcPr>
          <w:p w14:paraId="507CE68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2.4.3</w:t>
            </w:r>
          </w:p>
          <w:p w14:paraId="62A56266"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qualifications shall be validated prior to employment, including evidence of registration and scope of practice for health care and support workers.</w:t>
            </w:r>
          </w:p>
        </w:tc>
        <w:tc>
          <w:tcPr>
            <w:tcW w:w="0" w:type="auto"/>
          </w:tcPr>
          <w:p w14:paraId="7DBCBF3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008A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CH&amp;VM interviewed discussed the process for verifying the professional qualifications of all employed and contracted health professionals annually. A hard copy record of all current annual practising certificates (APCs) were maintained by the administrator. The employed health professional’s APCs were sighted, and were current. However, the contracted health professionals in particular the general practitioners from five medical practices who provided medical oversight to residents at this facility, had not had their APCs validated and recorded.</w:t>
            </w:r>
          </w:p>
          <w:p w14:paraId="28DBC05D" w14:textId="77777777" w:rsidR="00000000" w:rsidRPr="00BE00C7" w:rsidRDefault="00000000" w:rsidP="00BE00C7">
            <w:pPr>
              <w:pStyle w:val="OutcomeDescription"/>
              <w:spacing w:before="120" w:after="120"/>
              <w:rPr>
                <w:rFonts w:cs="Arial"/>
                <w:lang w:eastAsia="en-NZ"/>
              </w:rPr>
            </w:pPr>
          </w:p>
        </w:tc>
        <w:tc>
          <w:tcPr>
            <w:tcW w:w="0" w:type="auto"/>
          </w:tcPr>
          <w:p w14:paraId="116F6A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Contracted service providers such as the dietitian, podiatrist, the nurse practitioner, the pharmacist, and the pharmacy licence to operate, were all recorded appropriately in the folders reviewed. However, medical staff from five practices who cover the residents at this facility did not have their individual APCs and scopes of practice validated and recorded for 2025.</w:t>
            </w:r>
          </w:p>
          <w:p w14:paraId="7A4B26FB" w14:textId="77777777" w:rsidR="00000000" w:rsidRPr="00BE00C7" w:rsidRDefault="00000000" w:rsidP="00BE00C7">
            <w:pPr>
              <w:pStyle w:val="OutcomeDescription"/>
              <w:spacing w:before="120" w:after="120"/>
              <w:rPr>
                <w:rFonts w:cs="Arial"/>
                <w:lang w:eastAsia="en-NZ"/>
              </w:rPr>
            </w:pPr>
          </w:p>
        </w:tc>
        <w:tc>
          <w:tcPr>
            <w:tcW w:w="0" w:type="auto"/>
          </w:tcPr>
          <w:p w14:paraId="30236B5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contracted health professionals have their annual practising certificates, registration and scopes of practice verified and recorded annually.</w:t>
            </w:r>
          </w:p>
          <w:p w14:paraId="59D8A6EA" w14:textId="77777777" w:rsidR="00000000" w:rsidRPr="00BE00C7" w:rsidRDefault="00000000" w:rsidP="00BE00C7">
            <w:pPr>
              <w:pStyle w:val="OutcomeDescription"/>
              <w:spacing w:before="120" w:after="120"/>
              <w:rPr>
                <w:rFonts w:cs="Arial"/>
                <w:lang w:eastAsia="en-NZ"/>
              </w:rPr>
            </w:pPr>
          </w:p>
          <w:p w14:paraId="67884A7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1221D8A2" w14:textId="77777777">
        <w:tc>
          <w:tcPr>
            <w:tcW w:w="0" w:type="auto"/>
          </w:tcPr>
          <w:p w14:paraId="134B989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56287F7D"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6AAFBA9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2955CE9"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of eight individual staff records reviewed did not have any records of orientation/induction being provided for new staff.</w:t>
            </w:r>
          </w:p>
          <w:p w14:paraId="671A49BB" w14:textId="77777777" w:rsidR="00000000" w:rsidRPr="00BE00C7" w:rsidRDefault="00000000" w:rsidP="00BE00C7">
            <w:pPr>
              <w:pStyle w:val="OutcomeDescription"/>
              <w:spacing w:before="120" w:after="120"/>
              <w:rPr>
                <w:rFonts w:cs="Arial"/>
                <w:lang w:eastAsia="en-NZ"/>
              </w:rPr>
            </w:pPr>
          </w:p>
        </w:tc>
        <w:tc>
          <w:tcPr>
            <w:tcW w:w="0" w:type="auto"/>
          </w:tcPr>
          <w:p w14:paraId="768B8B2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records reviewed evidenced that orientation for newly employed staff had not been consistently provided and/or recorded, in the individual staff records reviewed.</w:t>
            </w:r>
          </w:p>
          <w:p w14:paraId="62658F63" w14:textId="77777777" w:rsidR="00000000" w:rsidRPr="00BE00C7" w:rsidRDefault="00000000" w:rsidP="00BE00C7">
            <w:pPr>
              <w:pStyle w:val="OutcomeDescription"/>
              <w:spacing w:before="120" w:after="120"/>
              <w:rPr>
                <w:rFonts w:cs="Arial"/>
                <w:lang w:eastAsia="en-NZ"/>
              </w:rPr>
            </w:pPr>
          </w:p>
        </w:tc>
        <w:tc>
          <w:tcPr>
            <w:tcW w:w="0" w:type="auto"/>
          </w:tcPr>
          <w:p w14:paraId="6D3AA28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full orientation occurs at commencement of employment and that this is consistently recorded.</w:t>
            </w:r>
          </w:p>
          <w:p w14:paraId="7D790B06" w14:textId="77777777" w:rsidR="00000000" w:rsidRPr="00BE00C7" w:rsidRDefault="00000000" w:rsidP="00BE00C7">
            <w:pPr>
              <w:pStyle w:val="OutcomeDescription"/>
              <w:spacing w:before="120" w:after="120"/>
              <w:rPr>
                <w:rFonts w:cs="Arial"/>
                <w:lang w:eastAsia="en-NZ"/>
              </w:rPr>
            </w:pPr>
          </w:p>
          <w:p w14:paraId="27A8CF3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54D3306F" w14:textId="77777777">
        <w:tc>
          <w:tcPr>
            <w:tcW w:w="0" w:type="auto"/>
          </w:tcPr>
          <w:p w14:paraId="3780710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557DF463"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5C154C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2BC3CB"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personal records were reviewed at audit. Annual appraisals could not be verified in the records reviewed. The CH&amp;VM was interviewed and was aware of this shortfall. No schedule had been developed and implemented for completing staff appraisals. Five of eight annual staff performance appraisals had not been completed in a timely manner. Some appraisals were six months or more overdue. The Code of Conduct forms were blank in the records reviewed.</w:t>
            </w:r>
          </w:p>
          <w:p w14:paraId="02032402" w14:textId="77777777" w:rsidR="00000000" w:rsidRPr="00BE00C7" w:rsidRDefault="00000000" w:rsidP="00BE00C7">
            <w:pPr>
              <w:pStyle w:val="OutcomeDescription"/>
              <w:spacing w:before="120" w:after="120"/>
              <w:rPr>
                <w:rFonts w:cs="Arial"/>
                <w:lang w:eastAsia="en-NZ"/>
              </w:rPr>
            </w:pPr>
          </w:p>
        </w:tc>
        <w:tc>
          <w:tcPr>
            <w:tcW w:w="0" w:type="auto"/>
          </w:tcPr>
          <w:p w14:paraId="4D890B5C"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randomly selected staff records reviewed, annual performance appraisals had not been completed in five of eight records reviewed, and the Code of Conduct forms had not been signed and dated in all eight records reviewed.</w:t>
            </w:r>
          </w:p>
          <w:p w14:paraId="1D85AFD4" w14:textId="77777777" w:rsidR="00000000" w:rsidRPr="00BE00C7" w:rsidRDefault="00000000" w:rsidP="00BE00C7">
            <w:pPr>
              <w:pStyle w:val="OutcomeDescription"/>
              <w:spacing w:before="120" w:after="120"/>
              <w:rPr>
                <w:rFonts w:cs="Arial"/>
                <w:lang w:eastAsia="en-NZ"/>
              </w:rPr>
            </w:pPr>
          </w:p>
        </w:tc>
        <w:tc>
          <w:tcPr>
            <w:tcW w:w="0" w:type="auto"/>
          </w:tcPr>
          <w:p w14:paraId="2CB7159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Code of Conduct forms are signed and dated, and that annual performance appraisals for staff are completed in a timely manner and appropriately recorded.</w:t>
            </w:r>
          </w:p>
          <w:p w14:paraId="06C4C0FD" w14:textId="77777777" w:rsidR="00000000" w:rsidRPr="00BE00C7" w:rsidRDefault="00000000" w:rsidP="00BE00C7">
            <w:pPr>
              <w:pStyle w:val="OutcomeDescription"/>
              <w:spacing w:before="120" w:after="120"/>
              <w:rPr>
                <w:rFonts w:cs="Arial"/>
                <w:lang w:eastAsia="en-NZ"/>
              </w:rPr>
            </w:pPr>
          </w:p>
          <w:p w14:paraId="452C700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2948C9D2" w14:textId="77777777">
        <w:tc>
          <w:tcPr>
            <w:tcW w:w="0" w:type="auto"/>
          </w:tcPr>
          <w:p w14:paraId="44F5F56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2AD3690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0B70DC6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3C4315D"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residents who had been admitted were maintained. Reasons for declining entry were recorded on the enquiry records. However, routine analysis to show entry and decline rates, including specific data for entry and decline rates for Māori, had not been implemented.</w:t>
            </w:r>
          </w:p>
          <w:p w14:paraId="18A67D60" w14:textId="77777777" w:rsidR="00000000" w:rsidRPr="00BE00C7" w:rsidRDefault="00000000" w:rsidP="00BE00C7">
            <w:pPr>
              <w:pStyle w:val="OutcomeDescription"/>
              <w:spacing w:before="120" w:after="120"/>
              <w:rPr>
                <w:rFonts w:cs="Arial"/>
                <w:lang w:eastAsia="en-NZ"/>
              </w:rPr>
            </w:pPr>
          </w:p>
        </w:tc>
        <w:tc>
          <w:tcPr>
            <w:tcW w:w="0" w:type="auto"/>
          </w:tcPr>
          <w:p w14:paraId="46249561" w14:textId="77777777" w:rsidR="00000000" w:rsidRPr="00BE00C7" w:rsidRDefault="00000000" w:rsidP="00BE00C7">
            <w:pPr>
              <w:pStyle w:val="OutcomeDescription"/>
              <w:spacing w:before="120" w:after="120"/>
              <w:rPr>
                <w:rFonts w:cs="Arial"/>
                <w:lang w:eastAsia="en-NZ"/>
              </w:rPr>
            </w:pPr>
            <w:r w:rsidRPr="00BE00C7">
              <w:rPr>
                <w:rFonts w:cs="Arial"/>
                <w:lang w:eastAsia="en-NZ"/>
              </w:rPr>
              <w:t>Routine analysis of entry and decline rates, including specific data for entry and decline rates for Māori, had not yet been implemented.</w:t>
            </w:r>
          </w:p>
          <w:p w14:paraId="04838B59" w14:textId="77777777" w:rsidR="00000000" w:rsidRPr="00BE00C7" w:rsidRDefault="00000000" w:rsidP="00BE00C7">
            <w:pPr>
              <w:pStyle w:val="OutcomeDescription"/>
              <w:spacing w:before="120" w:after="120"/>
              <w:rPr>
                <w:rFonts w:cs="Arial"/>
                <w:lang w:eastAsia="en-NZ"/>
              </w:rPr>
            </w:pPr>
          </w:p>
        </w:tc>
        <w:tc>
          <w:tcPr>
            <w:tcW w:w="0" w:type="auto"/>
          </w:tcPr>
          <w:p w14:paraId="4585986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routine analysis to show entry and decline rates, including specific data for entry and decline rates for Māori, is implemented.</w:t>
            </w:r>
          </w:p>
          <w:p w14:paraId="313423F9" w14:textId="77777777" w:rsidR="00000000" w:rsidRPr="00BE00C7" w:rsidRDefault="00000000" w:rsidP="00BE00C7">
            <w:pPr>
              <w:pStyle w:val="OutcomeDescription"/>
              <w:spacing w:before="120" w:after="120"/>
              <w:rPr>
                <w:rFonts w:cs="Arial"/>
                <w:lang w:eastAsia="en-NZ"/>
              </w:rPr>
            </w:pPr>
          </w:p>
          <w:p w14:paraId="3854D3A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10DBD740" w14:textId="77777777">
        <w:tc>
          <w:tcPr>
            <w:tcW w:w="0" w:type="auto"/>
          </w:tcPr>
          <w:p w14:paraId="687345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3.2.3</w:t>
            </w:r>
          </w:p>
          <w:p w14:paraId="293BFD2F"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 xml:space="preserve">(g) Early warning signs and risks that may adversely affect a person’s wellbeing </w:t>
            </w:r>
            <w:r w:rsidRPr="00BE00C7">
              <w:rPr>
                <w:rFonts w:cs="Arial"/>
                <w:lang w:eastAsia="en-NZ"/>
              </w:rPr>
              <w:lastRenderedPageBreak/>
              <w:t>are recorded, with a focus on prevention or escalation for appropriate intervention;</w:t>
            </w:r>
            <w:r w:rsidRPr="00BE00C7">
              <w:rPr>
                <w:rFonts w:cs="Arial"/>
                <w:lang w:eastAsia="en-NZ"/>
              </w:rPr>
              <w:br/>
              <w:t>(h) People’s care or support plan identifies wider service integration as required.</w:t>
            </w:r>
          </w:p>
          <w:p w14:paraId="7D6CB496" w14:textId="77777777" w:rsidR="00000000" w:rsidRPr="00BE00C7" w:rsidRDefault="00000000" w:rsidP="00BE00C7">
            <w:pPr>
              <w:pStyle w:val="OutcomeDescription"/>
              <w:spacing w:before="120" w:after="120"/>
              <w:rPr>
                <w:rFonts w:cs="Arial"/>
                <w:lang w:eastAsia="en-NZ"/>
              </w:rPr>
            </w:pPr>
          </w:p>
        </w:tc>
        <w:tc>
          <w:tcPr>
            <w:tcW w:w="0" w:type="auto"/>
          </w:tcPr>
          <w:p w14:paraId="4E58C7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EE62C8E" w14:textId="77777777" w:rsidR="00000000" w:rsidRPr="00BE00C7" w:rsidRDefault="00000000" w:rsidP="00BE00C7">
            <w:pPr>
              <w:pStyle w:val="OutcomeDescription"/>
              <w:spacing w:before="120" w:after="120"/>
              <w:rPr>
                <w:rFonts w:cs="Arial"/>
                <w:lang w:eastAsia="en-NZ"/>
              </w:rPr>
            </w:pPr>
            <w:r w:rsidRPr="00BE00C7">
              <w:rPr>
                <w:rFonts w:cs="Arial"/>
                <w:lang w:eastAsia="en-NZ"/>
              </w:rPr>
              <w:t>An electronic care plan was developed by suitably qualified staff following a comprehensive assessment. Cultural needs, values and beliefs were considered through the assessment process, including the person’s lived experience. Residents and whānau or EPOAs were involved in the development of care plans. Early warning signs and risks, with a focus on prevention or escalation for appropriate interventions, were recorded. However, four of nine care plans reviewed did not have detailed information to guide care. Residents’ strengths, goals and aspirations were not always included in the care plans, including a resident assessed at high risk of falls and using a restraint, who did not have a long-term care plan in place.</w:t>
            </w:r>
          </w:p>
          <w:p w14:paraId="1F482CA3" w14:textId="77777777" w:rsidR="00000000" w:rsidRPr="00BE00C7" w:rsidRDefault="00000000" w:rsidP="00BE00C7">
            <w:pPr>
              <w:pStyle w:val="OutcomeDescription"/>
              <w:spacing w:before="120" w:after="120"/>
              <w:rPr>
                <w:rFonts w:cs="Arial"/>
                <w:lang w:eastAsia="en-NZ"/>
              </w:rPr>
            </w:pPr>
          </w:p>
        </w:tc>
        <w:tc>
          <w:tcPr>
            <w:tcW w:w="0" w:type="auto"/>
          </w:tcPr>
          <w:p w14:paraId="2EE5360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as implemented did not include all identified needs of the residents. This included physical needs of residents, interventions, and goals of care.</w:t>
            </w:r>
          </w:p>
          <w:p w14:paraId="2A561843" w14:textId="77777777" w:rsidR="00000000" w:rsidRPr="00BE00C7" w:rsidRDefault="00000000" w:rsidP="00BE00C7">
            <w:pPr>
              <w:pStyle w:val="OutcomeDescription"/>
              <w:spacing w:before="120" w:after="120"/>
              <w:rPr>
                <w:rFonts w:cs="Arial"/>
                <w:lang w:eastAsia="en-NZ"/>
              </w:rPr>
            </w:pPr>
          </w:p>
        </w:tc>
        <w:tc>
          <w:tcPr>
            <w:tcW w:w="0" w:type="auto"/>
          </w:tcPr>
          <w:p w14:paraId="43ED8FE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identified needs of the residents are included in care planning as implemented.</w:t>
            </w:r>
          </w:p>
          <w:p w14:paraId="0BB5F799" w14:textId="77777777" w:rsidR="00000000" w:rsidRPr="00BE00C7" w:rsidRDefault="00000000" w:rsidP="00BE00C7">
            <w:pPr>
              <w:pStyle w:val="OutcomeDescription"/>
              <w:spacing w:before="120" w:after="120"/>
              <w:rPr>
                <w:rFonts w:cs="Arial"/>
                <w:lang w:eastAsia="en-NZ"/>
              </w:rPr>
            </w:pPr>
          </w:p>
          <w:p w14:paraId="5EE84CE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5084E278" w14:textId="77777777">
        <w:tc>
          <w:tcPr>
            <w:tcW w:w="0" w:type="auto"/>
          </w:tcPr>
          <w:p w14:paraId="5CDD59B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32C876EF"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4F878F6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E9567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 There were no activity plans developed to cover a 24-hour period for residents in the dementia unit. However, documentation in the progress notes showed that residents were provided with various activities to keep them occupied or to redirect them when needed. There was no qualified diversional therapist overseeing the activities programme at the time of the audit. The activities coordinators stated that they did not seek support from any qualified diversional therapist as they were not aware of this requirement.</w:t>
            </w:r>
          </w:p>
          <w:p w14:paraId="64BB9682" w14:textId="77777777" w:rsidR="00000000" w:rsidRPr="00BE00C7" w:rsidRDefault="00000000" w:rsidP="00BE00C7">
            <w:pPr>
              <w:pStyle w:val="OutcomeDescription"/>
              <w:spacing w:before="120" w:after="120"/>
              <w:rPr>
                <w:rFonts w:cs="Arial"/>
                <w:lang w:eastAsia="en-NZ"/>
              </w:rPr>
            </w:pPr>
          </w:p>
        </w:tc>
        <w:tc>
          <w:tcPr>
            <w:tcW w:w="0" w:type="auto"/>
          </w:tcPr>
          <w:p w14:paraId="0B89E92C"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in the dementia unit had a 24-hour plan describing how their behaviour is best managed over a 24-hour period, and there was no diversional therapist input or oversight of the implemented activities programme as required by the contract with Health New Zealand – Te Whatu Ora.</w:t>
            </w:r>
          </w:p>
          <w:p w14:paraId="44C2FEB2" w14:textId="77777777" w:rsidR="00000000" w:rsidRPr="00BE00C7" w:rsidRDefault="00000000" w:rsidP="00BE00C7">
            <w:pPr>
              <w:pStyle w:val="OutcomeDescription"/>
              <w:spacing w:before="120" w:after="120"/>
              <w:rPr>
                <w:rFonts w:cs="Arial"/>
                <w:lang w:eastAsia="en-NZ"/>
              </w:rPr>
            </w:pPr>
          </w:p>
        </w:tc>
        <w:tc>
          <w:tcPr>
            <w:tcW w:w="0" w:type="auto"/>
          </w:tcPr>
          <w:p w14:paraId="07B1D7F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24-hour activity plans are completed for residents in the dementia unit as required by the contract.</w:t>
            </w:r>
          </w:p>
          <w:p w14:paraId="4CB70EB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activities programme is overseen by a qualified diversional therapist as required by the contract.</w:t>
            </w:r>
          </w:p>
          <w:p w14:paraId="25BDA46F" w14:textId="77777777" w:rsidR="00000000" w:rsidRPr="00BE00C7" w:rsidRDefault="00000000" w:rsidP="00BE00C7">
            <w:pPr>
              <w:pStyle w:val="OutcomeDescription"/>
              <w:spacing w:before="120" w:after="120"/>
              <w:rPr>
                <w:rFonts w:cs="Arial"/>
                <w:lang w:eastAsia="en-NZ"/>
              </w:rPr>
            </w:pPr>
          </w:p>
          <w:p w14:paraId="7759F12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E59E2" w14:paraId="180996BD" w14:textId="77777777">
        <w:tc>
          <w:tcPr>
            <w:tcW w:w="0" w:type="auto"/>
          </w:tcPr>
          <w:p w14:paraId="14F1011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7CC4A87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1F801C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0C790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education on medication management. Interviewed staff understood the requirements to administer medication safely. The organisation’s medication administration policy requires medication administration competencies to be completed annually for all staff who administer medication. However, only </w:t>
            </w:r>
            <w:r w:rsidRPr="00BE00C7">
              <w:rPr>
                <w:rFonts w:cs="Arial"/>
                <w:lang w:eastAsia="en-NZ"/>
              </w:rPr>
              <w:lastRenderedPageBreak/>
              <w:t>12 of 22 medication administration competencies were current.</w:t>
            </w:r>
          </w:p>
          <w:p w14:paraId="5306DC46" w14:textId="77777777" w:rsidR="00000000" w:rsidRPr="00BE00C7" w:rsidRDefault="00000000" w:rsidP="00BE00C7">
            <w:pPr>
              <w:pStyle w:val="OutcomeDescription"/>
              <w:spacing w:before="120" w:after="120"/>
              <w:rPr>
                <w:rFonts w:cs="Arial"/>
                <w:lang w:eastAsia="en-NZ"/>
              </w:rPr>
            </w:pPr>
          </w:p>
        </w:tc>
        <w:tc>
          <w:tcPr>
            <w:tcW w:w="0" w:type="auto"/>
          </w:tcPr>
          <w:p w14:paraId="493D3A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 administration competencies were not current for 45% of staff who administer medication.</w:t>
            </w:r>
          </w:p>
          <w:p w14:paraId="4CFD0EBD" w14:textId="77777777" w:rsidR="00000000" w:rsidRPr="00BE00C7" w:rsidRDefault="00000000" w:rsidP="00BE00C7">
            <w:pPr>
              <w:pStyle w:val="OutcomeDescription"/>
              <w:spacing w:before="120" w:after="120"/>
              <w:rPr>
                <w:rFonts w:cs="Arial"/>
                <w:lang w:eastAsia="en-NZ"/>
              </w:rPr>
            </w:pPr>
          </w:p>
        </w:tc>
        <w:tc>
          <w:tcPr>
            <w:tcW w:w="0" w:type="auto"/>
          </w:tcPr>
          <w:p w14:paraId="232B53B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annual medication administration competencies are completed annually for all staff who administer medication.</w:t>
            </w:r>
          </w:p>
          <w:p w14:paraId="50381C6D" w14:textId="77777777" w:rsidR="00000000" w:rsidRPr="00BE00C7" w:rsidRDefault="00000000" w:rsidP="00BE00C7">
            <w:pPr>
              <w:pStyle w:val="OutcomeDescription"/>
              <w:spacing w:before="120" w:after="120"/>
              <w:rPr>
                <w:rFonts w:cs="Arial"/>
                <w:lang w:eastAsia="en-NZ"/>
              </w:rPr>
            </w:pPr>
          </w:p>
          <w:p w14:paraId="13A7663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E59E2" w14:paraId="03A0DED4" w14:textId="77777777">
        <w:tc>
          <w:tcPr>
            <w:tcW w:w="0" w:type="auto"/>
          </w:tcPr>
          <w:p w14:paraId="42E8981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4.2.3</w:t>
            </w:r>
          </w:p>
          <w:p w14:paraId="701EA1FC"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62392A4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6177E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records of fire safety emergency training being undertaken by staff six-monthly. Staff interviewed were familiar with this procedure. However, there was no training that was able to be verified in the staff training records reviewed for other emergency and security situations.</w:t>
            </w:r>
          </w:p>
          <w:p w14:paraId="0E54EC4D" w14:textId="77777777" w:rsidR="00000000" w:rsidRPr="00BE00C7" w:rsidRDefault="00000000" w:rsidP="00BE00C7">
            <w:pPr>
              <w:pStyle w:val="OutcomeDescription"/>
              <w:spacing w:before="120" w:after="120"/>
              <w:rPr>
                <w:rFonts w:cs="Arial"/>
                <w:lang w:eastAsia="en-NZ"/>
              </w:rPr>
            </w:pPr>
          </w:p>
        </w:tc>
        <w:tc>
          <w:tcPr>
            <w:tcW w:w="0" w:type="auto"/>
          </w:tcPr>
          <w:p w14:paraId="6AF9EC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records of staff completing civil defence emergency and security training as part of the education plan.</w:t>
            </w:r>
          </w:p>
          <w:p w14:paraId="10EF58F5" w14:textId="77777777" w:rsidR="00000000" w:rsidRPr="00BE00C7" w:rsidRDefault="00000000" w:rsidP="00BE00C7">
            <w:pPr>
              <w:pStyle w:val="OutcomeDescription"/>
              <w:spacing w:before="120" w:after="120"/>
              <w:rPr>
                <w:rFonts w:cs="Arial"/>
                <w:lang w:eastAsia="en-NZ"/>
              </w:rPr>
            </w:pPr>
          </w:p>
        </w:tc>
        <w:tc>
          <w:tcPr>
            <w:tcW w:w="0" w:type="auto"/>
          </w:tcPr>
          <w:p w14:paraId="4934563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civil defence emergency management and security training is provided for all staff.</w:t>
            </w:r>
          </w:p>
          <w:p w14:paraId="77DB6F90" w14:textId="77777777" w:rsidR="00000000" w:rsidRPr="00BE00C7" w:rsidRDefault="00000000" w:rsidP="00BE00C7">
            <w:pPr>
              <w:pStyle w:val="OutcomeDescription"/>
              <w:spacing w:before="120" w:after="120"/>
              <w:rPr>
                <w:rFonts w:cs="Arial"/>
                <w:lang w:eastAsia="en-NZ"/>
              </w:rPr>
            </w:pPr>
          </w:p>
          <w:p w14:paraId="3853D861"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4D91197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28B021C" w14:textId="77777777" w:rsidR="00000000" w:rsidRDefault="00000000">
      <w:pPr>
        <w:pStyle w:val="Heading1"/>
        <w:rPr>
          <w:rFonts w:cs="Arial"/>
        </w:rPr>
      </w:pPr>
      <w:r>
        <w:rPr>
          <w:rFonts w:cs="Arial"/>
        </w:rPr>
        <w:lastRenderedPageBreak/>
        <w:t>Specific results for criterion where a continuous improvement has been recorded</w:t>
      </w:r>
    </w:p>
    <w:p w14:paraId="39DCCD2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6B6467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BA87D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E59E2" w14:paraId="30CD1847" w14:textId="77777777">
        <w:tc>
          <w:tcPr>
            <w:tcW w:w="0" w:type="auto"/>
          </w:tcPr>
          <w:p w14:paraId="03FA34E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292DC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1CD871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D2D5" w14:textId="77777777" w:rsidR="00EA2AD8" w:rsidRDefault="00EA2AD8">
      <w:r>
        <w:separator/>
      </w:r>
    </w:p>
  </w:endnote>
  <w:endnote w:type="continuationSeparator" w:id="0">
    <w:p w14:paraId="5E84CD3A" w14:textId="77777777" w:rsidR="00EA2AD8" w:rsidRDefault="00EA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53C3" w14:textId="77777777" w:rsidR="00000000" w:rsidRDefault="00000000">
    <w:pPr>
      <w:pStyle w:val="Footer"/>
    </w:pPr>
  </w:p>
  <w:p w14:paraId="391F1677" w14:textId="77777777" w:rsidR="00000000" w:rsidRDefault="00000000"/>
  <w:p w14:paraId="78AD96A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CC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Dunblane Lifecare Limited - Dunblane Lifecare</w:t>
    </w:r>
    <w:bookmarkEnd w:id="59"/>
    <w:r>
      <w:rPr>
        <w:rFonts w:cs="Arial"/>
        <w:sz w:val="16"/>
        <w:szCs w:val="20"/>
      </w:rPr>
      <w:tab/>
      <w:t xml:space="preserve">Date of Audit: </w:t>
    </w:r>
    <w:bookmarkStart w:id="60" w:name="AuditStartDate1"/>
    <w:r>
      <w:rPr>
        <w:rFonts w:cs="Arial"/>
        <w:sz w:val="16"/>
        <w:szCs w:val="20"/>
      </w:rPr>
      <w:t>9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47EE03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D92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EEF1" w14:textId="77777777" w:rsidR="00EA2AD8" w:rsidRDefault="00EA2AD8">
      <w:r>
        <w:separator/>
      </w:r>
    </w:p>
  </w:footnote>
  <w:footnote w:type="continuationSeparator" w:id="0">
    <w:p w14:paraId="13D4DA12" w14:textId="77777777" w:rsidR="00EA2AD8" w:rsidRDefault="00EA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DF75" w14:textId="77777777" w:rsidR="00000000" w:rsidRDefault="00000000">
    <w:pPr>
      <w:pStyle w:val="Header"/>
    </w:pPr>
  </w:p>
  <w:p w14:paraId="72302F9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8370" w14:textId="77777777" w:rsidR="00000000" w:rsidRDefault="00000000">
    <w:pPr>
      <w:pStyle w:val="Header"/>
    </w:pPr>
  </w:p>
  <w:p w14:paraId="4B1A34C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519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67C29B6">
      <w:start w:val="1"/>
      <w:numFmt w:val="decimal"/>
      <w:lvlText w:val="%1."/>
      <w:lvlJc w:val="left"/>
      <w:pPr>
        <w:ind w:left="360" w:hanging="360"/>
      </w:pPr>
    </w:lvl>
    <w:lvl w:ilvl="1" w:tplc="95B0221A" w:tentative="1">
      <w:start w:val="1"/>
      <w:numFmt w:val="lowerLetter"/>
      <w:lvlText w:val="%2."/>
      <w:lvlJc w:val="left"/>
      <w:pPr>
        <w:ind w:left="1080" w:hanging="360"/>
      </w:pPr>
    </w:lvl>
    <w:lvl w:ilvl="2" w:tplc="B96AA776" w:tentative="1">
      <w:start w:val="1"/>
      <w:numFmt w:val="lowerRoman"/>
      <w:lvlText w:val="%3."/>
      <w:lvlJc w:val="right"/>
      <w:pPr>
        <w:ind w:left="1800" w:hanging="180"/>
      </w:pPr>
    </w:lvl>
    <w:lvl w:ilvl="3" w:tplc="E5E66F14" w:tentative="1">
      <w:start w:val="1"/>
      <w:numFmt w:val="decimal"/>
      <w:lvlText w:val="%4."/>
      <w:lvlJc w:val="left"/>
      <w:pPr>
        <w:ind w:left="2520" w:hanging="360"/>
      </w:pPr>
    </w:lvl>
    <w:lvl w:ilvl="4" w:tplc="DFEE581C" w:tentative="1">
      <w:start w:val="1"/>
      <w:numFmt w:val="lowerLetter"/>
      <w:lvlText w:val="%5."/>
      <w:lvlJc w:val="left"/>
      <w:pPr>
        <w:ind w:left="3240" w:hanging="360"/>
      </w:pPr>
    </w:lvl>
    <w:lvl w:ilvl="5" w:tplc="895AE46E" w:tentative="1">
      <w:start w:val="1"/>
      <w:numFmt w:val="lowerRoman"/>
      <w:lvlText w:val="%6."/>
      <w:lvlJc w:val="right"/>
      <w:pPr>
        <w:ind w:left="3960" w:hanging="180"/>
      </w:pPr>
    </w:lvl>
    <w:lvl w:ilvl="6" w:tplc="16B8151A" w:tentative="1">
      <w:start w:val="1"/>
      <w:numFmt w:val="decimal"/>
      <w:lvlText w:val="%7."/>
      <w:lvlJc w:val="left"/>
      <w:pPr>
        <w:ind w:left="4680" w:hanging="360"/>
      </w:pPr>
    </w:lvl>
    <w:lvl w:ilvl="7" w:tplc="0F126718" w:tentative="1">
      <w:start w:val="1"/>
      <w:numFmt w:val="lowerLetter"/>
      <w:lvlText w:val="%8."/>
      <w:lvlJc w:val="left"/>
      <w:pPr>
        <w:ind w:left="5400" w:hanging="360"/>
      </w:pPr>
    </w:lvl>
    <w:lvl w:ilvl="8" w:tplc="635EAC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4162A90">
      <w:start w:val="1"/>
      <w:numFmt w:val="bullet"/>
      <w:lvlText w:val=""/>
      <w:lvlJc w:val="left"/>
      <w:pPr>
        <w:ind w:left="720" w:hanging="360"/>
      </w:pPr>
      <w:rPr>
        <w:rFonts w:ascii="Symbol" w:hAnsi="Symbol" w:hint="default"/>
      </w:rPr>
    </w:lvl>
    <w:lvl w:ilvl="1" w:tplc="249A803E" w:tentative="1">
      <w:start w:val="1"/>
      <w:numFmt w:val="bullet"/>
      <w:lvlText w:val="o"/>
      <w:lvlJc w:val="left"/>
      <w:pPr>
        <w:ind w:left="1440" w:hanging="360"/>
      </w:pPr>
      <w:rPr>
        <w:rFonts w:ascii="Courier New" w:hAnsi="Courier New" w:cs="Courier New" w:hint="default"/>
      </w:rPr>
    </w:lvl>
    <w:lvl w:ilvl="2" w:tplc="3D02C49A" w:tentative="1">
      <w:start w:val="1"/>
      <w:numFmt w:val="bullet"/>
      <w:lvlText w:val=""/>
      <w:lvlJc w:val="left"/>
      <w:pPr>
        <w:ind w:left="2160" w:hanging="360"/>
      </w:pPr>
      <w:rPr>
        <w:rFonts w:ascii="Wingdings" w:hAnsi="Wingdings" w:hint="default"/>
      </w:rPr>
    </w:lvl>
    <w:lvl w:ilvl="3" w:tplc="DB140890" w:tentative="1">
      <w:start w:val="1"/>
      <w:numFmt w:val="bullet"/>
      <w:lvlText w:val=""/>
      <w:lvlJc w:val="left"/>
      <w:pPr>
        <w:ind w:left="2880" w:hanging="360"/>
      </w:pPr>
      <w:rPr>
        <w:rFonts w:ascii="Symbol" w:hAnsi="Symbol" w:hint="default"/>
      </w:rPr>
    </w:lvl>
    <w:lvl w:ilvl="4" w:tplc="B65C954A" w:tentative="1">
      <w:start w:val="1"/>
      <w:numFmt w:val="bullet"/>
      <w:lvlText w:val="o"/>
      <w:lvlJc w:val="left"/>
      <w:pPr>
        <w:ind w:left="3600" w:hanging="360"/>
      </w:pPr>
      <w:rPr>
        <w:rFonts w:ascii="Courier New" w:hAnsi="Courier New" w:cs="Courier New" w:hint="default"/>
      </w:rPr>
    </w:lvl>
    <w:lvl w:ilvl="5" w:tplc="BDD671FA" w:tentative="1">
      <w:start w:val="1"/>
      <w:numFmt w:val="bullet"/>
      <w:lvlText w:val=""/>
      <w:lvlJc w:val="left"/>
      <w:pPr>
        <w:ind w:left="4320" w:hanging="360"/>
      </w:pPr>
      <w:rPr>
        <w:rFonts w:ascii="Wingdings" w:hAnsi="Wingdings" w:hint="default"/>
      </w:rPr>
    </w:lvl>
    <w:lvl w:ilvl="6" w:tplc="F80A365C" w:tentative="1">
      <w:start w:val="1"/>
      <w:numFmt w:val="bullet"/>
      <w:lvlText w:val=""/>
      <w:lvlJc w:val="left"/>
      <w:pPr>
        <w:ind w:left="5040" w:hanging="360"/>
      </w:pPr>
      <w:rPr>
        <w:rFonts w:ascii="Symbol" w:hAnsi="Symbol" w:hint="default"/>
      </w:rPr>
    </w:lvl>
    <w:lvl w:ilvl="7" w:tplc="F37A140E" w:tentative="1">
      <w:start w:val="1"/>
      <w:numFmt w:val="bullet"/>
      <w:lvlText w:val="o"/>
      <w:lvlJc w:val="left"/>
      <w:pPr>
        <w:ind w:left="5760" w:hanging="360"/>
      </w:pPr>
      <w:rPr>
        <w:rFonts w:ascii="Courier New" w:hAnsi="Courier New" w:cs="Courier New" w:hint="default"/>
      </w:rPr>
    </w:lvl>
    <w:lvl w:ilvl="8" w:tplc="B534280C" w:tentative="1">
      <w:start w:val="1"/>
      <w:numFmt w:val="bullet"/>
      <w:lvlText w:val=""/>
      <w:lvlJc w:val="left"/>
      <w:pPr>
        <w:ind w:left="6480" w:hanging="360"/>
      </w:pPr>
      <w:rPr>
        <w:rFonts w:ascii="Wingdings" w:hAnsi="Wingdings" w:hint="default"/>
      </w:rPr>
    </w:lvl>
  </w:abstractNum>
  <w:num w:numId="1" w16cid:durableId="1637106560">
    <w:abstractNumId w:val="1"/>
  </w:num>
  <w:num w:numId="2" w16cid:durableId="122594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E2"/>
    <w:rsid w:val="00106A9A"/>
    <w:rsid w:val="003B0542"/>
    <w:rsid w:val="005A1C97"/>
    <w:rsid w:val="006B033A"/>
    <w:rsid w:val="00EA2AD8"/>
    <w:rsid w:val="00EE59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797C"/>
  <w15:docId w15:val="{C53ABCD0-D109-4230-BCC9-4504A4F8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11344</Words>
  <Characters>64666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2025-09-22T03:13:00Z</dcterms:created>
  <dcterms:modified xsi:type="dcterms:W3CDTF">2025-09-22T03:17:00Z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