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931F" w14:textId="77777777" w:rsidR="00000000" w:rsidRDefault="00000000">
      <w:pPr>
        <w:pStyle w:val="Heading1"/>
        <w:rPr>
          <w:rFonts w:cs="Arial"/>
        </w:rPr>
      </w:pPr>
      <w:bookmarkStart w:id="0" w:name="PRMS_RIName"/>
      <w:r>
        <w:rPr>
          <w:rFonts w:cs="Arial"/>
        </w:rPr>
        <w:t>CHT Healthcare Trust - Amberlea Hospital and Rest Home</w:t>
      </w:r>
      <w:bookmarkEnd w:id="0"/>
    </w:p>
    <w:p w14:paraId="0885E1C2" w14:textId="77777777" w:rsidR="00000000" w:rsidRDefault="00000000">
      <w:pPr>
        <w:pStyle w:val="Heading2"/>
        <w:spacing w:after="0"/>
        <w:rPr>
          <w:rFonts w:cs="Arial"/>
        </w:rPr>
      </w:pPr>
      <w:r>
        <w:rPr>
          <w:rFonts w:cs="Arial"/>
        </w:rPr>
        <w:t>Introduction</w:t>
      </w:r>
    </w:p>
    <w:p w14:paraId="13328C9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15496BA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CB2DE59"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508D48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ECDEA81" w14:textId="77777777" w:rsidR="00000000" w:rsidRDefault="00000000">
      <w:pPr>
        <w:spacing w:before="240" w:after="240"/>
        <w:rPr>
          <w:rFonts w:cs="Arial"/>
          <w:lang w:eastAsia="en-NZ"/>
        </w:rPr>
      </w:pPr>
      <w:r>
        <w:rPr>
          <w:rFonts w:cs="Arial"/>
          <w:lang w:eastAsia="en-NZ"/>
        </w:rPr>
        <w:t>The specifics of this audit included:</w:t>
      </w:r>
    </w:p>
    <w:p w14:paraId="2CAA17D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1460E60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64645A8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Amberlea Hospital and Rest Home</w:t>
      </w:r>
      <w:bookmarkEnd w:id="5"/>
    </w:p>
    <w:p w14:paraId="78F0CBC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8C72F2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17 July 2025</w:t>
      </w:r>
      <w:bookmarkEnd w:id="7"/>
      <w:r w:rsidRPr="009418D4">
        <w:rPr>
          <w:rFonts w:cs="Arial"/>
        </w:rPr>
        <w:tab/>
        <w:t xml:space="preserve">End date: </w:t>
      </w:r>
      <w:bookmarkStart w:id="8" w:name="AuditEndDate"/>
      <w:r>
        <w:rPr>
          <w:rFonts w:cs="Arial"/>
        </w:rPr>
        <w:t>18 July 2025</w:t>
      </w:r>
      <w:bookmarkEnd w:id="8"/>
    </w:p>
    <w:p w14:paraId="1C6876C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6EA1B669" w14:textId="77777777" w:rsidR="00FD1BF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63</w:t>
      </w:r>
      <w:bookmarkEnd w:id="10"/>
    </w:p>
    <w:p w14:paraId="4CDFDF9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3919107" w14:textId="77777777" w:rsidR="00000000" w:rsidRDefault="00000000">
      <w:pPr>
        <w:pStyle w:val="Heading1"/>
        <w:rPr>
          <w:rFonts w:cs="Arial"/>
        </w:rPr>
      </w:pPr>
      <w:r>
        <w:rPr>
          <w:rFonts w:cs="Arial"/>
        </w:rPr>
        <w:lastRenderedPageBreak/>
        <w:t>Executive summary of the audit</w:t>
      </w:r>
    </w:p>
    <w:p w14:paraId="427585F8" w14:textId="77777777" w:rsidR="00000000" w:rsidRDefault="00000000">
      <w:pPr>
        <w:pStyle w:val="Heading2"/>
        <w:rPr>
          <w:rFonts w:cs="Arial"/>
        </w:rPr>
      </w:pPr>
      <w:r>
        <w:rPr>
          <w:rFonts w:cs="Arial"/>
        </w:rPr>
        <w:t>Introduction</w:t>
      </w:r>
    </w:p>
    <w:p w14:paraId="31A15F6D"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6D6946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107983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B6778A7"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B8C967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4B75B12B"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D1A993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0747740"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F0F826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D1BF4" w14:paraId="2AA33B78" w14:textId="77777777">
        <w:trPr>
          <w:cantSplit/>
          <w:tblHeader/>
        </w:trPr>
        <w:tc>
          <w:tcPr>
            <w:tcW w:w="1260" w:type="dxa"/>
            <w:tcBorders>
              <w:bottom w:val="single" w:sz="4" w:space="0" w:color="000000"/>
            </w:tcBorders>
            <w:vAlign w:val="center"/>
          </w:tcPr>
          <w:p w14:paraId="610B87EF"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26AB63A"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2DD9B80" w14:textId="77777777" w:rsidR="00000000" w:rsidRDefault="00000000">
            <w:pPr>
              <w:spacing w:before="60" w:after="60"/>
              <w:rPr>
                <w:rFonts w:eastAsia="Calibri"/>
                <w:b/>
                <w:szCs w:val="24"/>
              </w:rPr>
            </w:pPr>
            <w:r>
              <w:rPr>
                <w:rFonts w:eastAsia="Calibri"/>
                <w:b/>
                <w:szCs w:val="24"/>
              </w:rPr>
              <w:t>Definition</w:t>
            </w:r>
          </w:p>
        </w:tc>
      </w:tr>
      <w:tr w:rsidR="00FD1BF4" w14:paraId="4479A875" w14:textId="77777777">
        <w:trPr>
          <w:cantSplit/>
          <w:trHeight w:val="964"/>
        </w:trPr>
        <w:tc>
          <w:tcPr>
            <w:tcW w:w="1260" w:type="dxa"/>
            <w:tcBorders>
              <w:bottom w:val="single" w:sz="4" w:space="0" w:color="000000"/>
            </w:tcBorders>
            <w:shd w:val="clear" w:color="0066FF" w:fill="0000FF"/>
            <w:vAlign w:val="center"/>
          </w:tcPr>
          <w:p w14:paraId="532D266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6267BDC"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D6A5CE0"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D1BF4" w14:paraId="0FB72D5A" w14:textId="77777777">
        <w:trPr>
          <w:cantSplit/>
          <w:trHeight w:val="964"/>
        </w:trPr>
        <w:tc>
          <w:tcPr>
            <w:tcW w:w="1260" w:type="dxa"/>
            <w:shd w:val="clear" w:color="33CC33" w:fill="00FF00"/>
            <w:vAlign w:val="center"/>
          </w:tcPr>
          <w:p w14:paraId="0A407B5B" w14:textId="77777777" w:rsidR="00000000" w:rsidRDefault="00000000">
            <w:pPr>
              <w:spacing w:before="60" w:after="60"/>
              <w:rPr>
                <w:rFonts w:eastAsia="Calibri"/>
                <w:szCs w:val="24"/>
              </w:rPr>
            </w:pPr>
          </w:p>
        </w:tc>
        <w:tc>
          <w:tcPr>
            <w:tcW w:w="7095" w:type="dxa"/>
            <w:shd w:val="clear" w:color="auto" w:fill="auto"/>
            <w:vAlign w:val="center"/>
          </w:tcPr>
          <w:p w14:paraId="66C9064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902E926"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D1BF4" w14:paraId="64F06FB5" w14:textId="77777777">
        <w:trPr>
          <w:cantSplit/>
          <w:trHeight w:val="964"/>
        </w:trPr>
        <w:tc>
          <w:tcPr>
            <w:tcW w:w="1260" w:type="dxa"/>
            <w:tcBorders>
              <w:bottom w:val="single" w:sz="4" w:space="0" w:color="000000"/>
            </w:tcBorders>
            <w:shd w:val="clear" w:color="auto" w:fill="FFFF00"/>
            <w:vAlign w:val="center"/>
          </w:tcPr>
          <w:p w14:paraId="0153814F" w14:textId="77777777" w:rsidR="00000000" w:rsidRDefault="00000000">
            <w:pPr>
              <w:spacing w:before="60" w:after="60"/>
              <w:rPr>
                <w:rFonts w:eastAsia="Calibri"/>
                <w:szCs w:val="24"/>
              </w:rPr>
            </w:pPr>
          </w:p>
        </w:tc>
        <w:tc>
          <w:tcPr>
            <w:tcW w:w="7095" w:type="dxa"/>
            <w:shd w:val="clear" w:color="auto" w:fill="auto"/>
            <w:vAlign w:val="center"/>
          </w:tcPr>
          <w:p w14:paraId="7B945C3B"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5A34DE8"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D1BF4" w14:paraId="127583DD" w14:textId="77777777">
        <w:trPr>
          <w:cantSplit/>
          <w:trHeight w:val="964"/>
        </w:trPr>
        <w:tc>
          <w:tcPr>
            <w:tcW w:w="1260" w:type="dxa"/>
            <w:tcBorders>
              <w:bottom w:val="single" w:sz="4" w:space="0" w:color="000000"/>
            </w:tcBorders>
            <w:shd w:val="clear" w:color="auto" w:fill="FFC800"/>
            <w:vAlign w:val="center"/>
          </w:tcPr>
          <w:p w14:paraId="76FA55F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CC084B9"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0B09CA1"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D1BF4" w14:paraId="1303D5B1" w14:textId="77777777">
        <w:trPr>
          <w:cantSplit/>
          <w:trHeight w:val="964"/>
        </w:trPr>
        <w:tc>
          <w:tcPr>
            <w:tcW w:w="1260" w:type="dxa"/>
            <w:shd w:val="clear" w:color="auto" w:fill="FF0000"/>
            <w:vAlign w:val="center"/>
          </w:tcPr>
          <w:p w14:paraId="415071AE" w14:textId="77777777" w:rsidR="00000000" w:rsidRDefault="00000000">
            <w:pPr>
              <w:spacing w:before="60" w:after="60"/>
              <w:rPr>
                <w:rFonts w:eastAsia="Calibri"/>
                <w:szCs w:val="24"/>
              </w:rPr>
            </w:pPr>
          </w:p>
        </w:tc>
        <w:tc>
          <w:tcPr>
            <w:tcW w:w="7095" w:type="dxa"/>
            <w:shd w:val="clear" w:color="auto" w:fill="auto"/>
            <w:vAlign w:val="center"/>
          </w:tcPr>
          <w:p w14:paraId="4625EEA0"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8403A28"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529B3E1" w14:textId="77777777" w:rsidR="00000000" w:rsidRDefault="00000000">
      <w:pPr>
        <w:pStyle w:val="Heading2"/>
        <w:spacing w:after="0"/>
        <w:rPr>
          <w:rFonts w:cs="Arial"/>
        </w:rPr>
      </w:pPr>
      <w:r>
        <w:rPr>
          <w:rFonts w:cs="Arial"/>
        </w:rPr>
        <w:t>General overview of the audit</w:t>
      </w:r>
    </w:p>
    <w:p w14:paraId="7BE68AA3" w14:textId="77777777" w:rsidR="00000000" w:rsidRDefault="00000000">
      <w:pPr>
        <w:spacing w:before="240" w:line="276" w:lineRule="auto"/>
        <w:rPr>
          <w:rFonts w:eastAsia="Calibri"/>
        </w:rPr>
      </w:pPr>
      <w:bookmarkStart w:id="13" w:name="GeneralOverview"/>
      <w:r w:rsidRPr="00A4268A">
        <w:rPr>
          <w:rFonts w:eastAsia="Calibri"/>
        </w:rPr>
        <w:t xml:space="preserve">Amberlea Hospital and Rest Home (CHT Amberlea) is operated by CHT Healthcare Trust (CHT) and is certified to provide rest home, hospital (medical and geriatric), and dementia levels of care for up to 70 residents. There were 63 residents on the days of audit. </w:t>
      </w:r>
    </w:p>
    <w:p w14:paraId="56618F7E" w14:textId="77777777" w:rsidR="00FD1BF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management, staff, and a general practitioner.</w:t>
      </w:r>
    </w:p>
    <w:p w14:paraId="77CAAD69" w14:textId="77777777" w:rsidR="00FD1BF4" w:rsidRPr="00A4268A" w:rsidRDefault="00000000">
      <w:pPr>
        <w:spacing w:before="240" w:line="276" w:lineRule="auto"/>
        <w:rPr>
          <w:rFonts w:eastAsia="Calibri"/>
        </w:rPr>
      </w:pPr>
      <w:r w:rsidRPr="00A4268A">
        <w:rPr>
          <w:rFonts w:eastAsia="Calibri"/>
        </w:rPr>
        <w:t>There has been a change in the management since the last audit. The current care home manager (a registered nurse) is appropriately qualified and experienced and is supported by an acting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356B90C7" w14:textId="77777777" w:rsidR="00FD1BF4" w:rsidRPr="00A4268A" w:rsidRDefault="00000000">
      <w:pPr>
        <w:spacing w:before="240" w:line="276" w:lineRule="auto"/>
        <w:rPr>
          <w:rFonts w:eastAsia="Calibri"/>
        </w:rPr>
      </w:pPr>
      <w:r w:rsidRPr="00A4268A">
        <w:rPr>
          <w:rFonts w:eastAsia="Calibri"/>
        </w:rPr>
        <w:t>This certification audit has identified a shortfall related to complaints management and completion of interRAI assessments.</w:t>
      </w:r>
    </w:p>
    <w:bookmarkEnd w:id="13"/>
    <w:p w14:paraId="7A9DF10A" w14:textId="77777777" w:rsidR="00FD1BF4" w:rsidRPr="00A4268A" w:rsidRDefault="00FD1BF4">
      <w:pPr>
        <w:spacing w:before="240" w:line="276" w:lineRule="auto"/>
        <w:rPr>
          <w:rFonts w:eastAsia="Calibri"/>
        </w:rPr>
      </w:pPr>
    </w:p>
    <w:p w14:paraId="1835092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7D08DF71" w14:textId="77777777" w:rsidTr="00A4268A">
        <w:trPr>
          <w:cantSplit/>
        </w:trPr>
        <w:tc>
          <w:tcPr>
            <w:tcW w:w="10206" w:type="dxa"/>
            <w:vAlign w:val="center"/>
          </w:tcPr>
          <w:p w14:paraId="45AD65E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2B19F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FFFF00"/>
            <w:vAlign w:val="center"/>
          </w:tcPr>
          <w:p w14:paraId="189125A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5D4ABD" w14:textId="77777777" w:rsidR="00000000" w:rsidRPr="00621629" w:rsidRDefault="00000000" w:rsidP="008F3634">
            <w:pPr>
              <w:spacing w:before="60" w:after="60" w:line="276" w:lineRule="auto"/>
              <w:rPr>
                <w:rFonts w:eastAsia="Calibri"/>
              </w:rPr>
            </w:pPr>
            <w:bookmarkStart w:id="15" w:name="IndicatorDescription1_1"/>
            <w:bookmarkEnd w:id="15"/>
            <w:r>
              <w:t>Some subsections applicable to this service partially attained and of low risk.</w:t>
            </w:r>
          </w:p>
        </w:tc>
      </w:tr>
    </w:tbl>
    <w:p w14:paraId="5870E763" w14:textId="77777777" w:rsidR="00000000" w:rsidRDefault="00000000">
      <w:pPr>
        <w:spacing w:before="240" w:line="276" w:lineRule="auto"/>
        <w:rPr>
          <w:rFonts w:eastAsia="Calibri"/>
        </w:rPr>
      </w:pPr>
      <w:bookmarkStart w:id="16" w:name="ConsumerRights"/>
      <w:r w:rsidRPr="00A4268A">
        <w:rPr>
          <w:rFonts w:eastAsia="Calibri"/>
        </w:rPr>
        <w:t xml:space="preserve">CHT Amberlea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their identity and their experiences. </w:t>
      </w:r>
    </w:p>
    <w:p w14:paraId="7E69AC2F" w14:textId="77777777" w:rsidR="00FD1BF4" w:rsidRPr="00A4268A" w:rsidRDefault="00000000">
      <w:pPr>
        <w:spacing w:before="240" w:line="276" w:lineRule="auto"/>
        <w:rPr>
          <w:rFonts w:eastAsia="Calibri"/>
        </w:rPr>
      </w:pPr>
      <w:r w:rsidRPr="00A4268A">
        <w:rPr>
          <w:rFonts w:eastAsia="Calibri"/>
        </w:rPr>
        <w:t>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w:t>
      </w:r>
    </w:p>
    <w:bookmarkEnd w:id="16"/>
    <w:p w14:paraId="36FF8481" w14:textId="77777777" w:rsidR="00FD1BF4" w:rsidRPr="00A4268A" w:rsidRDefault="00FD1BF4">
      <w:pPr>
        <w:spacing w:before="240" w:line="276" w:lineRule="auto"/>
        <w:rPr>
          <w:rFonts w:eastAsia="Calibri"/>
        </w:rPr>
      </w:pPr>
    </w:p>
    <w:p w14:paraId="038B2567"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7F0058EE" w14:textId="77777777" w:rsidTr="00A4268A">
        <w:trPr>
          <w:cantSplit/>
        </w:trPr>
        <w:tc>
          <w:tcPr>
            <w:tcW w:w="10206" w:type="dxa"/>
            <w:vAlign w:val="center"/>
          </w:tcPr>
          <w:p w14:paraId="0C26A06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0E49444"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C18D06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B60AE47" w14:textId="77777777" w:rsidR="00000000" w:rsidRDefault="00000000">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CHT Amberlea business plan includes a mission statement and operational objectives. The service has quality and risk management systems in place that takes a risk-based approach, to meet the needs of residents and their staff. Internal audits, meetings, and </w:t>
      </w:r>
      <w:r w:rsidRPr="00A4268A">
        <w:rPr>
          <w:rFonts w:eastAsia="Calibri"/>
        </w:rPr>
        <w:lastRenderedPageBreak/>
        <w:t xml:space="preserve">collation of data is completed, with corrective actions developed as indicated. Meeting schedules are maintained. A health and safety programme is implemented. Hazards are managed. Incident forms are documented, and results are analysed. </w:t>
      </w:r>
    </w:p>
    <w:p w14:paraId="570AB188" w14:textId="77777777" w:rsidR="00FD1BF4" w:rsidRPr="00A4268A" w:rsidRDefault="00000000">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w:t>
      </w:r>
    </w:p>
    <w:p w14:paraId="5049A325" w14:textId="77777777" w:rsidR="00FD1BF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34049C22" w14:textId="77777777" w:rsidR="00FD1BF4" w:rsidRPr="00A4268A" w:rsidRDefault="00FD1BF4">
      <w:pPr>
        <w:spacing w:before="240" w:line="276" w:lineRule="auto"/>
        <w:rPr>
          <w:rFonts w:eastAsia="Calibri"/>
        </w:rPr>
      </w:pPr>
    </w:p>
    <w:p w14:paraId="2FE68817"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5888FDD9" w14:textId="77777777" w:rsidTr="00A4268A">
        <w:trPr>
          <w:cantSplit/>
        </w:trPr>
        <w:tc>
          <w:tcPr>
            <w:tcW w:w="10206" w:type="dxa"/>
            <w:vAlign w:val="center"/>
          </w:tcPr>
          <w:p w14:paraId="39FF95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1D1BE89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2B72EBE"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A7F4AF8"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nursing team is responsible for assessing, developing, and evaluating care plans. Care plans were individualised and based on the residents’ assessed needs. Interventions were appropriate and evaluated.</w:t>
      </w:r>
    </w:p>
    <w:p w14:paraId="206BDD78" w14:textId="77777777" w:rsidR="00FD1BF4" w:rsidRPr="00A4268A" w:rsidRDefault="00000000" w:rsidP="00621629">
      <w:pPr>
        <w:spacing w:before="240" w:line="276" w:lineRule="auto"/>
        <w:rPr>
          <w:rFonts w:eastAsia="Calibri"/>
        </w:rPr>
      </w:pPr>
      <w:r w:rsidRPr="00A4268A">
        <w:rPr>
          <w:rFonts w:eastAsia="Calibri"/>
        </w:rPr>
        <w:t xml:space="preserve">Activities are planned to address the needs and interests of the residents as individuals and in group settings. Activity plans are completed in consultation with family/whanau, residents, and staff. Activities developed cover a twenty-four-hour period for residents in the special care unit. Residents and family/whānau expressed satisfaction with the activity programme in place. </w:t>
      </w:r>
    </w:p>
    <w:p w14:paraId="651C021C" w14:textId="77777777" w:rsidR="00FD1BF4"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to prescribe and administer medications. The general practitioner is responsible for all medication reviews. Staff involved in medication administration are assessed as competent to do so.</w:t>
      </w:r>
    </w:p>
    <w:p w14:paraId="7E89CAE1" w14:textId="77777777" w:rsidR="00FD1BF4" w:rsidRPr="00A4268A" w:rsidRDefault="00000000" w:rsidP="00621629">
      <w:pPr>
        <w:spacing w:before="240" w:line="276" w:lineRule="auto"/>
        <w:rPr>
          <w:rFonts w:eastAsia="Calibri"/>
        </w:rPr>
      </w:pPr>
      <w:r w:rsidRPr="00A4268A">
        <w:rPr>
          <w:rFonts w:eastAsia="Calibri"/>
        </w:rPr>
        <w:lastRenderedPageBreak/>
        <w:t>The food service caters for residents’ specific dietary likes and dislikes. Residents’ nutritional requirements are met. Nutritional snacks are available for residents when required.</w:t>
      </w:r>
    </w:p>
    <w:p w14:paraId="07390A5C" w14:textId="77777777" w:rsidR="00FD1BF4"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324F1F33" w14:textId="77777777" w:rsidR="00FD1BF4" w:rsidRPr="00A4268A" w:rsidRDefault="00FD1BF4" w:rsidP="00621629">
      <w:pPr>
        <w:spacing w:before="240" w:line="276" w:lineRule="auto"/>
        <w:rPr>
          <w:rFonts w:eastAsia="Calibri"/>
        </w:rPr>
      </w:pPr>
    </w:p>
    <w:p w14:paraId="206CAEB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133983A3" w14:textId="77777777" w:rsidTr="00A4268A">
        <w:trPr>
          <w:cantSplit/>
        </w:trPr>
        <w:tc>
          <w:tcPr>
            <w:tcW w:w="10206" w:type="dxa"/>
            <w:vAlign w:val="center"/>
          </w:tcPr>
          <w:p w14:paraId="0477450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E9FC6E7"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29E6FF4"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07BCD33" w14:textId="77777777" w:rsidR="00000000" w:rsidRDefault="00000000">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certificate of public use is in place. Clinical equipment has been tested as required. External areas are accessible and safe, provide shade and seating, and meet the needs of people with disabilities.</w:t>
      </w:r>
    </w:p>
    <w:p w14:paraId="487BE4DC" w14:textId="77777777" w:rsidR="00FD1BF4" w:rsidRPr="00A4268A" w:rsidRDefault="00000000">
      <w:pPr>
        <w:spacing w:before="240" w:line="276" w:lineRule="auto"/>
        <w:rPr>
          <w:rFonts w:eastAsia="Calibri"/>
        </w:rPr>
      </w:pPr>
      <w:r w:rsidRPr="00A4268A">
        <w:rPr>
          <w:rFonts w:eastAsia="Calibri"/>
        </w:rPr>
        <w:t>Appropriate emergency equipment and supplies are available.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reported a timely staff response to call bells. The special care unit is secure, with a secure outdoor space. Security is maintained.</w:t>
      </w:r>
    </w:p>
    <w:bookmarkEnd w:id="25"/>
    <w:p w14:paraId="5407A2C3" w14:textId="77777777" w:rsidR="00FD1BF4" w:rsidRPr="00A4268A" w:rsidRDefault="00FD1BF4">
      <w:pPr>
        <w:spacing w:before="240" w:line="276" w:lineRule="auto"/>
        <w:rPr>
          <w:rFonts w:eastAsia="Calibri"/>
        </w:rPr>
      </w:pPr>
    </w:p>
    <w:p w14:paraId="43FC00AF"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23BB2A47" w14:textId="77777777" w:rsidTr="00A4268A">
        <w:trPr>
          <w:cantSplit/>
        </w:trPr>
        <w:tc>
          <w:tcPr>
            <w:tcW w:w="10206" w:type="dxa"/>
            <w:vAlign w:val="center"/>
          </w:tcPr>
          <w:p w14:paraId="35B31E5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3A0484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7027124"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E51A21C"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7CC4EE79" w14:textId="77777777" w:rsidR="00FD1BF4"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There is an outbreak and pandemic response plan in place, and the service has access to personal protective equipment supplies. There have been no outbreaks since the previous audit.</w:t>
      </w:r>
    </w:p>
    <w:p w14:paraId="29FDA426" w14:textId="77777777" w:rsidR="00FD1BF4" w:rsidRPr="00A4268A" w:rsidRDefault="00000000">
      <w:pPr>
        <w:spacing w:before="240" w:line="276" w:lineRule="auto"/>
        <w:rPr>
          <w:rFonts w:eastAsia="Calibri"/>
        </w:rPr>
      </w:pPr>
      <w:r w:rsidRPr="00A4268A">
        <w:rPr>
          <w:rFonts w:eastAsia="Calibri"/>
        </w:rPr>
        <w:t>Laundry services are off site. 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028F19F4" w14:textId="77777777" w:rsidR="00FD1BF4" w:rsidRPr="00A4268A" w:rsidRDefault="00FD1BF4">
      <w:pPr>
        <w:spacing w:before="240" w:line="276" w:lineRule="auto"/>
        <w:rPr>
          <w:rFonts w:eastAsia="Calibri"/>
        </w:rPr>
      </w:pPr>
    </w:p>
    <w:p w14:paraId="46E35871"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D1BF4" w14:paraId="7E548C4D" w14:textId="77777777" w:rsidTr="00A4268A">
        <w:trPr>
          <w:cantSplit/>
        </w:trPr>
        <w:tc>
          <w:tcPr>
            <w:tcW w:w="10206" w:type="dxa"/>
            <w:vAlign w:val="center"/>
          </w:tcPr>
          <w:p w14:paraId="1AC4C6B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A09096B"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7BB0FA9"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C9751DF"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are no restraints used. Maintaining a restraint-free environment is included as part of the education and training plan. The service considers least restrictive practices, implementing de-escalation and support techniques, and alternative interventions, and would only use an approved restraint as the last resort.</w:t>
      </w:r>
    </w:p>
    <w:bookmarkEnd w:id="31"/>
    <w:p w14:paraId="242CA112" w14:textId="77777777" w:rsidR="00FD1BF4" w:rsidRPr="00A4268A" w:rsidRDefault="00FD1BF4">
      <w:pPr>
        <w:spacing w:before="240" w:line="276" w:lineRule="auto"/>
        <w:rPr>
          <w:rFonts w:eastAsia="Calibri"/>
        </w:rPr>
      </w:pPr>
    </w:p>
    <w:p w14:paraId="5F2BE6D6" w14:textId="77777777" w:rsidR="00000000" w:rsidRDefault="00000000" w:rsidP="000E6E02">
      <w:pPr>
        <w:pStyle w:val="Heading2"/>
        <w:spacing w:before="0"/>
        <w:rPr>
          <w:rFonts w:cs="Arial"/>
        </w:rPr>
      </w:pPr>
      <w:r>
        <w:rPr>
          <w:rFonts w:cs="Arial"/>
        </w:rPr>
        <w:t>Summary of attainment</w:t>
      </w:r>
    </w:p>
    <w:p w14:paraId="32437B88"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D1BF4" w14:paraId="3F436954" w14:textId="77777777">
        <w:tc>
          <w:tcPr>
            <w:tcW w:w="1384" w:type="dxa"/>
            <w:vAlign w:val="center"/>
          </w:tcPr>
          <w:p w14:paraId="61E6D770"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FE3C504" w14:textId="77777777" w:rsidR="00000000" w:rsidRDefault="00000000">
            <w:pPr>
              <w:keepNext/>
              <w:spacing w:before="60" w:after="60"/>
              <w:jc w:val="center"/>
              <w:rPr>
                <w:rFonts w:cs="Arial"/>
                <w:b/>
                <w:sz w:val="20"/>
                <w:szCs w:val="20"/>
              </w:rPr>
            </w:pPr>
            <w:r>
              <w:rPr>
                <w:rFonts w:cs="Arial"/>
                <w:b/>
                <w:sz w:val="20"/>
                <w:szCs w:val="20"/>
              </w:rPr>
              <w:t>Continuous Improvement</w:t>
            </w:r>
          </w:p>
          <w:p w14:paraId="100A28C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CB6415" w14:textId="77777777" w:rsidR="00000000" w:rsidRDefault="00000000">
            <w:pPr>
              <w:keepNext/>
              <w:spacing w:before="60" w:after="60"/>
              <w:jc w:val="center"/>
              <w:rPr>
                <w:rFonts w:cs="Arial"/>
                <w:b/>
                <w:sz w:val="20"/>
                <w:szCs w:val="20"/>
              </w:rPr>
            </w:pPr>
            <w:r>
              <w:rPr>
                <w:rFonts w:cs="Arial"/>
                <w:b/>
                <w:sz w:val="20"/>
                <w:szCs w:val="20"/>
              </w:rPr>
              <w:t>Fully Attained</w:t>
            </w:r>
          </w:p>
          <w:p w14:paraId="45CB7B4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2A444FBF"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9B411C7"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C1ACC65"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B20150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8D2D128"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0AAEC6CC"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E0D3CB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CDF8364"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5C0424E"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BBCA644" w14:textId="77777777" w:rsidR="00000000" w:rsidRDefault="00000000">
            <w:pPr>
              <w:keepNext/>
              <w:spacing w:before="60" w:after="60"/>
              <w:jc w:val="center"/>
              <w:rPr>
                <w:rFonts w:cs="Arial"/>
                <w:b/>
                <w:sz w:val="20"/>
                <w:szCs w:val="20"/>
              </w:rPr>
            </w:pPr>
            <w:r>
              <w:rPr>
                <w:rFonts w:cs="Arial"/>
                <w:b/>
                <w:sz w:val="20"/>
                <w:szCs w:val="20"/>
              </w:rPr>
              <w:t>(PA Critical)</w:t>
            </w:r>
          </w:p>
        </w:tc>
      </w:tr>
      <w:tr w:rsidR="00FD1BF4" w14:paraId="7F830342" w14:textId="77777777">
        <w:tc>
          <w:tcPr>
            <w:tcW w:w="1384" w:type="dxa"/>
            <w:vAlign w:val="center"/>
          </w:tcPr>
          <w:p w14:paraId="182C814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E68386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F48259F"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0DD8481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53440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E664D16"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5A81ED4"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DB3A30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D1BF4" w14:paraId="3E331C4D" w14:textId="77777777">
        <w:tc>
          <w:tcPr>
            <w:tcW w:w="1384" w:type="dxa"/>
            <w:vAlign w:val="center"/>
          </w:tcPr>
          <w:p w14:paraId="6020FD8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CAA018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51094C5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6CC29DB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12955D8"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9CEE35C"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0F51A7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05F92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9D1913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D1BF4" w14:paraId="435A289E" w14:textId="77777777">
        <w:tc>
          <w:tcPr>
            <w:tcW w:w="1384" w:type="dxa"/>
            <w:vAlign w:val="center"/>
          </w:tcPr>
          <w:p w14:paraId="07BD8DC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DF4E31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06B97E85"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5376386" w14:textId="77777777" w:rsidR="00000000" w:rsidRDefault="00000000">
            <w:pPr>
              <w:keepNext/>
              <w:spacing w:before="60" w:after="60"/>
              <w:jc w:val="center"/>
              <w:rPr>
                <w:rFonts w:cs="Arial"/>
                <w:b/>
                <w:sz w:val="20"/>
                <w:szCs w:val="20"/>
              </w:rPr>
            </w:pPr>
            <w:r>
              <w:rPr>
                <w:rFonts w:cs="Arial"/>
                <w:b/>
                <w:sz w:val="20"/>
                <w:szCs w:val="20"/>
              </w:rPr>
              <w:t>Unattained Low Risk</w:t>
            </w:r>
          </w:p>
          <w:p w14:paraId="08F1CFC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FBD567E" w14:textId="77777777" w:rsidR="00000000" w:rsidRDefault="00000000">
            <w:pPr>
              <w:keepNext/>
              <w:spacing w:before="60" w:after="60"/>
              <w:jc w:val="center"/>
              <w:rPr>
                <w:rFonts w:cs="Arial"/>
                <w:b/>
                <w:sz w:val="20"/>
                <w:szCs w:val="20"/>
              </w:rPr>
            </w:pPr>
            <w:r>
              <w:rPr>
                <w:rFonts w:cs="Arial"/>
                <w:b/>
                <w:sz w:val="20"/>
                <w:szCs w:val="20"/>
              </w:rPr>
              <w:t>Unattained Moderate Risk</w:t>
            </w:r>
          </w:p>
          <w:p w14:paraId="5DABFF01"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2A62C466" w14:textId="77777777" w:rsidR="00000000" w:rsidRDefault="00000000">
            <w:pPr>
              <w:keepNext/>
              <w:spacing w:before="60" w:after="60"/>
              <w:jc w:val="center"/>
              <w:rPr>
                <w:rFonts w:cs="Arial"/>
                <w:b/>
                <w:sz w:val="20"/>
                <w:szCs w:val="20"/>
              </w:rPr>
            </w:pPr>
            <w:r>
              <w:rPr>
                <w:rFonts w:cs="Arial"/>
                <w:b/>
                <w:sz w:val="20"/>
                <w:szCs w:val="20"/>
              </w:rPr>
              <w:t>Unattained High Risk</w:t>
            </w:r>
          </w:p>
          <w:p w14:paraId="2A153A46"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B695245" w14:textId="77777777" w:rsidR="00000000" w:rsidRDefault="00000000">
            <w:pPr>
              <w:keepNext/>
              <w:spacing w:before="60" w:after="60"/>
              <w:jc w:val="center"/>
              <w:rPr>
                <w:rFonts w:cs="Arial"/>
                <w:b/>
                <w:sz w:val="20"/>
                <w:szCs w:val="20"/>
              </w:rPr>
            </w:pPr>
            <w:r>
              <w:rPr>
                <w:rFonts w:cs="Arial"/>
                <w:b/>
                <w:sz w:val="20"/>
                <w:szCs w:val="20"/>
              </w:rPr>
              <w:t>Unattained Critical Risk</w:t>
            </w:r>
          </w:p>
          <w:p w14:paraId="6285D571" w14:textId="77777777" w:rsidR="00000000" w:rsidRDefault="00000000">
            <w:pPr>
              <w:keepNext/>
              <w:spacing w:before="60" w:after="60"/>
              <w:jc w:val="center"/>
              <w:rPr>
                <w:rFonts w:cs="Arial"/>
                <w:b/>
                <w:sz w:val="20"/>
                <w:szCs w:val="20"/>
              </w:rPr>
            </w:pPr>
            <w:r>
              <w:rPr>
                <w:rFonts w:cs="Arial"/>
                <w:b/>
                <w:sz w:val="20"/>
                <w:szCs w:val="20"/>
              </w:rPr>
              <w:t>(UA Critical)</w:t>
            </w:r>
          </w:p>
        </w:tc>
      </w:tr>
      <w:tr w:rsidR="00FD1BF4" w14:paraId="2D3888F5" w14:textId="77777777">
        <w:tc>
          <w:tcPr>
            <w:tcW w:w="1384" w:type="dxa"/>
            <w:vAlign w:val="center"/>
          </w:tcPr>
          <w:p w14:paraId="74D503B2"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AFBBCC0"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684D99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19CF09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CC5BBA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8BD9CE3"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D1BF4" w14:paraId="66C8468E" w14:textId="77777777">
        <w:tc>
          <w:tcPr>
            <w:tcW w:w="1384" w:type="dxa"/>
            <w:vAlign w:val="center"/>
          </w:tcPr>
          <w:p w14:paraId="6CEAE65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A93481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413B8C"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496559C"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665EFCC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514B74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2C47AA07"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4528C5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7DDF79A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14A68B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7"/>
        <w:gridCol w:w="1358"/>
        <w:gridCol w:w="6469"/>
      </w:tblGrid>
      <w:tr w:rsidR="00FD1BF4" w14:paraId="5853EC83" w14:textId="77777777">
        <w:tc>
          <w:tcPr>
            <w:tcW w:w="0" w:type="auto"/>
          </w:tcPr>
          <w:p w14:paraId="1E9FE9C2"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7D7709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F06861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D1BF4" w14:paraId="5FD01568" w14:textId="77777777">
        <w:tc>
          <w:tcPr>
            <w:tcW w:w="0" w:type="auto"/>
          </w:tcPr>
          <w:p w14:paraId="26A53F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2C859A8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C865E53" w14:textId="77777777" w:rsidR="00000000" w:rsidRPr="00BE00C7" w:rsidRDefault="00000000" w:rsidP="00BE00C7">
            <w:pPr>
              <w:pStyle w:val="OutcomeDescription"/>
              <w:spacing w:before="120" w:after="120"/>
              <w:rPr>
                <w:rFonts w:cs="Arial"/>
                <w:lang w:eastAsia="en-NZ"/>
              </w:rPr>
            </w:pPr>
          </w:p>
        </w:tc>
        <w:tc>
          <w:tcPr>
            <w:tcW w:w="0" w:type="auto"/>
          </w:tcPr>
          <w:p w14:paraId="69DD66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BF84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The plan acknowledges Te Tiriti o Waitangi as a founding document for New Zealand. The service has residents who identify as Māori. Amberlea Hospital and Rest Home (hereafter referred to as CHT Amberlea) is committed to respecting the self-determination, cultural values, and beliefs of Māori residents and family/whānau and evidence is documented in the resident care plan and demonstrated in practice. There are clear processes to include tikanga in everyday practice. Staff have completed cultural training around Te Tiriti o Waitangi. </w:t>
            </w:r>
          </w:p>
          <w:p w14:paraId="67538A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Links have been established with local iwi, staff (when Pasifika staff are employed), current residents and their family/whānau. Residents’ family/whānau and staff provide interpreting support for residents if required. Residents and family/whānau engage in providing input into the resident’s care planning, their activities, and their dietary needs. The service can also access kaumātua from Health New Zealand and other Māori organisations for support and guidance. Māori assessments are completed for residents who identify as Māori. </w:t>
            </w:r>
          </w:p>
          <w:p w14:paraId="0AFAA2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CHT Amberlea business plan has documented actions of a commitment and responsiveness to a culturally diverse workforce. At the time of the audit, there were no staff members who identify as </w:t>
            </w:r>
            <w:r w:rsidRPr="00BE00C7">
              <w:rPr>
                <w:rFonts w:cs="Arial"/>
                <w:lang w:eastAsia="en-NZ"/>
              </w:rPr>
              <w:lastRenderedPageBreak/>
              <w:t>Māori. The service has signage throughout in te reo Māori and the Code of Health and Disability Services Consumers’ Rights (the Code) is displayed in te reo Māori, sign language and English, with pamphlets available.</w:t>
            </w:r>
          </w:p>
          <w:p w14:paraId="4C482BEB"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eighteen staff (eight healthcare assistants [HCAs], three registered nurses [RNs], acting clinical coordinator, clinical coordinator [CHT Lansdowne], one activities coordinator, one maintenance technician, one contracted interim chef manager, one contracted kitchen hand and one contracted cleaner), and two managers (care home manager and area manager) and documentation reviewed described how care is based on the resident’s individual values and beliefs.</w:t>
            </w:r>
          </w:p>
          <w:p w14:paraId="07C9B276" w14:textId="77777777" w:rsidR="00000000" w:rsidRPr="00BE00C7" w:rsidRDefault="00000000" w:rsidP="00BE00C7">
            <w:pPr>
              <w:pStyle w:val="OutcomeDescription"/>
              <w:spacing w:before="120" w:after="120"/>
              <w:rPr>
                <w:rFonts w:cs="Arial"/>
                <w:lang w:eastAsia="en-NZ"/>
              </w:rPr>
            </w:pPr>
          </w:p>
        </w:tc>
      </w:tr>
      <w:tr w:rsidR="00FD1BF4" w14:paraId="6834F4AC" w14:textId="77777777">
        <w:tc>
          <w:tcPr>
            <w:tcW w:w="0" w:type="auto"/>
          </w:tcPr>
          <w:p w14:paraId="4CD22D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63B42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A7C21DB" w14:textId="77777777" w:rsidR="00000000" w:rsidRPr="00BE00C7" w:rsidRDefault="00000000" w:rsidP="00BE00C7">
            <w:pPr>
              <w:pStyle w:val="OutcomeDescription"/>
              <w:spacing w:before="120" w:after="120"/>
              <w:rPr>
                <w:rFonts w:cs="Arial"/>
                <w:lang w:eastAsia="en-NZ"/>
              </w:rPr>
            </w:pPr>
          </w:p>
        </w:tc>
        <w:tc>
          <w:tcPr>
            <w:tcW w:w="0" w:type="auto"/>
          </w:tcPr>
          <w:p w14:paraId="272B96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DA227" w14:textId="77777777" w:rsidR="00000000" w:rsidRPr="00BE00C7" w:rsidRDefault="00000000" w:rsidP="00BE00C7">
            <w:pPr>
              <w:pStyle w:val="OutcomeDescription"/>
              <w:spacing w:before="120" w:after="120"/>
              <w:rPr>
                <w:rFonts w:cs="Arial"/>
                <w:lang w:eastAsia="en-NZ"/>
              </w:rPr>
            </w:pPr>
            <w:r w:rsidRPr="00BE00C7">
              <w:rPr>
                <w:rFonts w:cs="Arial"/>
                <w:lang w:eastAsia="en-NZ"/>
              </w:rPr>
              <w:t>Ola Manuia: Pacific Health and Wellbeing Action Plan 2020-2025 is the basis of the CHT Pacific health plan. The aim is to uphold the principles of Pacific people by acknowledging Pacific cultural norms and values, respectful relationships, valuing families, and providing high quality healthcare.</w:t>
            </w:r>
          </w:p>
          <w:p w14:paraId="47B28F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identifying as Pasifika at the time of audit. The residents’ family/whānau are involved in all aspects of care, particularly in nursing and medical decisions, satisfaction of the service and recognition of cultural needs. Interviews with four residents (rest home), and seven family/whānau (four hospital and three dementia) confirm that individual cultural beliefs and values, knowledge, arts, morals, and personality are respected.</w:t>
            </w:r>
          </w:p>
          <w:p w14:paraId="28391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Amberlea actively consults with Pacific communities to ensure connectivity within the region to increase knowledge, awareness and understanding of the needs of Pacific people. There is an active Māori and Pasifika working group at CHT which is led by CHT cultural lead. There are relationships and consultation with Pacific providers, who visit to provide services for Pacific people. </w:t>
            </w:r>
          </w:p>
          <w:p w14:paraId="30CD65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is accessible in a range of Pacific languages. There are staff employed that identify as Pasifika. The service continues to provide equitable employment opportunities for the Pacific community.</w:t>
            </w:r>
          </w:p>
          <w:p w14:paraId="52B4412B" w14:textId="77777777" w:rsidR="00000000" w:rsidRPr="00BE00C7" w:rsidRDefault="00000000" w:rsidP="00BE00C7">
            <w:pPr>
              <w:pStyle w:val="OutcomeDescription"/>
              <w:spacing w:before="120" w:after="120"/>
              <w:rPr>
                <w:rFonts w:cs="Arial"/>
                <w:lang w:eastAsia="en-NZ"/>
              </w:rPr>
            </w:pPr>
          </w:p>
        </w:tc>
      </w:tr>
      <w:tr w:rsidR="00FD1BF4" w14:paraId="40397817" w14:textId="77777777">
        <w:tc>
          <w:tcPr>
            <w:tcW w:w="0" w:type="auto"/>
          </w:tcPr>
          <w:p w14:paraId="529B53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BDD9B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FAB06F4" w14:textId="77777777" w:rsidR="00000000" w:rsidRPr="00BE00C7" w:rsidRDefault="00000000" w:rsidP="00BE00C7">
            <w:pPr>
              <w:pStyle w:val="OutcomeDescription"/>
              <w:spacing w:before="120" w:after="120"/>
              <w:rPr>
                <w:rFonts w:cs="Arial"/>
                <w:lang w:eastAsia="en-NZ"/>
              </w:rPr>
            </w:pPr>
          </w:p>
        </w:tc>
        <w:tc>
          <w:tcPr>
            <w:tcW w:w="0" w:type="auto"/>
          </w:tcPr>
          <w:p w14:paraId="0F36B22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5E6C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Code is displayed in English, sign language and te reo Māori. Details relating to the Code are included in the information that is provided to new residents and their family/whānau. The care home manager, acting clinical coordinator, or registered nurses discuss aspects of the Code with residents and their family/whānau on admission. Residents and family/whānau interviewed reported that the service is upholding the residents’ rights. Interactions observed between staff and residents during the audit were respectful. Information about the Nationwide Health and Disability Advocacy Service and resident advocacy is available at the entrance to the care home and in the entry pack of information provided to residents and their family/whānau.</w:t>
            </w:r>
          </w:p>
          <w:p w14:paraId="0167B4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not always linked to the complaints process (link 1.8.3). The service recognises Māori mana motuhake through its Māori health plan, and staff could describe how they fully support the values and beliefs of any Māori residents and family/whānau.</w:t>
            </w:r>
          </w:p>
          <w:p w14:paraId="028B9756" w14:textId="77777777" w:rsidR="00000000" w:rsidRPr="00BE00C7" w:rsidRDefault="00000000" w:rsidP="00BE00C7">
            <w:pPr>
              <w:pStyle w:val="OutcomeDescription"/>
              <w:spacing w:before="120" w:after="120"/>
              <w:rPr>
                <w:rFonts w:cs="Arial"/>
                <w:lang w:eastAsia="en-NZ"/>
              </w:rPr>
            </w:pPr>
          </w:p>
        </w:tc>
      </w:tr>
      <w:tr w:rsidR="00FD1BF4" w14:paraId="169D1F71" w14:textId="77777777">
        <w:tc>
          <w:tcPr>
            <w:tcW w:w="0" w:type="auto"/>
          </w:tcPr>
          <w:p w14:paraId="77C0D20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B45FC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6EA4B5D" w14:textId="77777777" w:rsidR="00000000" w:rsidRPr="00BE00C7" w:rsidRDefault="00000000" w:rsidP="00BE00C7">
            <w:pPr>
              <w:pStyle w:val="OutcomeDescription"/>
              <w:spacing w:before="120" w:after="120"/>
              <w:rPr>
                <w:rFonts w:cs="Arial"/>
                <w:lang w:eastAsia="en-NZ"/>
              </w:rPr>
            </w:pPr>
          </w:p>
        </w:tc>
        <w:tc>
          <w:tcPr>
            <w:tcW w:w="0" w:type="auto"/>
          </w:tcPr>
          <w:p w14:paraId="6559DFC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EB1A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HCAs interviewed described how they support residents to choose what they want to do each day. Residents are supported to make decisions about whether they would like family/whānau members to be involved in their care or other forms of support. Residents have control over and choice over activities they participate in. The CHT Amberlea annual training plan demonstrates training that is responsive to the diverse needs of people across the service. It was observed that residents are treated with dignity and respect. The service promotes care that is holistic and collective in nature through educating staff about te ao Māori and listening to tāngata whaikaha when planning or changing services. </w:t>
            </w:r>
          </w:p>
          <w:p w14:paraId="2D5C04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interviews confirmed that residents are treated with respect and their dignity maintained. Feedback including </w:t>
            </w:r>
            <w:r w:rsidRPr="00BE00C7">
              <w:rPr>
                <w:rFonts w:cs="Arial"/>
                <w:lang w:eastAsia="en-NZ"/>
              </w:rPr>
              <w:lastRenderedPageBreak/>
              <w:t xml:space="preserve">compliments is regularly shared at resident, family/whānau and staff meetings. A sexuality and intimacy policy is in place, with training part of the education schedule. Staff interviewed stated they respect each resident’s right to have space for intimate relationships. </w:t>
            </w:r>
          </w:p>
          <w:p w14:paraId="3E15A838" w14:textId="77777777" w:rsidR="00000000" w:rsidRPr="00BE00C7" w:rsidRDefault="00000000" w:rsidP="00BE00C7">
            <w:pPr>
              <w:pStyle w:val="OutcomeDescription"/>
              <w:spacing w:before="120" w:after="120"/>
              <w:rPr>
                <w:rFonts w:cs="Arial"/>
                <w:lang w:eastAsia="en-NZ"/>
              </w:rPr>
            </w:pPr>
            <w:r w:rsidRPr="00BE00C7">
              <w:rPr>
                <w:rFonts w:cs="Arial"/>
                <w:lang w:eastAsia="en-NZ"/>
              </w:rPr>
              <w:t>Family/whānau interviewed were positive about the service in relation to each resident’s values and beliefs being considered and met. Residents’ files and care plans identified residents’ preferred names. Values and beliefs information is gathered on admission with family involvement and is integrated into the residents' care plans. Spiritual needs are identified. A spirituality policy is in place. There are regular church services and a visiting chaplain.</w:t>
            </w:r>
          </w:p>
          <w:p w14:paraId="5FE3393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and supported to participate in te ao Māori through the activities plan. Staff were observed to use person-centred and respectful language with residents.</w:t>
            </w:r>
          </w:p>
          <w:p w14:paraId="2B17011F" w14:textId="77777777" w:rsidR="00000000" w:rsidRPr="00BE00C7" w:rsidRDefault="00000000"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The management team confirmed that cultural diversity is embedded at CHT Amberlea, and this was confirmed during interviews with staff and observed at audit. Te reo Māori is celebrated, and staff are encouraged and supported with correct pronunciation. Te reo Māori resources are available on the education platform. Cultural awareness training is provided annually and covers Te Tiriti o Waitangi, health equity and tikanga Māori.</w:t>
            </w:r>
          </w:p>
          <w:p w14:paraId="2C92CBB1" w14:textId="77777777" w:rsidR="00000000" w:rsidRPr="00BE00C7" w:rsidRDefault="00000000" w:rsidP="00BE00C7">
            <w:pPr>
              <w:pStyle w:val="OutcomeDescription"/>
              <w:spacing w:before="120" w:after="120"/>
              <w:rPr>
                <w:rFonts w:cs="Arial"/>
                <w:lang w:eastAsia="en-NZ"/>
              </w:rPr>
            </w:pPr>
          </w:p>
        </w:tc>
      </w:tr>
      <w:tr w:rsidR="00FD1BF4" w14:paraId="6637E388" w14:textId="77777777">
        <w:tc>
          <w:tcPr>
            <w:tcW w:w="0" w:type="auto"/>
          </w:tcPr>
          <w:p w14:paraId="24CBF9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0253B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F70381D" w14:textId="77777777" w:rsidR="00000000" w:rsidRPr="00BE00C7" w:rsidRDefault="00000000" w:rsidP="00BE00C7">
            <w:pPr>
              <w:pStyle w:val="OutcomeDescription"/>
              <w:spacing w:before="120" w:after="120"/>
              <w:rPr>
                <w:rFonts w:cs="Arial"/>
                <w:lang w:eastAsia="en-NZ"/>
              </w:rPr>
            </w:pPr>
          </w:p>
        </w:tc>
        <w:tc>
          <w:tcPr>
            <w:tcW w:w="0" w:type="auto"/>
          </w:tcPr>
          <w:p w14:paraId="3F25949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FC145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abuse and neglect policy is being implemented. The policy outlines a set of standards, behaviours and conduct that all staff employed at CHT Amberlea are expected to uphold. CHT organisational policies prevent any form of discrimination, coercion, harassment, or any other exploitation. A staff code of conduct is discussed during each new employee’s induction to the service, with evidence of staff signing the code of conduct policy. This code of conduct policy addresses the elimination of discrimination, harassment, and bullying.</w:t>
            </w:r>
          </w:p>
          <w:p w14:paraId="548233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as an organisation is inclusive of ethnicities, as evidenced in the </w:t>
            </w:r>
            <w:r w:rsidRPr="00BE00C7">
              <w:rPr>
                <w:rFonts w:cs="Arial"/>
                <w:lang w:eastAsia="en-NZ"/>
              </w:rPr>
              <w:lastRenderedPageBreak/>
              <w:t>range of ethnicities represented both among the residents and staff. Diversity is celebrated and cultural days are held to showcase food, dress, music, dance, and cultural practices.</w:t>
            </w:r>
          </w:p>
          <w:p w14:paraId="21F4F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held responsible for creating a positive, inclusive, and safe working environment. Cultural diversity is acknowledged, and staff are educated on systemic racism and the understanding of injustices through policy and the code of conduct. The CHT Māori Health Plan includes strategies to abolishing institutional racism. Staff complete education on orientation and annually as per the training plan on how to identify abuse and neglect. Staff are educated on how to value the older person, showing them respect and dignity. All residents and family/whānau interviewed confirmed that the staff are very caring, supportive, and respectful. </w:t>
            </w:r>
          </w:p>
          <w:p w14:paraId="4D65A175"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The service implements a process to manage residents’ comfort funds. Professional boundaries are defined in job descriptions. Interviews with the clinical coordinator and staff confirmed their understanding of professional boundaries, including the boundaries of their role and responsibilities.</w:t>
            </w:r>
          </w:p>
          <w:p w14:paraId="4EEFF286" w14:textId="77777777" w:rsidR="00000000" w:rsidRPr="00BE00C7" w:rsidRDefault="00000000" w:rsidP="00BE00C7">
            <w:pPr>
              <w:pStyle w:val="OutcomeDescription"/>
              <w:spacing w:before="120" w:after="120"/>
              <w:rPr>
                <w:rFonts w:cs="Arial"/>
                <w:lang w:eastAsia="en-NZ"/>
              </w:rPr>
            </w:pPr>
          </w:p>
        </w:tc>
      </w:tr>
      <w:tr w:rsidR="00FD1BF4" w14:paraId="7085744A" w14:textId="77777777">
        <w:tc>
          <w:tcPr>
            <w:tcW w:w="0" w:type="auto"/>
          </w:tcPr>
          <w:p w14:paraId="0920C4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9318C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DD6C02" w14:textId="77777777" w:rsidR="00000000" w:rsidRPr="00BE00C7" w:rsidRDefault="00000000" w:rsidP="00BE00C7">
            <w:pPr>
              <w:pStyle w:val="OutcomeDescription"/>
              <w:spacing w:before="120" w:after="120"/>
              <w:rPr>
                <w:rFonts w:cs="Arial"/>
                <w:lang w:eastAsia="en-NZ"/>
              </w:rPr>
            </w:pPr>
          </w:p>
        </w:tc>
        <w:tc>
          <w:tcPr>
            <w:tcW w:w="0" w:type="auto"/>
          </w:tcPr>
          <w:p w14:paraId="258541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2F7F6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The new business plan 2025-2026 feedback and consequent follow up by the service. Minutes are shared with family/whānau and residents who may not have been able to attend. Policies and procedures relating to accident/incidents, complaints, and the open disclosure policy alert staff to their responsibility to notify next of kin of any adverse event that occurs. The accident/incident forms reviewed identified next of kin are kept informed; this was confirmed through interviews with family/whānau. This is also documented in the progress notes. </w:t>
            </w:r>
          </w:p>
          <w:p w14:paraId="2D3693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in addition to staff members and volunteers who speak the residents’ languages. At the time of the audit there were no residents who could not speak English, and communication methods included the use of staff and volunteer </w:t>
            </w:r>
            <w:r w:rsidRPr="00BE00C7">
              <w:rPr>
                <w:rFonts w:cs="Arial"/>
                <w:lang w:eastAsia="en-NZ"/>
              </w:rPr>
              <w:lastRenderedPageBreak/>
              <w:t xml:space="preserve">interpreters, communication cards, and sign language. </w:t>
            </w:r>
          </w:p>
          <w:p w14:paraId="21D647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are advised in writing of their eligibility and the process to become a subsidised resident should they wish to do so. Residents and family/whānau are informed prior to entry of the scope of services and any items that are not covered by the agreement. The service communicates with other agencies that are involved with the resident, such as hospice and Health New Zealand health specialist services. </w:t>
            </w:r>
          </w:p>
          <w:p w14:paraId="346F1C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delivery of care includes a multidisciplinary team.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changes through regular communication and newsletters.</w:t>
            </w:r>
          </w:p>
          <w:p w14:paraId="259F6F81" w14:textId="77777777" w:rsidR="00000000" w:rsidRPr="00BE00C7" w:rsidRDefault="00000000" w:rsidP="00BE00C7">
            <w:pPr>
              <w:pStyle w:val="OutcomeDescription"/>
              <w:spacing w:before="120" w:after="120"/>
              <w:rPr>
                <w:rFonts w:cs="Arial"/>
                <w:lang w:eastAsia="en-NZ"/>
              </w:rPr>
            </w:pPr>
          </w:p>
        </w:tc>
      </w:tr>
      <w:tr w:rsidR="00FD1BF4" w14:paraId="21D2639D" w14:textId="77777777">
        <w:tc>
          <w:tcPr>
            <w:tcW w:w="0" w:type="auto"/>
          </w:tcPr>
          <w:p w14:paraId="4ACB1F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D793CD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F202FB1" w14:textId="77777777" w:rsidR="00000000" w:rsidRPr="00BE00C7" w:rsidRDefault="00000000" w:rsidP="00BE00C7">
            <w:pPr>
              <w:pStyle w:val="OutcomeDescription"/>
              <w:spacing w:before="120" w:after="120"/>
              <w:rPr>
                <w:rFonts w:cs="Arial"/>
                <w:lang w:eastAsia="en-NZ"/>
              </w:rPr>
            </w:pPr>
          </w:p>
        </w:tc>
        <w:tc>
          <w:tcPr>
            <w:tcW w:w="0" w:type="auto"/>
          </w:tcPr>
          <w:p w14:paraId="70D271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5E805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around informed consent which were understood by staff.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w:t>
            </w:r>
          </w:p>
          <w:p w14:paraId="486E427A" w14:textId="22C2833C" w:rsidR="00000000" w:rsidRPr="00BE00C7" w:rsidRDefault="00000000" w:rsidP="00BE00C7">
            <w:pPr>
              <w:pStyle w:val="OutcomeDescription"/>
              <w:spacing w:before="120" w:after="120"/>
              <w:rPr>
                <w:rFonts w:cs="Arial"/>
                <w:lang w:eastAsia="en-NZ"/>
              </w:rPr>
            </w:pPr>
            <w:r w:rsidRPr="00BE00C7">
              <w:rPr>
                <w:rFonts w:cs="Arial"/>
                <w:lang w:eastAsia="en-NZ"/>
              </w:rPr>
              <w:t>In the resident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The Māori health plan is available to guide on cultural responsiveness to Māori perspective</w:t>
            </w:r>
            <w:r w:rsidR="001927E9">
              <w:rPr>
                <w:rFonts w:cs="Arial"/>
                <w:lang w:eastAsia="en-NZ"/>
              </w:rPr>
              <w:t>s</w:t>
            </w:r>
            <w:r w:rsidRPr="00BE00C7">
              <w:rPr>
                <w:rFonts w:cs="Arial"/>
                <w:lang w:eastAsia="en-NZ"/>
              </w:rPr>
              <w:t xml:space="preserve"> of health. </w:t>
            </w:r>
          </w:p>
          <w:p w14:paraId="48F916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residents and family/whānau confirmed that they are involved in the decision-making process, and in the planning of care. Admission agreements were signed and sighted in all files seen. Copies of enduring power of attorneys (EPOAs) or welfare guardianship were in resident files where appropriate. Residents’ files reviewed within the special care unit (SCU), also known as the </w:t>
            </w:r>
            <w:r w:rsidRPr="00BE00C7">
              <w:rPr>
                <w:rFonts w:cs="Arial"/>
                <w:lang w:eastAsia="en-NZ"/>
              </w:rPr>
              <w:lastRenderedPageBreak/>
              <w:t>dementia unit, had an activation letter on file.</w:t>
            </w:r>
          </w:p>
          <w:p w14:paraId="16F3CB7E" w14:textId="77777777" w:rsidR="00000000" w:rsidRPr="00BE00C7" w:rsidRDefault="00000000" w:rsidP="00BE00C7">
            <w:pPr>
              <w:pStyle w:val="OutcomeDescription"/>
              <w:spacing w:before="120" w:after="120"/>
              <w:rPr>
                <w:rFonts w:cs="Arial"/>
                <w:lang w:eastAsia="en-NZ"/>
              </w:rPr>
            </w:pPr>
          </w:p>
        </w:tc>
      </w:tr>
      <w:tr w:rsidR="00FD1BF4" w14:paraId="4BCB1EA4" w14:textId="77777777">
        <w:tc>
          <w:tcPr>
            <w:tcW w:w="0" w:type="auto"/>
          </w:tcPr>
          <w:p w14:paraId="1F4432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64EBE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5F71A6A" w14:textId="77777777" w:rsidR="00000000" w:rsidRPr="00BE00C7" w:rsidRDefault="00000000" w:rsidP="00BE00C7">
            <w:pPr>
              <w:pStyle w:val="OutcomeDescription"/>
              <w:spacing w:before="120" w:after="120"/>
              <w:rPr>
                <w:rFonts w:cs="Arial"/>
                <w:lang w:eastAsia="en-NZ"/>
              </w:rPr>
            </w:pPr>
          </w:p>
        </w:tc>
        <w:tc>
          <w:tcPr>
            <w:tcW w:w="0" w:type="auto"/>
          </w:tcPr>
          <w:p w14:paraId="53BD4D9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05688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 is provided to residents and family/whānau on entry to the service. The care home manager maintains a record of all complaints, both verbal and written, collated in a complaint register. There were six formal complaints lodged 2024 year to date. One complaint in 2024 was resolved through the Nationwide Health and Disability Advocacy Service in 2025. </w:t>
            </w:r>
          </w:p>
          <w:p w14:paraId="32AF222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complaints were investigated; however, not all the complaints documented the satisfaction/or not of the complainants, or that advocacy services had been offered to complainants. Corrective actions are documented to improve the service following the receipt and investigation of the complaint; however, there was no documented evidence that the corrective actions had been followed up or closed off. The care home manager reported that the complaint process timeframes are adhered to, and service improvement measures are implemented as required. Residents have a variety of avenues they can choose from to make a complaint or express a concern. </w:t>
            </w:r>
          </w:p>
          <w:p w14:paraId="03BE4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meetings create a platform where concerns can be raised. During interviews with residents and family/whānau, they confirmed the care home manager is available to listen to concerns and acts promptly on issues raised. </w:t>
            </w:r>
          </w:p>
          <w:p w14:paraId="370BC5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is visible and available in te reo Māori and English. Information about support resources for Māori is available to staff to assist Māori in the complaints process. Māori residents are supported to ensure an equitable complaints process. The management team acknowledged the understanding that for Māori, there is a preference for face-to-face communication. </w:t>
            </w:r>
          </w:p>
          <w:p w14:paraId="599A356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staff, quality, and health and safety meetings (minutes sighted). Any higher risk complaints would be managed with the support of the area manager.</w:t>
            </w:r>
          </w:p>
          <w:p w14:paraId="0BFEDF59" w14:textId="77777777" w:rsidR="00000000" w:rsidRPr="00BE00C7" w:rsidRDefault="00000000" w:rsidP="00BE00C7">
            <w:pPr>
              <w:pStyle w:val="OutcomeDescription"/>
              <w:spacing w:before="120" w:after="120"/>
              <w:rPr>
                <w:rFonts w:cs="Arial"/>
                <w:lang w:eastAsia="en-NZ"/>
              </w:rPr>
            </w:pPr>
          </w:p>
        </w:tc>
      </w:tr>
      <w:tr w:rsidR="00FD1BF4" w14:paraId="27124A6F" w14:textId="77777777">
        <w:tc>
          <w:tcPr>
            <w:tcW w:w="0" w:type="auto"/>
          </w:tcPr>
          <w:p w14:paraId="4A6354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F9DE0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6B5C3E7" w14:textId="77777777" w:rsidR="00000000" w:rsidRPr="00BE00C7" w:rsidRDefault="00000000" w:rsidP="00BE00C7">
            <w:pPr>
              <w:pStyle w:val="OutcomeDescription"/>
              <w:spacing w:before="120" w:after="120"/>
              <w:rPr>
                <w:rFonts w:cs="Arial"/>
                <w:lang w:eastAsia="en-NZ"/>
              </w:rPr>
            </w:pPr>
          </w:p>
        </w:tc>
        <w:tc>
          <w:tcPr>
            <w:tcW w:w="0" w:type="auto"/>
          </w:tcPr>
          <w:p w14:paraId="462946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8308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Amberlea is part of CHT Healthcare Trust (CHT). Fifty-six beds are certified as dual-purpose beds (including one double room), and there are fourteen beds in the dementia unit (including one double room). There were no residents in the shared/couples’ rooms. It is noted that the previous audit report stated that there were 72 beds, including two shared rooms. The total number of beds has now been changed to 70 beds, as per the HealthCERT directive. </w:t>
            </w:r>
          </w:p>
          <w:p w14:paraId="15E51D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63 residents in total. There were 28 residents requiring hospital level of care, including one on a long-term support - chronic health conditions contract (LTS-CHC), one on a younger person with a disability (YPD) contract; and 21 rest home level of care residents, including one on respite care. There were 14 residents in the SCU. The remaining residents were all funded under the age-related residential care (ARRC) agreement. </w:t>
            </w:r>
          </w:p>
          <w:p w14:paraId="119EDF17" w14:textId="1B02857C" w:rsidR="00000000" w:rsidRPr="00BE00C7" w:rsidRDefault="00000000" w:rsidP="00BE00C7">
            <w:pPr>
              <w:pStyle w:val="OutcomeDescription"/>
              <w:spacing w:before="120" w:after="120"/>
              <w:rPr>
                <w:rFonts w:cs="Arial"/>
                <w:lang w:eastAsia="en-NZ"/>
              </w:rPr>
            </w:pPr>
            <w:r w:rsidRPr="00BE00C7">
              <w:rPr>
                <w:rFonts w:cs="Arial"/>
                <w:lang w:eastAsia="en-NZ"/>
              </w:rPr>
              <w:t xml:space="preserve">CHT has an overarching five-year strategy map (ending March 2029), with clear business goals to support organisational values. CHT’s key business goals include to provide a truly resident focused experience; to provide equal access to aged care services; to maximise CHT’s relevance in aged care; and to create an environment where our residents love to live, our community love to visit and our staff love to work. Key performance indicators and action plans are set both at organisational and care home level to support these goals. For example, in relation to the goal to provide equal access to aged care services, CHT aims to achieve this by providing affordable care enhancing the physical and mental wellbeing of their residents. Premium rates and room sizes are in line with those principles, supporting their goal. </w:t>
            </w:r>
          </w:p>
          <w:p w14:paraId="16E11E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2024-2025 business plan has been implemented at CHT Amberlea and includes a mission statement and operational objectives with site specific goals related to (but not limited to) budgeted occupancy; resident satisfaction including customer engagement, effective communication (shared goals of care), and welcome; enhancing meaningful and culturally safe activities; staff education on sector standards; improving resident safety by reducing hospital acquired infections and falls rates; improved use of information technology and group resources to support effective documentation; enhancing the laundry service (weekly clothing audits); and enhancing </w:t>
            </w:r>
            <w:r w:rsidRPr="00BE00C7">
              <w:rPr>
                <w:rFonts w:cs="Arial"/>
                <w:lang w:eastAsia="en-NZ"/>
              </w:rPr>
              <w:lastRenderedPageBreak/>
              <w:t xml:space="preserve">staff retention and satisfaction with the introduction of the wellbeing platform. The new business plan 2025-2026 is being developed with the new care home manager. The care home manager reports on progress against goals monthly to the area manager. </w:t>
            </w:r>
          </w:p>
          <w:p w14:paraId="555B96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 strategic plan reflects collaboration with Māori, which aligns with Ministry of Health strategies, and addresses barriers to equitable service delivery. </w:t>
            </w:r>
          </w:p>
          <w:p w14:paraId="35B8C834" w14:textId="77777777" w:rsidR="00000000" w:rsidRPr="00BE00C7" w:rsidRDefault="00000000"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and substantive input into organisational operational policies. CHT’s Māori health plan has a set of actions to address barriers to Māori accessing care and employment within CHT. The principles of these actions are also applied to people with disabilities. One of the actions from the Māori health plan is to develop meaningful relationships with kaumātua at governance, operational and service level. CHT have established a Māori working party to complement this action, including respected kaumātua. The Board and executive team have attended cultural training to ensure they are able to demonstrate expertise in Te Tiriti, health equity, and cultural safety.</w:t>
            </w:r>
          </w:p>
          <w:p w14:paraId="0CE533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Board sub committees that are involved in the quality and risk management system: the Quality, Health &amp; Safety Committee (QHSC), and the Audit and Risk Committee. 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(including site specific business goals) that are reviewed monthly in CHT managers meetings, as well as being discussed in the monthly staff and quarterly quality, and health and safety meetings at care home level. The Audit and Risk </w:t>
            </w:r>
            <w:r w:rsidRPr="00BE00C7">
              <w:rPr>
                <w:rFonts w:cs="Arial"/>
                <w:lang w:eastAsia="en-NZ"/>
              </w:rPr>
              <w:lastRenderedPageBreak/>
              <w:t xml:space="preserve">Committee assists the Board in fulfilling its responsibilities relating to accounting and reporting, and risk management practices. </w:t>
            </w:r>
          </w:p>
          <w:p w14:paraId="50003EAC" w14:textId="4AC79EC4" w:rsidR="00000000" w:rsidRPr="00BE00C7" w:rsidRDefault="00000000" w:rsidP="00BE00C7">
            <w:pPr>
              <w:pStyle w:val="OutcomeDescription"/>
              <w:spacing w:before="120" w:after="120"/>
              <w:rPr>
                <w:rFonts w:cs="Arial"/>
                <w:lang w:eastAsia="en-NZ"/>
              </w:rPr>
            </w:pPr>
            <w:r w:rsidRPr="00BE00C7">
              <w:rPr>
                <w:rFonts w:cs="Arial"/>
                <w:lang w:eastAsia="en-NZ"/>
              </w:rPr>
              <w:t>The CHT clinical quality lead provides oversight of the organisational clinical governance, working alongside the area managers to ensure a strong clinical quality culture. The three area managers provide clinical oversight for the care homes within their region. A detailed analysis of clinical data related to each care home is prepared and sent to the Board prior to every Board meeting. The data is included in the Quality Health and Safety Committee report. The clinical data is compared both internally, as well as externally against the national clinical benchmarking data for aged care providers. The reports provided to the Board provide an opportunity for discussions around issues raised and any corrective actions taken.</w:t>
            </w:r>
          </w:p>
          <w:p w14:paraId="34711D1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a change in the management team since the previous audit. There is a newly appointed care home manager who commenced employment within the last month, and a newly appointed clinical coordinator. An acting clinical coordinator and a clinical coordinator from CHT Lansdowne are supporting the team until the new clinical coordinator commences their employment in September 2025. The new clinical coordinator and care home manager are both experienced registered nurses with current practising certificates. The care home manager has previous experience in aged care at an operational level and with Health New Zealand. The team is also supported by an experienced area manager, CHT clinical quality lead, and care team.</w:t>
            </w:r>
          </w:p>
          <w:p w14:paraId="72767F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newly appointed care home manager has completed more than eight hours of training related to managing an aged care facility, which includes monthly CHT specific business meetings and education/training, transformational leadership, and quality improvement training.</w:t>
            </w:r>
          </w:p>
          <w:p w14:paraId="470F0A7D" w14:textId="77777777" w:rsidR="00000000" w:rsidRPr="00BE00C7" w:rsidRDefault="00000000" w:rsidP="00BE00C7">
            <w:pPr>
              <w:pStyle w:val="OutcomeDescription"/>
              <w:spacing w:before="120" w:after="120"/>
              <w:rPr>
                <w:rFonts w:cs="Arial"/>
                <w:lang w:eastAsia="en-NZ"/>
              </w:rPr>
            </w:pPr>
          </w:p>
        </w:tc>
      </w:tr>
      <w:tr w:rsidR="00FD1BF4" w14:paraId="6506F8E5" w14:textId="77777777">
        <w:tc>
          <w:tcPr>
            <w:tcW w:w="0" w:type="auto"/>
          </w:tcPr>
          <w:p w14:paraId="03BE42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51612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C283C3" w14:textId="77777777" w:rsidR="00000000" w:rsidRPr="00BE00C7" w:rsidRDefault="00000000" w:rsidP="00BE00C7">
            <w:pPr>
              <w:pStyle w:val="OutcomeDescription"/>
              <w:spacing w:before="120" w:after="120"/>
              <w:rPr>
                <w:rFonts w:cs="Arial"/>
                <w:lang w:eastAsia="en-NZ"/>
              </w:rPr>
            </w:pPr>
          </w:p>
        </w:tc>
        <w:tc>
          <w:tcPr>
            <w:tcW w:w="0" w:type="auto"/>
          </w:tcPr>
          <w:p w14:paraId="034588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8F03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CHT Amberlea has an established quality and risk management programme. The quality and risk management systems include performance monitoring through internal audits and through the collection of clinical indicator data. Clinical indicator data (eg, falls, </w:t>
            </w:r>
            <w:r w:rsidRPr="00BE00C7">
              <w:rPr>
                <w:rFonts w:cs="Arial"/>
                <w:lang w:eastAsia="en-NZ"/>
              </w:rPr>
              <w:lastRenderedPageBreak/>
              <w:t xml:space="preserve">skin tears, infections, medication errors) is collected, analysed at care home level, and benchmarked within the organisation and nationally with other aged care providers. Meeting minutes reviewed evidence quality data is shared in staff meetings. Internal audits are completed six-monthly by the area manager. These have been completed comprehensively, and corrective actions have been documented and signed off when achieved. </w:t>
            </w:r>
          </w:p>
          <w:p w14:paraId="127E95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monthly staff meetings and bimonthly quality, and health and safety meetings provide an avenue for discussions in relation to quality data; health and safety; infection control/pandemic strategies; complaints; compliments; staffing; and education. Resident and family/whānau satisfaction surveys are completed monthly, with a selection of residents and family/whānau invited to participate each month (on the yearly anniversary of their admission), with the aim of covering all residents and family/whānau in a calendar year. The November 2024 year to date rolling responses reviewed reflects overall satisfaction with care, friendliness, activities, and likelihood to recommend. The service has key performance indicators with action plans related to the food services, noting that this was highlighted as an area for improvement. The outcome of the surveys and actions taken were discussed with the residents and family/whānau in resident meetings minutes (sighted), with evidence of improved satisfaction over the last three months. </w:t>
            </w:r>
          </w:p>
          <w:p w14:paraId="1D2878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safety is embedded in the quality system. Tāngata whaikaha has meaningful representation through the three-monthly resident and family/whānau meetings. There are procedures to guide staff in managing clinical and non-clinical emergencies. A document control system is in place. Policies are regularly reviewed to ensure compliance with standards and contractual requirements. Staff have completed a range of training, including cultural awareness training, to ensure a high quality of service is delivered to all residents within the service. </w:t>
            </w:r>
          </w:p>
          <w:p w14:paraId="34B5C8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led by a health and safety committee that includes representatives from the RN team, HCA team, the clinical coordinator, and the care home manager. The maintenance technician is co-opted as required. All committee members have completed the required external training for health and </w:t>
            </w:r>
            <w:r w:rsidRPr="00BE00C7">
              <w:rPr>
                <w:rFonts w:cs="Arial"/>
                <w:lang w:eastAsia="en-NZ"/>
              </w:rPr>
              <w:lastRenderedPageBreak/>
              <w:t>safety officers. Hazard identification forms and an up-to-date hazard register were sighted. In the event of a staff accident or incident, a debrief process is documented on the accident/incident form. Health and safety training begins at orientation and continues annually.</w:t>
            </w:r>
          </w:p>
          <w:p w14:paraId="3CCEC511" w14:textId="77777777" w:rsidR="00000000" w:rsidRPr="00BE00C7" w:rsidRDefault="00000000" w:rsidP="00BE00C7">
            <w:pPr>
              <w:pStyle w:val="OutcomeDescription"/>
              <w:spacing w:before="120" w:after="120"/>
              <w:rPr>
                <w:rFonts w:cs="Arial"/>
                <w:lang w:eastAsia="en-NZ"/>
              </w:rPr>
            </w:pPr>
            <w:r w:rsidRPr="00BE00C7">
              <w:rPr>
                <w:rFonts w:cs="Arial"/>
                <w:lang w:eastAsia="en-NZ"/>
              </w:rPr>
              <w:t>A sample of accident/incident forms were reviewed, which indicated that these are appropriately managed, family/whānau informed and opportunities to minimise future incidents developed. Electronic forms are completed in full and are signed off by the care home manager or clinical coordinator. Incident and accident data is collated monthly and analysed by both the care home manager and the area manager. Results are discussed in the staff and quality, and health and safety meetings.</w:t>
            </w:r>
          </w:p>
          <w:p w14:paraId="636AE3E8"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home manager and area manager clinical coordinator evidenced their awareness of the requirement to notify relevant authorities in relation to essential notifications. Section 31 notifications were completed and no Severity Assessment Code (SAC) notifications to the Health Quality and Safety Commission were required for any adverse events. There were no outbreaks since the previous audit.</w:t>
            </w:r>
          </w:p>
          <w:p w14:paraId="16B6271B" w14:textId="77777777" w:rsidR="00000000" w:rsidRPr="00BE00C7" w:rsidRDefault="00000000" w:rsidP="00BE00C7">
            <w:pPr>
              <w:pStyle w:val="OutcomeDescription"/>
              <w:spacing w:before="120" w:after="120"/>
              <w:rPr>
                <w:rFonts w:cs="Arial"/>
                <w:lang w:eastAsia="en-NZ"/>
              </w:rPr>
            </w:pPr>
          </w:p>
        </w:tc>
      </w:tr>
      <w:tr w:rsidR="00FD1BF4" w14:paraId="0AA6367A" w14:textId="77777777">
        <w:tc>
          <w:tcPr>
            <w:tcW w:w="0" w:type="auto"/>
          </w:tcPr>
          <w:p w14:paraId="57874A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C540D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FA4EE91" w14:textId="77777777" w:rsidR="00000000" w:rsidRPr="00BE00C7" w:rsidRDefault="00000000" w:rsidP="00BE00C7">
            <w:pPr>
              <w:pStyle w:val="OutcomeDescription"/>
              <w:spacing w:before="120" w:after="120"/>
              <w:rPr>
                <w:rFonts w:cs="Arial"/>
                <w:lang w:eastAsia="en-NZ"/>
              </w:rPr>
            </w:pPr>
          </w:p>
        </w:tc>
        <w:tc>
          <w:tcPr>
            <w:tcW w:w="0" w:type="auto"/>
          </w:tcPr>
          <w:p w14:paraId="356100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564D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Interviews with staff confirmed that their workload is manageable. Vacant shifts are covered by available healthcare assistants, registered nurses, casual, or bureau staff. There were no registered nurse vacancies reported at the time of audit. Out of hours on-call 24/7 cover is shared between the care home manager and clinical coordinator. The clinical coordinator, supported by the area manager, will perform the care home manager’s role in their absence. Relieving care home managers are used for longer periods to perform the care home manager’s role. Staff and residents are informed when there are changes to staffing levels, evidenced in staff interviews and staff and resident/family meeting minutes. </w:t>
            </w:r>
          </w:p>
          <w:p w14:paraId="3ADD0163" w14:textId="4A29129D"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home manager and clinical coordinator are both available from Monday to Friday. The roster reviewed evidenced registered </w:t>
            </w:r>
            <w:r w:rsidRPr="00BE00C7">
              <w:rPr>
                <w:rFonts w:cs="Arial"/>
                <w:lang w:eastAsia="en-NZ"/>
              </w:rPr>
              <w:lastRenderedPageBreak/>
              <w:t>nurse cover 24/7. The number of HCAs on each shift is sufficient for the acuity, layout of the care home, support with the workload, and to provide safe and timely care on all shifts. The allocation of staff include allocation to the first-floor dual purpose wing (predominantly rest home level of care) and the secure SCU (dementia unit). Predominantly hospital level residents occupy the ground floor. The RNs allocated to the first-floor dual purpose wing also oversee</w:t>
            </w:r>
            <w:r w:rsidR="001927E9">
              <w:rPr>
                <w:rFonts w:cs="Arial"/>
                <w:lang w:eastAsia="en-NZ"/>
              </w:rPr>
              <w:t xml:space="preserve"> </w:t>
            </w:r>
            <w:r w:rsidRPr="00BE00C7">
              <w:rPr>
                <w:rFonts w:cs="Arial"/>
                <w:lang w:eastAsia="en-NZ"/>
              </w:rPr>
              <w:t>the SCU.</w:t>
            </w:r>
          </w:p>
          <w:p w14:paraId="4B8AF4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The education and training schedule lists compulsory training (through the Dayforce electronic learning management system), which includes clinical topics and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 that provide them with up-to-date information on Māori health outcomes and disparities, and health equity. External training opportunities for care staff include training through Health New Zealand, hospice, and the organisation’s online training portal, which can be accessed on personal devices. </w:t>
            </w:r>
          </w:p>
          <w:p w14:paraId="2CD696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Thirty-four healthcare assistants are employed. Thirty have achieved a level 3 NZQA qualification or higher. Sixteen healthcare assistants are allocated to work in the secure SCU, and thirteen have completed the required dementia standards; the other three are enrolled in the course.</w:t>
            </w:r>
          </w:p>
          <w:p w14:paraId="3F5015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CHT Amberlea orientation programme ensures core competencies and compulsory knowledge/topics are addressed. All staff are required to complete competency assessments as part of their orientation. All healthcare assistants are required to complete annual competencies for moving and handling, fire safety, and infection prevention and control. A record of completion is maintained on an electronic register. </w:t>
            </w:r>
          </w:p>
          <w:p w14:paraId="7E663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syringe driver and interRAI assessment competency. Six of ten registered nurses and the acting clinical coordinator and care home manager are interRAI trained. All registered nurses are encouraged to also attend </w:t>
            </w:r>
            <w:r w:rsidRPr="00BE00C7">
              <w:rPr>
                <w:rFonts w:cs="Arial"/>
                <w:lang w:eastAsia="en-NZ"/>
              </w:rPr>
              <w:lastRenderedPageBreak/>
              <w:t xml:space="preserve">external training, webinars and zoom training where available. All staff, including registered nurses, attend relevant staff and registered nurse meetings when possible. All registered nurses are encouraged to attend in-service training and have completed training around infection control, including Covid-19 preparedness, effective communication in the care setting, accident and incident reporting, wound care, Code of Rights and introduction to dementia. </w:t>
            </w:r>
          </w:p>
          <w:p w14:paraId="32D0E8B1"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was posted and visible in staff locations. The workplace union delegates, staff and management collaborate to ensure a positive workplace culture. In 2024, a new CHT wellness programme was introduced for staff, which includes a wellness application (for phones) and a wellness platform for staff with an individual login. This includes healthy living education, recipes, movement initiatives, monthly wellbeing themes (for example, frugal February), and ongoing support to encourage staff to live balanced, healthy lives. This is reinforced by the Chief Executive Officer in a weekly message to staff.</w:t>
            </w:r>
          </w:p>
          <w:p w14:paraId="137BACF0" w14:textId="77777777" w:rsidR="00000000" w:rsidRPr="00BE00C7" w:rsidRDefault="00000000" w:rsidP="00BE00C7">
            <w:pPr>
              <w:pStyle w:val="OutcomeDescription"/>
              <w:spacing w:before="120" w:after="120"/>
              <w:rPr>
                <w:rFonts w:cs="Arial"/>
                <w:lang w:eastAsia="en-NZ"/>
              </w:rPr>
            </w:pPr>
          </w:p>
        </w:tc>
      </w:tr>
      <w:tr w:rsidR="00FD1BF4" w14:paraId="6191F0FA" w14:textId="77777777">
        <w:tc>
          <w:tcPr>
            <w:tcW w:w="0" w:type="auto"/>
          </w:tcPr>
          <w:p w14:paraId="25849E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BB3B14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7A4E7B4" w14:textId="77777777" w:rsidR="00000000" w:rsidRPr="00BE00C7" w:rsidRDefault="00000000" w:rsidP="00BE00C7">
            <w:pPr>
              <w:pStyle w:val="OutcomeDescription"/>
              <w:spacing w:before="120" w:after="120"/>
              <w:rPr>
                <w:rFonts w:cs="Arial"/>
                <w:lang w:eastAsia="en-NZ"/>
              </w:rPr>
            </w:pPr>
          </w:p>
        </w:tc>
        <w:tc>
          <w:tcPr>
            <w:tcW w:w="0" w:type="auto"/>
          </w:tcPr>
          <w:p w14:paraId="3C59C86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6A9D8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Eight staff files reviewed (one acting clinical coordinator, two registered nurses, four HCAs, and one activities coordinator) evidenced implementation of the recruitment process, employment contracts, police checking and completed orientation. There are job descriptions in place for all positions that includes outcomes, accountability, responsibilities, and functions to be achieved for each position. All staff who have been employed for over one year have had an annual performance appraisal completed.</w:t>
            </w:r>
          </w:p>
          <w:p w14:paraId="2429B9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including general practitioner, dietitian, podiatrist, pharmacists, and physiotherapist. The service has a role-specific orientation programme in place that provides new staff with relevant information for safe work practice and includes buddying when first employed. Competencies are completed at orientation. The service </w:t>
            </w:r>
            <w:r w:rsidRPr="00BE00C7">
              <w:rPr>
                <w:rFonts w:cs="Arial"/>
                <w:lang w:eastAsia="en-NZ"/>
              </w:rPr>
              <w:lastRenderedPageBreak/>
              <w:t>demonstrates that the orientation programme supports registered nurses and healthcare assistants to provide a culturally safe environment for Māori. Information held about staff is kept secure, and confidential.</w:t>
            </w:r>
          </w:p>
          <w:p w14:paraId="6FB7A653" w14:textId="77777777" w:rsidR="00000000" w:rsidRPr="00BE00C7" w:rsidRDefault="00000000" w:rsidP="00BE00C7">
            <w:pPr>
              <w:pStyle w:val="OutcomeDescription"/>
              <w:spacing w:before="120" w:after="120"/>
              <w:rPr>
                <w:rFonts w:cs="Arial"/>
                <w:lang w:eastAsia="en-NZ"/>
              </w:rPr>
            </w:pPr>
            <w:r w:rsidRPr="00BE00C7">
              <w:rPr>
                <w:rFonts w:cs="Arial"/>
                <w:lang w:eastAsia="en-NZ"/>
              </w:rPr>
              <w:t>Ethnicity data is identified for staff, and an employee ethnicity database is available. Following any staff incident/accident, evidence of debriefing and follow-up action taken are documented. Wellbeing support is provided to staff.</w:t>
            </w:r>
          </w:p>
          <w:p w14:paraId="7374C40C" w14:textId="77777777" w:rsidR="00000000" w:rsidRPr="00BE00C7" w:rsidRDefault="00000000" w:rsidP="00BE00C7">
            <w:pPr>
              <w:pStyle w:val="OutcomeDescription"/>
              <w:spacing w:before="120" w:after="120"/>
              <w:rPr>
                <w:rFonts w:cs="Arial"/>
                <w:lang w:eastAsia="en-NZ"/>
              </w:rPr>
            </w:pPr>
          </w:p>
        </w:tc>
      </w:tr>
      <w:tr w:rsidR="00FD1BF4" w14:paraId="1EB4D21D" w14:textId="77777777">
        <w:tc>
          <w:tcPr>
            <w:tcW w:w="0" w:type="auto"/>
          </w:tcPr>
          <w:p w14:paraId="36D680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E1E24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56CFE21" w14:textId="77777777" w:rsidR="00000000" w:rsidRPr="00BE00C7" w:rsidRDefault="00000000" w:rsidP="00BE00C7">
            <w:pPr>
              <w:pStyle w:val="OutcomeDescription"/>
              <w:spacing w:before="120" w:after="120"/>
              <w:rPr>
                <w:rFonts w:cs="Arial"/>
                <w:lang w:eastAsia="en-NZ"/>
              </w:rPr>
            </w:pPr>
          </w:p>
        </w:tc>
        <w:tc>
          <w:tcPr>
            <w:tcW w:w="0" w:type="auto"/>
          </w:tcPr>
          <w:p w14:paraId="015E07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5AB5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a mixture of hard copy and electronic format. Electronic information is regularly backed-up using cloud-based technology and password protection. There is a documented CHT business continuity plan in case of information systems failure. The resident files are appropriate to the service type and demonstrated service integration. Records are uniquely identifiable, legible, and timely. Signatures that are documented include the name and designation of the service provider. </w:t>
            </w:r>
          </w:p>
          <w:p w14:paraId="25E4391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officer and there is a pathway of communication and approval to release health information. The service is not responsible for National Health Index registration.</w:t>
            </w:r>
          </w:p>
          <w:p w14:paraId="3F6EF4DF" w14:textId="77777777" w:rsidR="00000000" w:rsidRPr="00BE00C7" w:rsidRDefault="00000000" w:rsidP="00BE00C7">
            <w:pPr>
              <w:pStyle w:val="OutcomeDescription"/>
              <w:spacing w:before="120" w:after="120"/>
              <w:rPr>
                <w:rFonts w:cs="Arial"/>
                <w:lang w:eastAsia="en-NZ"/>
              </w:rPr>
            </w:pPr>
          </w:p>
        </w:tc>
      </w:tr>
      <w:tr w:rsidR="00FD1BF4" w14:paraId="7D4C1EEC" w14:textId="77777777">
        <w:tc>
          <w:tcPr>
            <w:tcW w:w="0" w:type="auto"/>
          </w:tcPr>
          <w:p w14:paraId="19ED5C1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41F258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Tiriti: Service providers work proactively to eliminate inequities </w:t>
            </w:r>
            <w:r w:rsidRPr="00BE00C7">
              <w:rPr>
                <w:rFonts w:cs="Arial"/>
                <w:lang w:eastAsia="en-NZ"/>
              </w:rPr>
              <w:lastRenderedPageBreak/>
              <w:t>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931CD60" w14:textId="77777777" w:rsidR="00000000" w:rsidRPr="00BE00C7" w:rsidRDefault="00000000" w:rsidP="00BE00C7">
            <w:pPr>
              <w:pStyle w:val="OutcomeDescription"/>
              <w:spacing w:before="120" w:after="120"/>
              <w:rPr>
                <w:rFonts w:cs="Arial"/>
                <w:lang w:eastAsia="en-NZ"/>
              </w:rPr>
            </w:pPr>
          </w:p>
        </w:tc>
        <w:tc>
          <w:tcPr>
            <w:tcW w:w="0" w:type="auto"/>
          </w:tcPr>
          <w:p w14:paraId="56A0A2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B76E109" w14:textId="49A3A492"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policy for managing inquiries and entry to the service in place. The admission pack contains all the information about entry to the service. Assessments and entry screening processes were documented and communicated to the enduring power of attorney (EPOA)/whānau/family of choice, and where </w:t>
            </w:r>
            <w:r w:rsidRPr="00BE00C7">
              <w:rPr>
                <w:rFonts w:cs="Arial"/>
                <w:lang w:eastAsia="en-NZ"/>
              </w:rPr>
              <w:lastRenderedPageBreak/>
              <w:t>appropriate, local communities, and referral agencies. Completed Needs Assessment and Service Coordination (NASC) agency authorisation forms for residents assessed as requiring rest home, hospital, respite, and dementia level of care were in place. Residents in the special care unit (dementia) were admitted with consent from EPOAs, and documents sighted verified that EPOAs consented to referral and specialist services. Evidence of specialist referral to the service was sighted.</w:t>
            </w:r>
          </w:p>
          <w:p w14:paraId="4AA3F5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records reviewed confirmed that admission requirements were conducted within the required timeframes and signed on entry. Exclusions from the service are included in the admission agreement. Family/whānau and residents are updated if there is a delay in entry to the service. Family/whānau and EPOAs interviewed stated they were satisfied with the admission process, and the information that was made available to them on admission. The registered nurses reported that all potential residents who are declined entry are recorded. When an entry is declined, family/whānau and residents are informed of the reason for this, with other options or alternative services discussed. The resident and family/whānau are referred to the referral agency, to ensure the person will be admitted to the appropriate service provider.</w:t>
            </w:r>
          </w:p>
          <w:p w14:paraId="0F02AB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is implemented to show entry and decline rates, including specific data for entry and decline rates for Māori.</w:t>
            </w:r>
          </w:p>
          <w:p w14:paraId="746BBF4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traditional Māori healers, and organisations to support Māori individuals and family/whānau. The registered nurses and the general practitioner (GP) stated that Māori health practitioners and traditional Māori healers for residents and family/whānau who may benefit from these interventions, are consulted when required.</w:t>
            </w:r>
          </w:p>
          <w:p w14:paraId="649683D3" w14:textId="77777777" w:rsidR="00000000" w:rsidRPr="00BE00C7" w:rsidRDefault="00000000" w:rsidP="00BE00C7">
            <w:pPr>
              <w:pStyle w:val="OutcomeDescription"/>
              <w:spacing w:before="120" w:after="120"/>
              <w:rPr>
                <w:rFonts w:cs="Arial"/>
                <w:lang w:eastAsia="en-NZ"/>
              </w:rPr>
            </w:pPr>
          </w:p>
        </w:tc>
      </w:tr>
      <w:tr w:rsidR="00FD1BF4" w14:paraId="30E92A3C" w14:textId="77777777">
        <w:tc>
          <w:tcPr>
            <w:tcW w:w="0" w:type="auto"/>
          </w:tcPr>
          <w:p w14:paraId="6C4B4BC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FA7F2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Māori and </w:t>
            </w:r>
            <w:r w:rsidRPr="00BE00C7">
              <w:rPr>
                <w:rFonts w:cs="Arial"/>
                <w:lang w:eastAsia="en-NZ"/>
              </w:rPr>
              <w:lastRenderedPageBreak/>
              <w:t>whānau, and support their aspirations, mana motuhake, and whānau rangatiratanga.</w:t>
            </w:r>
            <w:r w:rsidRPr="00BE00C7">
              <w:rPr>
                <w:rFonts w:cs="Arial"/>
                <w:lang w:eastAsia="en-NZ"/>
              </w:rPr>
              <w:br/>
              <w:t>As service providers: We work in partnership with people and whānau to support wellbeing.</w:t>
            </w:r>
          </w:p>
          <w:p w14:paraId="090682E9" w14:textId="77777777" w:rsidR="00000000" w:rsidRPr="00BE00C7" w:rsidRDefault="00000000" w:rsidP="00BE00C7">
            <w:pPr>
              <w:pStyle w:val="OutcomeDescription"/>
              <w:spacing w:before="120" w:after="120"/>
              <w:rPr>
                <w:rFonts w:cs="Arial"/>
                <w:lang w:eastAsia="en-NZ"/>
              </w:rPr>
            </w:pPr>
          </w:p>
        </w:tc>
        <w:tc>
          <w:tcPr>
            <w:tcW w:w="0" w:type="auto"/>
          </w:tcPr>
          <w:p w14:paraId="59D8D4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E5B15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These included three rest home level of care, including one resident on respite care; three hospital level of care, including one young person with disabilities (YPD), and one resident funded under the LTS-CHC contract; and two residents requiring dementia level of care. The nursing team completed all </w:t>
            </w:r>
            <w:r w:rsidRPr="00BE00C7">
              <w:rPr>
                <w:rFonts w:cs="Arial"/>
                <w:lang w:eastAsia="en-NZ"/>
              </w:rPr>
              <w:lastRenderedPageBreak/>
              <w:t xml:space="preserve">assessments, and these inform the development of resident care plans. </w:t>
            </w:r>
          </w:p>
          <w:p w14:paraId="374BDB92"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interRAI assessments were all completed within the required timeframes. Although the sample of files reviewed care planning documentation were completed within the timeframes required, the incidental sample of the interRAI database evidence 10 interRAI assessments across the service were overdue for review.</w:t>
            </w:r>
          </w:p>
          <w:p w14:paraId="74335244"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care plans were developed, and long-term care plans were all linked to interRAI assessments, with all triggered outcomes scores identified. These were reviewed at least six-monthly or when there was a significant change. There was evidence of resident and family/whānau involvement in the interRAI assessments and long-term care plans reviewed, and this was documented in progress notes and family/whānau contact forms. Where an interRAI was not required to be completed (for YPD and LTS-CHC), a suite of assessment tools inform the care planning process to ensure all risks and early warning signs related to their health conditions are addressed.</w:t>
            </w:r>
          </w:p>
          <w:p w14:paraId="6FE7FFE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and/or family/whānau interviewed have reviewed and approved their plan of care. All assessment tools included consideration of resident’s lived experiences, cultural needs, values, and beliefs. The registered nurses reported that the service develops goal-oriented long-term care plans. The care plans document the activities of daily living, support required, and residents’ health issues. All residents had identified activities of choice and were actively supported to engage with help from staff.</w:t>
            </w:r>
          </w:p>
          <w:p w14:paraId="3251FF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verified that residents and family/whānau were included and informed of all changes where required, as evidenced in the residents’ files reviewed. The family/whānau and residents interviewed confirmed their involvement in evaluating progress and any resulting changes. Staff interviewed were able to describe in detail interventions provided that contributed to the residents achieving their goals, and in addition, were able to describe interventions provided that contributed to the overall health and wellbeing of the residents. Behaviour management plans were completed for residents in the special care unit (SCU) and for other residents with behaviours that challenge. Triggers were identified, and strategies to manage these were documented. Behaviours that challenge were monitored and recorded </w:t>
            </w:r>
            <w:r w:rsidRPr="00BE00C7">
              <w:rPr>
                <w:rFonts w:cs="Arial"/>
                <w:lang w:eastAsia="en-NZ"/>
              </w:rPr>
              <w:lastRenderedPageBreak/>
              <w:t xml:space="preserve">on the behaviour monitoring charts. </w:t>
            </w:r>
          </w:p>
          <w:p w14:paraId="0EC14B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GP who visits weekly and is available 24/7 when required. Three-monthly reviews were completed promptly or, where required. Where progress was different from expected, the service, in collaboration with residents or family/whānau, responded by initiating changes to the care plans. Residents’ care was evaluated on each shift and reported in the progress notes. Short-term care plans were completed for acute conditions, and these were reviewed regularly and closed off when the acute conditions resolved. The goals sampled in the care plans reflected identified residents’ strengths, goals, and aspirations that aligned with their values and beliefs. The evaluations included the degree of progress towards achieving their agreed-upon goals. There were detailed documented strategies to maintain and promote residents’ independent wellbeing. The registered nurses reported that all referrals for residents who need behavioural support are sought from other agencies as required. </w:t>
            </w:r>
          </w:p>
          <w:p w14:paraId="287B135F"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Allied health interventions were documented and integrated into care plans. A podiatrist visits six-weekly, and a dietitian, speech language therapist, local hospice, mental health services for older people (MHSOP) and wound care specialist nurse are available as required through the local Health NZ service. The GP expressed satisfaction with the care provided.</w:t>
            </w:r>
          </w:p>
          <w:p w14:paraId="14A2E620"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that sufficient and appropriate information was shared between the staff at each handover. Interviewed staff stated that they were updated daily regarding each resident’s condition. A multidisciplinary approach promotes continuity in service delivery, including the GP, registered nurses, physiotherapists, activities staff, kitchen staff, HCAs, and other allied health team members, residents, and family/whānau. Any change in condition is reported to the interim clinical coordinator, registered nurses, and GP, as evidenced in the records sampled.</w:t>
            </w:r>
          </w:p>
          <w:p w14:paraId="48631F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assessing and monitoring residents, the following monitoring charts </w:t>
            </w:r>
            <w:r w:rsidRPr="00BE00C7">
              <w:rPr>
                <w:rFonts w:cs="Arial"/>
                <w:lang w:eastAsia="en-NZ"/>
              </w:rPr>
              <w:lastRenderedPageBreak/>
              <w:t>were completed: weight monitoring; blood glucose monitoring; behaviour monitoring charts; bowel charts; and food intake and output charts. Neurological observations are completed for unwitnessed falls or head injuries. All incident reports were reviewed and evidenced by timely nursing follow-up.</w:t>
            </w:r>
          </w:p>
          <w:p w14:paraId="1DBAB06F"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dressing supplies were sighted in the treatment room. Wound management policies and procedures are in place. There were a total of twelve active wounds, which included six minor skin tears, six chronic ulcers, and no pressure injuries. The electronic wound care plan documents assessments, wound management plans and evaluations are documented with supporting photographs and wound assessments. Health NZ specialist wound nurse, and the GP have input into chronic wound management. Registered nurses and HCAs interviewed stated that adequate clinical supplies and equipment are provided, including continence, wound care supplies, and pressure injury prevention resources. A continence specialist can be accessed as required.</w:t>
            </w:r>
          </w:p>
          <w:p w14:paraId="1E0F5F81" w14:textId="77777777" w:rsidR="00000000" w:rsidRPr="00BE00C7" w:rsidRDefault="00000000" w:rsidP="00BE00C7">
            <w:pPr>
              <w:pStyle w:val="OutcomeDescription"/>
              <w:spacing w:before="120" w:after="120"/>
              <w:rPr>
                <w:rFonts w:cs="Arial"/>
                <w:lang w:eastAsia="en-NZ"/>
              </w:rPr>
            </w:pPr>
            <w:r w:rsidRPr="00BE00C7">
              <w:rPr>
                <w:rFonts w:cs="Arial"/>
                <w:lang w:eastAsia="en-NZ"/>
              </w:rPr>
              <w:t>An improvement is required to ensure that all interRAI assessments are completed in a timely manner.</w:t>
            </w:r>
          </w:p>
          <w:p w14:paraId="4ECF8E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care plan in place supports residents and family/whānau, as applicable, to identify their own pae ora outcomes in their care and support wellbeing. Tikanga principles are included within the Māori health care plan. The registered nurses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Residents at the service of Māori descent have chosen not to practice their culture, as indicated in their care plans and reported by staff. The cultural safety assessment process validates Māori healing methodologies, such as karakia, rongoā and spiritual assistance. Cultural assessments are completed by staff who have completed cultural safety training.</w:t>
            </w:r>
          </w:p>
          <w:p w14:paraId="759003A8" w14:textId="5D4EC14E" w:rsidR="00000000" w:rsidRPr="00BE00C7" w:rsidRDefault="00000000" w:rsidP="001927E9">
            <w:pPr>
              <w:pStyle w:val="OutcomeDescription"/>
              <w:spacing w:before="120" w:after="120"/>
              <w:rPr>
                <w:rFonts w:cs="Arial"/>
                <w:lang w:eastAsia="en-NZ"/>
              </w:rPr>
            </w:pPr>
          </w:p>
        </w:tc>
      </w:tr>
      <w:tr w:rsidR="00FD1BF4" w14:paraId="42B6A9A5" w14:textId="77777777">
        <w:tc>
          <w:tcPr>
            <w:tcW w:w="0" w:type="auto"/>
          </w:tcPr>
          <w:p w14:paraId="7C061B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16890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3696D92" w14:textId="77777777" w:rsidR="00000000" w:rsidRPr="00BE00C7" w:rsidRDefault="00000000" w:rsidP="00BE00C7">
            <w:pPr>
              <w:pStyle w:val="OutcomeDescription"/>
              <w:spacing w:before="120" w:after="120"/>
              <w:rPr>
                <w:rFonts w:cs="Arial"/>
                <w:lang w:eastAsia="en-NZ"/>
              </w:rPr>
            </w:pPr>
          </w:p>
        </w:tc>
        <w:tc>
          <w:tcPr>
            <w:tcW w:w="0" w:type="auto"/>
          </w:tcPr>
          <w:p w14:paraId="2E9D79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A590E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team of two activities coordinators and one </w:t>
            </w:r>
            <w:r w:rsidRPr="00BE00C7">
              <w:rPr>
                <w:rFonts w:cs="Arial"/>
                <w:lang w:eastAsia="en-NZ"/>
              </w:rPr>
              <w:lastRenderedPageBreak/>
              <w:t>diversional therapist. The activities team implement the activities programme in each unit, which reflects the physical and cognitive abilities of the resident groups. There is an annual special events calendar that is overseen by the activities team at the head office. Residents’ activity needs, interests, abilities, and social requirements are assessed on admission, with input from residents, whānau and EPOAs. These were completed within two to three weeks of admission.</w:t>
            </w:r>
          </w:p>
          <w:p w14:paraId="75A0FB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monthly activities plan is posted on noticeboards, and each resident receives a copy of the activities calendar. Daily activities are written on the whiteboard. Residents are invited daily to activities on the schedule. Interested family/whānau are also given a copy of the activities calendar, so that they can join if they would like. The activities are varied and appropriate for people assessed as requiring rest-home, hospital and dementia level of care. </w:t>
            </w:r>
          </w:p>
          <w:p w14:paraId="3BEA51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were suitable for the residents. The activities coordinator reported that activities are provided separately in the three respective wings. The activities on the programme included: walks; pet therapy; happy hour; church services; news and views; ball games; bingo; wordsearch; singalong; walks; floor games; van outings; music; waiata; quiz questions; shopping; movies; art; and craft. Three-monthly resident meetings provide a forum for feedback relating to activities. Activity participation registers were completed daily. Residents were observed participating in a variety of activities on the audit days.</w:t>
            </w:r>
          </w:p>
          <w:p w14:paraId="274878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Engagement activities for residents in the special care unit are tailored to meet the needs of the residents. There were 24-hour activity plans, which included strategies for distraction and de-escalation, completed for residents in the dementia wing. Activities are offered at times when residents are most physically active and/or restless. Each resident has a resident life experience, detailing the past and present activities, career, and family/whānau. </w:t>
            </w:r>
          </w:p>
          <w:p w14:paraId="2254E8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activity coordinator reported that opportunities for Māori and whānau to participate in te ao Māori are facilitated through community engagements with the community Kapa haka group, and by celebrating national cultural events and Māori language week.</w:t>
            </w:r>
          </w:p>
          <w:p w14:paraId="2E6787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EPOAs, family/whānau and residents reported satisfaction with the level and variety of activities provided.</w:t>
            </w:r>
          </w:p>
          <w:p w14:paraId="54BBC663" w14:textId="77777777" w:rsidR="00000000" w:rsidRPr="00BE00C7" w:rsidRDefault="00000000" w:rsidP="00BE00C7">
            <w:pPr>
              <w:pStyle w:val="OutcomeDescription"/>
              <w:spacing w:before="120" w:after="120"/>
              <w:rPr>
                <w:rFonts w:cs="Arial"/>
                <w:lang w:eastAsia="en-NZ"/>
              </w:rPr>
            </w:pPr>
          </w:p>
        </w:tc>
      </w:tr>
      <w:tr w:rsidR="00FD1BF4" w14:paraId="5A9E75D5" w14:textId="77777777">
        <w:tc>
          <w:tcPr>
            <w:tcW w:w="0" w:type="auto"/>
          </w:tcPr>
          <w:p w14:paraId="7496E51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BDEE4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EAC0BD" w14:textId="77777777" w:rsidR="00000000" w:rsidRPr="00BE00C7" w:rsidRDefault="00000000" w:rsidP="00BE00C7">
            <w:pPr>
              <w:pStyle w:val="OutcomeDescription"/>
              <w:spacing w:before="120" w:after="120"/>
              <w:rPr>
                <w:rFonts w:cs="Arial"/>
                <w:lang w:eastAsia="en-NZ"/>
              </w:rPr>
            </w:pPr>
          </w:p>
        </w:tc>
        <w:tc>
          <w:tcPr>
            <w:tcW w:w="0" w:type="auto"/>
          </w:tcPr>
          <w:p w14:paraId="18F0D20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9B709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the Medicines Care Guide for Residential Aged Care and policy. The system described medication prescribing, dispensing, administration, review, and reconciliation. Administration records were maintained. Medications were supplied to the facility from a contracted pharmacy. The GP completes three-monthly medication reviews. </w:t>
            </w:r>
          </w:p>
          <w:p w14:paraId="2E00B9F9" w14:textId="77777777" w:rsidR="00000000" w:rsidRPr="00BE00C7" w:rsidRDefault="00000000" w:rsidP="00BE00C7">
            <w:pPr>
              <w:pStyle w:val="OutcomeDescription"/>
              <w:spacing w:before="120" w:after="120"/>
              <w:rPr>
                <w:rFonts w:cs="Arial"/>
                <w:lang w:eastAsia="en-NZ"/>
              </w:rPr>
            </w:pPr>
            <w:r w:rsidRPr="00BE00C7">
              <w:rPr>
                <w:rFonts w:cs="Arial"/>
                <w:lang w:eastAsia="en-NZ"/>
              </w:rPr>
              <w:t>A total of sixteen electronic medicine charts were reviewed. Indications for use were noted for pro re nata (PRN) medications, including over-the-counter medications and supplements, on the medication charts. Allergies were indicated, and all photos uploaded on the electronic medication management system were current. Medications with a short shelf life were dated on opening. The effectiveness of PRN medications was consistently documented in the electronic medication management system and progress notes.</w:t>
            </w:r>
          </w:p>
          <w:p w14:paraId="6CEB4285"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all staff administering medicines. Medication incidents were completed in the event of a drug error, and corrective actions were taken. A sample of these were reviewed during the audit. There were no expired or unwanted medicines. Expired medicines were being returned to the pharmacy promptly. Monitoring of medicine fridges and medication room temperatures were conducted regularly, and deviations from normal ranges were reported and attended to promptly. Records were sighted.</w:t>
            </w:r>
          </w:p>
          <w:p w14:paraId="1863E9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was observed administering medications safely and correctly. Medications were stored safely and securely in the trolleys, locked treatment room, and cupboards. There were no residents self-administering medications. Appropriate processes were in place to ensure that residents who are self-administering medicines do this safely. A self-administration of medication policy was in place </w:t>
            </w:r>
            <w:r w:rsidRPr="00BE00C7">
              <w:rPr>
                <w:rFonts w:cs="Arial"/>
                <w:lang w:eastAsia="en-NZ"/>
              </w:rPr>
              <w:lastRenderedPageBreak/>
              <w:t>when required. There were no standing orders in use.</w:t>
            </w:r>
          </w:p>
          <w:p w14:paraId="4C12A5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their family/whānau are supported to understand their medicine when required. The GP stated that when requested by Māori, appropriate support and advice would be provided.</w:t>
            </w:r>
          </w:p>
          <w:p w14:paraId="026AE9F8" w14:textId="77777777" w:rsidR="00000000" w:rsidRPr="00BE00C7" w:rsidRDefault="00000000" w:rsidP="00BE00C7">
            <w:pPr>
              <w:pStyle w:val="OutcomeDescription"/>
              <w:spacing w:before="120" w:after="120"/>
              <w:rPr>
                <w:rFonts w:cs="Arial"/>
                <w:lang w:eastAsia="en-NZ"/>
              </w:rPr>
            </w:pPr>
          </w:p>
        </w:tc>
      </w:tr>
      <w:tr w:rsidR="00FD1BF4" w14:paraId="3EE31E78" w14:textId="77777777">
        <w:tc>
          <w:tcPr>
            <w:tcW w:w="0" w:type="auto"/>
          </w:tcPr>
          <w:p w14:paraId="0C1B42B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0CDAA1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A630E47" w14:textId="77777777" w:rsidR="00000000" w:rsidRPr="00BE00C7" w:rsidRDefault="00000000" w:rsidP="00BE00C7">
            <w:pPr>
              <w:pStyle w:val="OutcomeDescription"/>
              <w:spacing w:before="120" w:after="120"/>
              <w:rPr>
                <w:rFonts w:cs="Arial"/>
                <w:lang w:eastAsia="en-NZ"/>
              </w:rPr>
            </w:pPr>
          </w:p>
        </w:tc>
        <w:tc>
          <w:tcPr>
            <w:tcW w:w="0" w:type="auto"/>
          </w:tcPr>
          <w:p w14:paraId="05279D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D5CE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service complies with current food safety legislation and guidelines. The food service is contracted to an external catering contractor with food prepared and cooked on site by a chef manager, who is supported by another chef (weekend) and a kitchen assistant. All have recognised food safety qualifications and relevant experience working in a kitchen environment. Kitchen staff have current food handling certificates. The interim chef reported that all food and baking are prepared and cooked on site. Food is prepared in line with recognised nutritional guidelines for older people.</w:t>
            </w:r>
          </w:p>
          <w:p w14:paraId="345914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is a current food control plan. A registered dietitian has reviewed the menu. Diets are modified as required, and the kitchen staff has confirmed awareness of the residents' dietary needs. Residents have a nutrition profile developed on admission, identifying nutritional requirements, likes, and dislikes. All alternatives are catered for as required. There are specialised utensils available if required. The residents’ weights are monitored regularly, and supplements are provided to residents with identified weight loss issues. Snacks and drinks are available for all residents throughout the day and at night when required.</w:t>
            </w:r>
          </w:p>
          <w:p w14:paraId="587558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clean, tidy, and well-stocked. Regular cleaning is undertaken, and all services comply with current legislation and guidelines. Labels and dates were on all containers. Calibration of thermometers is completed every three months. Records of temperature monitoring of food, chiller, fridges, and freezers is maintained. All food is delivered to the respective wings in scan boxes. All decanted food had records of use-by dates recorded on the containers, and no expired items were sighted. Family/whānau and residents interviewed indicated satisfaction with the food service. </w:t>
            </w:r>
          </w:p>
          <w:p w14:paraId="28D9E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Mealtimes were observed during the audit. Residents received the support they needed and were given enough time to eat their meals in </w:t>
            </w:r>
            <w:r w:rsidRPr="00BE00C7">
              <w:rPr>
                <w:rFonts w:cs="Arial"/>
                <w:lang w:eastAsia="en-NZ"/>
              </w:rPr>
              <w:lastRenderedPageBreak/>
              <w:t>an unhurried fashion.</w:t>
            </w:r>
          </w:p>
          <w:p w14:paraId="4AA75C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interim chef reported that the service prepares food that is culturally specific to different cultures. This includes menu options that are culturally specific to te ao Māori. Also, ' boil-ups,’ hāngi, Māori bread, and pork were included on the menu, and these are offered to residents who identify as Māori when required.</w:t>
            </w:r>
          </w:p>
          <w:p w14:paraId="1195E79D" w14:textId="77777777" w:rsidR="00000000" w:rsidRPr="00BE00C7" w:rsidRDefault="00000000" w:rsidP="00BE00C7">
            <w:pPr>
              <w:pStyle w:val="OutcomeDescription"/>
              <w:spacing w:before="120" w:after="120"/>
              <w:rPr>
                <w:rFonts w:cs="Arial"/>
                <w:lang w:eastAsia="en-NZ"/>
              </w:rPr>
            </w:pPr>
          </w:p>
        </w:tc>
      </w:tr>
      <w:tr w:rsidR="00FD1BF4" w14:paraId="1145DEC5" w14:textId="77777777">
        <w:tc>
          <w:tcPr>
            <w:tcW w:w="0" w:type="auto"/>
          </w:tcPr>
          <w:p w14:paraId="2A14B0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6C0D6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EDEDC19" w14:textId="77777777" w:rsidR="00000000" w:rsidRPr="00BE00C7" w:rsidRDefault="00000000" w:rsidP="00BE00C7">
            <w:pPr>
              <w:pStyle w:val="OutcomeDescription"/>
              <w:spacing w:before="120" w:after="120"/>
              <w:rPr>
                <w:rFonts w:cs="Arial"/>
                <w:lang w:eastAsia="en-NZ"/>
              </w:rPr>
            </w:pPr>
          </w:p>
        </w:tc>
        <w:tc>
          <w:tcPr>
            <w:tcW w:w="0" w:type="auto"/>
          </w:tcPr>
          <w:p w14:paraId="26AE8F1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B51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early discharge/unexpected exit plan and transfer from services. The interim clinical coordinator reported that discharges normally go into similar facilities. The nursing team oversees discharges and manages the process until the resident leaves the facility. All this is conducted in consultation with the resident, family/whānau, and other external agencies. Risks are identified and managed as required. </w:t>
            </w:r>
          </w:p>
          <w:p w14:paraId="6A79674C"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in the residents’ file. Residents and family/whānau are advised of their options to access other health and disability services and social support or kaupapa Māori agencies, where indicated or requested. Referrals to other allied health providers were completed, and the resident's safety was identified. Upon discharge, current and old notes are collated and scanned into the resident’s electronic management system. If a subsequent GP require a resident’s information, a written request is required to transfer the file.</w:t>
            </w:r>
          </w:p>
          <w:p w14:paraId="4E7CC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reviewed files contained evidence of residents referred to other specialist services, such as podiatrists, gerontology nurse specialists, and physiotherapists. Residents and their family/whānau are involved in all exits or discharges to and from the service, and there was sufficient evidence in the residents’ records to confirm this.</w:t>
            </w:r>
          </w:p>
          <w:p w14:paraId="253C318E" w14:textId="77777777" w:rsidR="00000000" w:rsidRPr="00BE00C7" w:rsidRDefault="00000000" w:rsidP="00BE00C7">
            <w:pPr>
              <w:pStyle w:val="OutcomeDescription"/>
              <w:spacing w:before="120" w:after="120"/>
              <w:rPr>
                <w:rFonts w:cs="Arial"/>
                <w:lang w:eastAsia="en-NZ"/>
              </w:rPr>
            </w:pPr>
          </w:p>
        </w:tc>
      </w:tr>
      <w:tr w:rsidR="00FD1BF4" w14:paraId="5240E259" w14:textId="77777777">
        <w:tc>
          <w:tcPr>
            <w:tcW w:w="0" w:type="auto"/>
          </w:tcPr>
          <w:p w14:paraId="407FD8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399C6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D59915A" w14:textId="77777777" w:rsidR="00000000" w:rsidRPr="00BE00C7" w:rsidRDefault="00000000" w:rsidP="00BE00C7">
            <w:pPr>
              <w:pStyle w:val="OutcomeDescription"/>
              <w:spacing w:before="120" w:after="120"/>
              <w:rPr>
                <w:rFonts w:cs="Arial"/>
                <w:lang w:eastAsia="en-NZ"/>
              </w:rPr>
            </w:pPr>
          </w:p>
        </w:tc>
        <w:tc>
          <w:tcPr>
            <w:tcW w:w="0" w:type="auto"/>
          </w:tcPr>
          <w:p w14:paraId="3029FC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CB1C7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a current building warrant of fitness. The physical environment supports the independence of the residents. Corridors have safety rails and promote safe mobility using mobility aids. Residents were observed moving freely in their respective wings with </w:t>
            </w:r>
            <w:r w:rsidRPr="00BE00C7">
              <w:rPr>
                <w:rFonts w:cs="Arial"/>
                <w:lang w:eastAsia="en-NZ"/>
              </w:rPr>
              <w:lastRenderedPageBreak/>
              <w:t>mobility aids. There are comfortable-looking lounges for communal gatherings and activities at the facility. Quiet spaces for residents and their family/whānau to utilise are available inside and outside on the deck open area.</w:t>
            </w:r>
          </w:p>
          <w:p w14:paraId="6C10009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planned maintenance schedule includes electrical testing and tagging of electrical equipment, resident equipment checks, and calibrations of the weighing scales and clinical equipment. The scales were checked annually. Hot water temperatures were monitored monthly, and the reviewed records were within the recommended ranges. </w:t>
            </w:r>
          </w:p>
          <w:p w14:paraId="3CF432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 maintenance technician, who works three days a week and reports to the maintenance supervisor. Certified tradespeople carry out reactive maintenance where required. The environmental temperature is monitored, and processes are implemented to manage significant temperature changes.</w:t>
            </w:r>
          </w:p>
          <w:p w14:paraId="7F3F13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on two levels. The two double/shared rooms have dividing curtains for privacy; noting that both had single occupancy during the audit. The ensuites are spacious and safely accessible with a hoist and/or mobility equipment, as observed on the audit day. All ensuites have external windows to provide natural light and have appropriate ventilation and central heating. </w:t>
            </w:r>
          </w:p>
          <w:p w14:paraId="31D468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floor level of care has a small kitchen that staff and residents can use to make drinks for residents. There are also nurses' stations, large dining and lounge areas, private areas, and quiet rooms. Equipment in the kitchens is safe, including for residents in the SCU. </w:t>
            </w:r>
          </w:p>
          <w:p w14:paraId="3CB64C4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communal toilets and shower facilities have a system indicating whether they are engaged or vacant. All the washing areas have free-flowing soap and paper towels in the toilet areas. All areas are easily accessible to the residents. The furnishings and seating are appropriate for the consumer group. Residents interviewed reported being able to move around the facility, and staff assisted them when required. Activities take place in the activities lounge area on each floor. Residents’ rooms are personalised according to their preferences. All rooms have external windows to provide natural light, appropriate ventilation, and heating.</w:t>
            </w:r>
          </w:p>
          <w:p w14:paraId="3899FC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grounds and external areas are well maintained. External areas </w:t>
            </w:r>
            <w:r w:rsidRPr="00BE00C7">
              <w:rPr>
                <w:rFonts w:cs="Arial"/>
                <w:lang w:eastAsia="en-NZ"/>
              </w:rPr>
              <w:lastRenderedPageBreak/>
              <w:t>are independently accessible to residents. All outdoor areas have seating and shade. Safe access is provided to all communal areas. There were not any residents who smoked on the audit days. Entry to the SCU is by keypad door code. The outdoor areas have seating and shade.</w:t>
            </w:r>
          </w:p>
          <w:p w14:paraId="0681C5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supervisor reported that when there is a planned development for new buildings, there shall be consultation and co-design of the environments to ensure that they reflect the aspirations and identity of Māori. Residents and family/whānau interviewed expressed a high level of satisfaction with the environment.</w:t>
            </w:r>
          </w:p>
          <w:p w14:paraId="3B8401AB" w14:textId="77777777" w:rsidR="00000000" w:rsidRPr="00BE00C7" w:rsidRDefault="00000000" w:rsidP="00BE00C7">
            <w:pPr>
              <w:pStyle w:val="OutcomeDescription"/>
              <w:spacing w:before="120" w:after="120"/>
              <w:rPr>
                <w:rFonts w:cs="Arial"/>
                <w:lang w:eastAsia="en-NZ"/>
              </w:rPr>
            </w:pPr>
          </w:p>
        </w:tc>
      </w:tr>
      <w:tr w:rsidR="00FD1BF4" w14:paraId="43F90F21" w14:textId="77777777">
        <w:tc>
          <w:tcPr>
            <w:tcW w:w="0" w:type="auto"/>
          </w:tcPr>
          <w:p w14:paraId="1E3859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72C9D1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3733D3A" w14:textId="77777777" w:rsidR="00000000" w:rsidRPr="00BE00C7" w:rsidRDefault="00000000" w:rsidP="00BE00C7">
            <w:pPr>
              <w:pStyle w:val="OutcomeDescription"/>
              <w:spacing w:before="120" w:after="120"/>
              <w:rPr>
                <w:rFonts w:cs="Arial"/>
                <w:lang w:eastAsia="en-NZ"/>
              </w:rPr>
            </w:pPr>
          </w:p>
        </w:tc>
        <w:tc>
          <w:tcPr>
            <w:tcW w:w="0" w:type="auto"/>
          </w:tcPr>
          <w:p w14:paraId="3700A7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2B58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policies and guidelines for emergency planning, preparation, and response are displayed and easily accessible to staff. Civil defence planning guides the facility in preparing for disasters and describes the procedures to be followed in a fire or other emergency. Fire and Emergency New Zealand have approved a fire evacuation scheme. A trial evacuation drill is performed six-monthly. The staff orientation and ongoing training programme includes fire, emergency, and security training. There are adequate fire exit doors, and the main car park area is the designated assembly point. An external contractor checks all fire equipment within the required timeframes. </w:t>
            </w:r>
          </w:p>
          <w:p w14:paraId="2CEFFDBF" w14:textId="77777777" w:rsidR="00000000" w:rsidRPr="00BE00C7" w:rsidRDefault="00000000" w:rsidP="00BE00C7">
            <w:pPr>
              <w:pStyle w:val="OutcomeDescription"/>
              <w:spacing w:before="120" w:after="120"/>
              <w:rPr>
                <w:rFonts w:cs="Arial"/>
                <w:lang w:eastAsia="en-NZ"/>
              </w:rPr>
            </w:pPr>
            <w:r w:rsidRPr="00BE00C7">
              <w:rPr>
                <w:rFonts w:cs="Arial"/>
                <w:lang w:eastAsia="en-NZ"/>
              </w:rPr>
              <w:t>A civil defence plan is in place. There are adequate supplies in the event of a civil defence emergency, including food, water, candles, torches, a generator, and gas BBQs to meet the requirements for residents and rostered staff. The amount of emergency water available meets the National Emergency Management Agency recommendations for the region. Emergency lighting is available and is regularly tested. The registered nurses and a selection of HCAs hold current first aid certificates. There are first aid-trained staff members on duty 24/7. The staff interviewed confirmed their awareness of the emergency procedures.</w:t>
            </w:r>
          </w:p>
          <w:p w14:paraId="0DE66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working call bell system used by the residents, family/whānau, and staff members to summon assistance. All residents have access to a call bell, which the maintenance technician checks monthly. Call bell audits were completed as per the audit </w:t>
            </w:r>
            <w:r w:rsidRPr="00BE00C7">
              <w:rPr>
                <w:rFonts w:cs="Arial"/>
                <w:lang w:eastAsia="en-NZ"/>
              </w:rPr>
              <w:lastRenderedPageBreak/>
              <w:t>schedule. Residents and family/whānau confirmed that staff respond to calls promptly.</w:t>
            </w:r>
          </w:p>
          <w:p w14:paraId="5ADFF667"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predetermined times in the evenings, and family/whānau and residents know how to alert staff when they need access to the facility after hours.</w:t>
            </w:r>
          </w:p>
          <w:p w14:paraId="5CFCC30E" w14:textId="77777777" w:rsidR="00000000" w:rsidRPr="00BE00C7" w:rsidRDefault="00000000" w:rsidP="00BE00C7">
            <w:pPr>
              <w:pStyle w:val="OutcomeDescription"/>
              <w:spacing w:before="120" w:after="120"/>
              <w:rPr>
                <w:rFonts w:cs="Arial"/>
                <w:lang w:eastAsia="en-NZ"/>
              </w:rPr>
            </w:pPr>
            <w:r w:rsidRPr="00BE00C7">
              <w:rPr>
                <w:rFonts w:cs="Arial"/>
                <w:lang w:eastAsia="en-NZ"/>
              </w:rPr>
              <w:t>A visitors' policy and guidelines are available to ensure that residents’ safety and wellbeing are not compromised by visitors to the service. Visitors and contractors are required to sign in and out of visitors’ registers.</w:t>
            </w:r>
          </w:p>
          <w:p w14:paraId="67D3D0AB" w14:textId="77777777" w:rsidR="00000000" w:rsidRPr="00BE00C7" w:rsidRDefault="00000000" w:rsidP="00BE00C7">
            <w:pPr>
              <w:pStyle w:val="OutcomeDescription"/>
              <w:spacing w:before="120" w:after="120"/>
              <w:rPr>
                <w:rFonts w:cs="Arial"/>
                <w:lang w:eastAsia="en-NZ"/>
              </w:rPr>
            </w:pPr>
          </w:p>
        </w:tc>
      </w:tr>
      <w:tr w:rsidR="00FD1BF4" w14:paraId="6F7F3260" w14:textId="77777777">
        <w:tc>
          <w:tcPr>
            <w:tcW w:w="0" w:type="auto"/>
          </w:tcPr>
          <w:p w14:paraId="44C64B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63C87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B263B65" w14:textId="77777777" w:rsidR="00000000" w:rsidRPr="00BE00C7" w:rsidRDefault="00000000" w:rsidP="00BE00C7">
            <w:pPr>
              <w:pStyle w:val="OutcomeDescription"/>
              <w:spacing w:before="120" w:after="120"/>
              <w:rPr>
                <w:rFonts w:cs="Arial"/>
                <w:lang w:eastAsia="en-NZ"/>
              </w:rPr>
            </w:pPr>
          </w:p>
        </w:tc>
        <w:tc>
          <w:tcPr>
            <w:tcW w:w="0" w:type="auto"/>
          </w:tcPr>
          <w:p w14:paraId="64C176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CFEDE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The infection control and AMS programme is reviewed annually by the clinical quality lead, an external infection prevention and control expert, and in collaboration with the CHT infection control staff. Infection control data is also sent to CHT head office, where it is reported at monthly Board meetings. The data is also benchmarked with other CHT care homes. Infection control is part of the strategic and quality plans.</w:t>
            </w:r>
          </w:p>
          <w:p w14:paraId="08A2AB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an external contracted company, and from Health NZ. </w:t>
            </w:r>
          </w:p>
          <w:p w14:paraId="63AA846D"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care home. Residents and staff are offered vaccinations as required.</w:t>
            </w:r>
          </w:p>
          <w:p w14:paraId="1FA747EE" w14:textId="77777777" w:rsidR="00000000" w:rsidRPr="00BE00C7" w:rsidRDefault="00000000" w:rsidP="00BE00C7">
            <w:pPr>
              <w:pStyle w:val="OutcomeDescription"/>
              <w:spacing w:before="120" w:after="120"/>
              <w:rPr>
                <w:rFonts w:cs="Arial"/>
                <w:lang w:eastAsia="en-NZ"/>
              </w:rPr>
            </w:pPr>
          </w:p>
        </w:tc>
      </w:tr>
      <w:tr w:rsidR="00FD1BF4" w14:paraId="0EEF5F0B" w14:textId="77777777">
        <w:tc>
          <w:tcPr>
            <w:tcW w:w="0" w:type="auto"/>
          </w:tcPr>
          <w:p w14:paraId="7DBC809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39CFF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r>
            <w:r w:rsidRPr="00BE00C7">
              <w:rPr>
                <w:rFonts w:cs="Arial"/>
                <w:lang w:eastAsia="en-NZ"/>
              </w:rPr>
              <w:lastRenderedPageBreak/>
              <w:t>As service providers: We develop and implement an infection prevention programme that is appropriate to the needs, size, and scope of our services.</w:t>
            </w:r>
          </w:p>
          <w:p w14:paraId="790401E8" w14:textId="77777777" w:rsidR="00000000" w:rsidRPr="00BE00C7" w:rsidRDefault="00000000" w:rsidP="00BE00C7">
            <w:pPr>
              <w:pStyle w:val="OutcomeDescription"/>
              <w:spacing w:before="120" w:after="120"/>
              <w:rPr>
                <w:rFonts w:cs="Arial"/>
                <w:lang w:eastAsia="en-NZ"/>
              </w:rPr>
            </w:pPr>
          </w:p>
        </w:tc>
        <w:tc>
          <w:tcPr>
            <w:tcW w:w="0" w:type="auto"/>
          </w:tcPr>
          <w:p w14:paraId="29CA2B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BE073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The infection control programme is approved by governance, and links to the quality management and incident management system. The programme is reviewed annually. A registered nurse oversees infection control and the AMS programme across the service as the infection control resource nurse (IFCRN). The IFCRN work alongside </w:t>
            </w:r>
            <w:r w:rsidRPr="00BE00C7">
              <w:rPr>
                <w:rFonts w:cs="Arial"/>
                <w:lang w:eastAsia="en-NZ"/>
              </w:rPr>
              <w:lastRenderedPageBreak/>
              <w:t xml:space="preserve">a committee with representation from all departments. The job description outlines the responsibility of the role. </w:t>
            </w:r>
          </w:p>
          <w:p w14:paraId="7CB9AB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outbreak and pandemic response plan (incorporating Covid-19), which includes preparation, planning, and the management of outbreaks. The plan is tested at regular intervals. There is ample personal protective equipment, with extra stocks available as required. There is a process to ensure stock gets rotated and checked for expiry dates. </w:t>
            </w:r>
          </w:p>
          <w:p w14:paraId="79E560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resource nurse (IFCRN) has completed infection control education. There is good external support from the general practitioner, laboratory, external consultant, and Health NZ infection control nurse specialist. The IFCRN has input into purchasing supplies and equipment. </w:t>
            </w:r>
          </w:p>
          <w:p w14:paraId="6FB601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online infection control manual from Bug Control outlines a comprehensive range of policies, standards and guidelines and includes defining roles, responsibilities and oversight, training, and education of staff. Policies and procedures are reviewed by clinical quality lead, Bug Control in consultation with infection control resource nurses. Policies are available to staff. </w:t>
            </w:r>
          </w:p>
          <w:p w14:paraId="345BC4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All shared equipment is appropriately disinfected between use, and internal audits have been updated to include this. There are processes in place to ensure single use items are not reused. The service incorporates te reo Māori information around infection control for Māori residents. Māori protocols are adhered to, and staff are able to describe these practices, acknowledging the spirit of Te Tiriti o Waitangi. There is a process in place to consult with the IFCRN, should any changes to the facility be planned.</w:t>
            </w:r>
          </w:p>
          <w:p w14:paraId="3F92309F"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control audits are conducted. The infection control policy states that CHT Amberlea is committed to the ongoing education of staff and residents. Infection prevention and control is part of staff orientation and included in the annual training plan. Resident education occurs as part of the daily cares. Residents and family/whānau were kept informed and updated on pandemic policies and procedures through resident meetings, newsletters, and emails.</w:t>
            </w:r>
          </w:p>
          <w:p w14:paraId="66601415" w14:textId="77777777" w:rsidR="00000000" w:rsidRPr="00BE00C7" w:rsidRDefault="00000000" w:rsidP="00BE00C7">
            <w:pPr>
              <w:pStyle w:val="OutcomeDescription"/>
              <w:spacing w:before="120" w:after="120"/>
              <w:rPr>
                <w:rFonts w:cs="Arial"/>
                <w:lang w:eastAsia="en-NZ"/>
              </w:rPr>
            </w:pPr>
          </w:p>
        </w:tc>
      </w:tr>
      <w:tr w:rsidR="00FD1BF4" w14:paraId="35B3C87F" w14:textId="77777777">
        <w:tc>
          <w:tcPr>
            <w:tcW w:w="0" w:type="auto"/>
          </w:tcPr>
          <w:p w14:paraId="101DF4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84055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72A9791" w14:textId="77777777" w:rsidR="00000000" w:rsidRPr="00BE00C7" w:rsidRDefault="00000000" w:rsidP="00BE00C7">
            <w:pPr>
              <w:pStyle w:val="OutcomeDescription"/>
              <w:spacing w:before="120" w:after="120"/>
              <w:rPr>
                <w:rFonts w:cs="Arial"/>
                <w:lang w:eastAsia="en-NZ"/>
              </w:rPr>
            </w:pPr>
          </w:p>
        </w:tc>
        <w:tc>
          <w:tcPr>
            <w:tcW w:w="0" w:type="auto"/>
          </w:tcPr>
          <w:p w14:paraId="0805437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F9B8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The general practitioner reviews antimicrobial use monthly, by signing the antimicrobial quantity and quality report provided to them. The antimicrobial policy is appropriate for the size, scope, and complexity of the resident cohort. </w:t>
            </w:r>
          </w:p>
          <w:p w14:paraId="232E57CE"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collated monthly and reported to the quality, health and safety, and staff meetings, as well as CHT head office (clinical quality lead). Prophylactic use of antibiotics is not considered to be appropriate and is discouraged.</w:t>
            </w:r>
          </w:p>
          <w:p w14:paraId="43EB51F4" w14:textId="77777777" w:rsidR="00000000" w:rsidRPr="00BE00C7" w:rsidRDefault="00000000" w:rsidP="00BE00C7">
            <w:pPr>
              <w:pStyle w:val="OutcomeDescription"/>
              <w:spacing w:before="120" w:after="120"/>
              <w:rPr>
                <w:rFonts w:cs="Arial"/>
                <w:lang w:eastAsia="en-NZ"/>
              </w:rPr>
            </w:pPr>
          </w:p>
        </w:tc>
      </w:tr>
      <w:tr w:rsidR="00FD1BF4" w14:paraId="6CB0D4A6" w14:textId="77777777">
        <w:tc>
          <w:tcPr>
            <w:tcW w:w="0" w:type="auto"/>
          </w:tcPr>
          <w:p w14:paraId="4D1F753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AE0D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DCAE073" w14:textId="77777777" w:rsidR="00000000" w:rsidRPr="00BE00C7" w:rsidRDefault="00000000" w:rsidP="00BE00C7">
            <w:pPr>
              <w:pStyle w:val="OutcomeDescription"/>
              <w:spacing w:before="120" w:after="120"/>
              <w:rPr>
                <w:rFonts w:cs="Arial"/>
                <w:lang w:eastAsia="en-NZ"/>
              </w:rPr>
            </w:pPr>
          </w:p>
        </w:tc>
        <w:tc>
          <w:tcPr>
            <w:tcW w:w="0" w:type="auto"/>
          </w:tcPr>
          <w:p w14:paraId="5B1175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CE80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surveillance is discussed at quality, health and safety, and staff meetings and sent to CHT head office. </w:t>
            </w:r>
          </w:p>
          <w:p w14:paraId="5827E4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The service receives email notifications and alerts from CHT head office and Health New Zealand for any community concerns. All communication between the facility, residents, family/whānau and external services occur in a culturally appropriate manner. </w:t>
            </w:r>
          </w:p>
          <w:p w14:paraId="0D70B6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outbreaks since the last audit. The acting clinical coordinator stated toolbox meetings and debrief meetings for ‘lessons </w:t>
            </w:r>
            <w:r w:rsidRPr="00BE00C7">
              <w:rPr>
                <w:rFonts w:cs="Arial"/>
                <w:lang w:eastAsia="en-NZ"/>
              </w:rPr>
              <w:lastRenderedPageBreak/>
              <w:t>learned` will be implemented and documented should this occur. The HCAs confirmed they are well trained to respond rapidly should an outbreak occur. There are supplies of personal protective equipment available for staff, residents, and visitors.</w:t>
            </w:r>
          </w:p>
          <w:p w14:paraId="38248937" w14:textId="77777777" w:rsidR="00000000" w:rsidRPr="00BE00C7" w:rsidRDefault="00000000" w:rsidP="00BE00C7">
            <w:pPr>
              <w:pStyle w:val="OutcomeDescription"/>
              <w:spacing w:before="120" w:after="120"/>
              <w:rPr>
                <w:rFonts w:cs="Arial"/>
                <w:lang w:eastAsia="en-NZ"/>
              </w:rPr>
            </w:pPr>
          </w:p>
        </w:tc>
      </w:tr>
      <w:tr w:rsidR="00FD1BF4" w14:paraId="7845834C" w14:textId="77777777">
        <w:tc>
          <w:tcPr>
            <w:tcW w:w="0" w:type="auto"/>
          </w:tcPr>
          <w:p w14:paraId="56DAE4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266BE1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3C05579" w14:textId="77777777" w:rsidR="00000000" w:rsidRPr="00BE00C7" w:rsidRDefault="00000000" w:rsidP="00BE00C7">
            <w:pPr>
              <w:pStyle w:val="OutcomeDescription"/>
              <w:spacing w:before="120" w:after="120"/>
              <w:rPr>
                <w:rFonts w:cs="Arial"/>
                <w:lang w:eastAsia="en-NZ"/>
              </w:rPr>
            </w:pPr>
          </w:p>
        </w:tc>
        <w:tc>
          <w:tcPr>
            <w:tcW w:w="0" w:type="auto"/>
          </w:tcPr>
          <w:p w14:paraId="549BCAD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C06E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to be wearing these as they carried out their duties on the days of audit. Eye protection (goggles and face shields) is available. Staff have completed chemical safety training in the last 12 months. A chemical provider monitors the effectiveness of chemicals. Cleaning services are provided by on-site cleaners who are contracted by an external service. There are centrally located sluice rooms (with a sanitisers), stainless steel bench, and handwashing facilities. The sluice rooms are kept closed when not in use.</w:t>
            </w:r>
          </w:p>
          <w:p w14:paraId="2C683F4A" w14:textId="77777777" w:rsidR="00000000" w:rsidRPr="00BE00C7" w:rsidRDefault="00000000" w:rsidP="00BE00C7">
            <w:pPr>
              <w:pStyle w:val="OutcomeDescription"/>
              <w:spacing w:before="120" w:after="120"/>
              <w:rPr>
                <w:rFonts w:cs="Arial"/>
                <w:lang w:eastAsia="en-NZ"/>
              </w:rPr>
            </w:pPr>
            <w:r w:rsidRPr="00BE00C7">
              <w:rPr>
                <w:rFonts w:cs="Arial"/>
                <w:lang w:eastAsia="en-NZ"/>
              </w:rPr>
              <w:t>All laundry for CHT Amberlea is processed off site by a contracted service provider. All dirty laundry is sorted into appropriate colour coded bags by HCAs and left at the collection point for the external contractor to pick up. There are defined clean/dirty areas for the pickup and drop off, with a separate room dedicated to the receipt and sorting of clean laundry including linen. There is a daily receipt of clean laundry which is sorted out and delivered to resident’s rooms in baskets by the HCAs. The numerous linen cupboards and trolleys were well stocked. Linen is transported on covered trolleys to the linen cupboards.</w:t>
            </w:r>
          </w:p>
          <w:p w14:paraId="3650BA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Cleaning and laundry services are monitored through the internal auditing system. The cleaner interviewed had a good understanding about cleaning processes and requirements related to infection prevention and control. Residents and family/whānau interviewed were satisfied with the standard of cleanliness, but had constructive </w:t>
            </w:r>
            <w:r w:rsidRPr="00BE00C7">
              <w:rPr>
                <w:rFonts w:cs="Arial"/>
                <w:lang w:eastAsia="en-NZ"/>
              </w:rPr>
              <w:lastRenderedPageBreak/>
              <w:t>feedback regarding laundry services.</w:t>
            </w:r>
          </w:p>
          <w:p w14:paraId="52229C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IFCRN has oversight of the facility testing and monitoring programme for the built environment with support from the area manager. The IFCRN confirmed they ensure to provide support to maintain a safe environment during construction, renovation, and maintenance activities.</w:t>
            </w:r>
          </w:p>
          <w:p w14:paraId="14DCDE36" w14:textId="77777777" w:rsidR="00000000" w:rsidRPr="00BE00C7" w:rsidRDefault="00000000" w:rsidP="00BE00C7">
            <w:pPr>
              <w:pStyle w:val="OutcomeDescription"/>
              <w:spacing w:before="120" w:after="120"/>
              <w:rPr>
                <w:rFonts w:cs="Arial"/>
                <w:lang w:eastAsia="en-NZ"/>
              </w:rPr>
            </w:pPr>
          </w:p>
        </w:tc>
      </w:tr>
      <w:tr w:rsidR="00FD1BF4" w14:paraId="7DE791D7" w14:textId="77777777">
        <w:tc>
          <w:tcPr>
            <w:tcW w:w="0" w:type="auto"/>
          </w:tcPr>
          <w:p w14:paraId="1DCAF7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E9794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681E3236" w14:textId="77777777" w:rsidR="00000000" w:rsidRPr="00BE00C7" w:rsidRDefault="00000000" w:rsidP="00BE00C7">
            <w:pPr>
              <w:pStyle w:val="OutcomeDescription"/>
              <w:spacing w:before="120" w:after="120"/>
              <w:rPr>
                <w:rFonts w:cs="Arial"/>
                <w:lang w:eastAsia="en-NZ"/>
              </w:rPr>
            </w:pPr>
          </w:p>
        </w:tc>
        <w:tc>
          <w:tcPr>
            <w:tcW w:w="0" w:type="auto"/>
          </w:tcPr>
          <w:p w14:paraId="697923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11A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is aware of its responsibilities in respect of restraint elimination. The restraint policy confirms that any consideration of the use of restraint and application must be done in partnership with family/whānau. The choice of device must be the least restrictive possible. If restraint were to be considered at any time, the facility will work in partnership with Māori, to promote and ensure services are mana-enhancing. At the time of the audit, the facility was restraint free.</w:t>
            </w:r>
          </w:p>
          <w:p w14:paraId="1349D0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confirmed that the service is committed to providing services to residents without the use of restraint. The use of restraint (if any) would be reported in the clinical, quality meetings and in a monthly restraint summary, which is shared with head office. A restraint approval committee meets every six months to review falls, unsettled residents, use of antipsychotic medications, and if appropriate, strategies are in place for residents and staff education needs.</w:t>
            </w:r>
          </w:p>
          <w:p w14:paraId="11D04399" w14:textId="77777777" w:rsidR="00000000" w:rsidRPr="00BE00C7" w:rsidRDefault="00000000" w:rsidP="00BE00C7">
            <w:pPr>
              <w:pStyle w:val="OutcomeDescription"/>
              <w:spacing w:before="120" w:after="120"/>
              <w:rPr>
                <w:rFonts w:cs="Arial"/>
                <w:lang w:eastAsia="en-NZ"/>
              </w:rPr>
            </w:pPr>
            <w:r w:rsidRPr="00BE00C7">
              <w:rPr>
                <w:rFonts w:cs="Arial"/>
                <w:lang w:eastAsia="en-NZ"/>
              </w:rPr>
              <w:t>Maintaining a restraint-free environment and managing distressed behaviour and associated risks is included as part of the mandatory training plan and orientation programme.</w:t>
            </w:r>
          </w:p>
          <w:p w14:paraId="7DBE058B" w14:textId="77777777" w:rsidR="00000000" w:rsidRPr="00BE00C7" w:rsidRDefault="00000000" w:rsidP="00BE00C7">
            <w:pPr>
              <w:pStyle w:val="OutcomeDescription"/>
              <w:spacing w:before="120" w:after="120"/>
              <w:rPr>
                <w:rFonts w:cs="Arial"/>
                <w:lang w:eastAsia="en-NZ"/>
              </w:rPr>
            </w:pPr>
          </w:p>
        </w:tc>
      </w:tr>
    </w:tbl>
    <w:p w14:paraId="37D2D81F"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EB9F035" w14:textId="77777777" w:rsidR="00000000" w:rsidRDefault="00000000">
      <w:pPr>
        <w:pStyle w:val="Heading1"/>
        <w:rPr>
          <w:rFonts w:cs="Arial"/>
        </w:rPr>
      </w:pPr>
      <w:r>
        <w:rPr>
          <w:rFonts w:cs="Arial"/>
        </w:rPr>
        <w:lastRenderedPageBreak/>
        <w:t>Specific results for criterion where corrective actions are required</w:t>
      </w:r>
    </w:p>
    <w:p w14:paraId="2E40FE04"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E5DB45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BDC8C74"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328"/>
        <w:gridCol w:w="4549"/>
        <w:gridCol w:w="2671"/>
        <w:gridCol w:w="2554"/>
      </w:tblGrid>
      <w:tr w:rsidR="00FD1BF4" w14:paraId="4243F0A2" w14:textId="77777777">
        <w:tc>
          <w:tcPr>
            <w:tcW w:w="0" w:type="auto"/>
          </w:tcPr>
          <w:p w14:paraId="17051AF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9E8C4A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1CE3B9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FD0539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0624866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D1BF4" w14:paraId="1E077F06" w14:textId="77777777">
        <w:tc>
          <w:tcPr>
            <w:tcW w:w="0" w:type="auto"/>
          </w:tcPr>
          <w:p w14:paraId="437355F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1.8.3</w:t>
            </w:r>
          </w:p>
          <w:p w14:paraId="3AB49EEC" w14:textId="77777777" w:rsidR="00000000" w:rsidRPr="00BE00C7" w:rsidRDefault="00000000" w:rsidP="00BE00C7">
            <w:pPr>
              <w:pStyle w:val="OutcomeDescription"/>
              <w:spacing w:before="120" w:after="120"/>
              <w:rPr>
                <w:rFonts w:cs="Arial"/>
                <w:lang w:eastAsia="en-NZ"/>
              </w:rPr>
            </w:pPr>
            <w:r w:rsidRPr="00BE00C7">
              <w:rPr>
                <w:rFonts w:cs="Arial"/>
                <w:lang w:eastAsia="en-NZ"/>
              </w:rPr>
              <w:t>My complaint shall be addressed and resolved in accordance with the Code of Health and Disability Services Consumers’ Rights.</w:t>
            </w:r>
          </w:p>
        </w:tc>
        <w:tc>
          <w:tcPr>
            <w:tcW w:w="0" w:type="auto"/>
          </w:tcPr>
          <w:p w14:paraId="3E41893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33905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policy and procedure is provided to residents and family/whānau on entry to the service. The care home manager maintains a record of all complaints, both verbal and written, collated in a complaint register. Complaints are always investigated with comprehensive notes recorded. Some complaints included documentation of resolution and indications of satisfaction of the complainant. Complainants were only sometimes advised of advocacy services. </w:t>
            </w:r>
          </w:p>
          <w:p w14:paraId="6D8B4A0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they are made aware of complaints during handover and in meetings. Complaints are benchmarked within CHT facilities.</w:t>
            </w:r>
          </w:p>
          <w:p w14:paraId="13A3F066" w14:textId="77777777" w:rsidR="00000000" w:rsidRPr="00BE00C7" w:rsidRDefault="00000000" w:rsidP="00BE00C7">
            <w:pPr>
              <w:pStyle w:val="OutcomeDescription"/>
              <w:spacing w:before="120" w:after="120"/>
              <w:rPr>
                <w:rFonts w:cs="Arial"/>
                <w:lang w:eastAsia="en-NZ"/>
              </w:rPr>
            </w:pPr>
          </w:p>
        </w:tc>
        <w:tc>
          <w:tcPr>
            <w:tcW w:w="0" w:type="auto"/>
          </w:tcPr>
          <w:p w14:paraId="134A244B" w14:textId="77777777" w:rsidR="00000000" w:rsidRPr="00BE00C7" w:rsidRDefault="00000000" w:rsidP="00BE00C7">
            <w:pPr>
              <w:pStyle w:val="OutcomeDescription"/>
              <w:spacing w:before="120" w:after="120"/>
              <w:rPr>
                <w:rFonts w:cs="Arial"/>
                <w:lang w:eastAsia="en-NZ"/>
              </w:rPr>
            </w:pPr>
            <w:r w:rsidRPr="00BE00C7">
              <w:rPr>
                <w:rFonts w:cs="Arial"/>
                <w:lang w:eastAsia="en-NZ"/>
              </w:rPr>
              <w:t>(i). Not all complainants were informed of advocacy services.</w:t>
            </w:r>
          </w:p>
          <w:p w14:paraId="1E5EFD4E"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 complaints register did not always indicate that complaints had been resolved, or indication of satisfaction of the complainant re the investigation noted.</w:t>
            </w:r>
          </w:p>
          <w:p w14:paraId="3D286BAF" w14:textId="77777777" w:rsidR="00000000" w:rsidRPr="00BE00C7" w:rsidRDefault="00000000" w:rsidP="00BE00C7">
            <w:pPr>
              <w:pStyle w:val="OutcomeDescription"/>
              <w:spacing w:before="120" w:after="120"/>
              <w:rPr>
                <w:rFonts w:cs="Arial"/>
                <w:lang w:eastAsia="en-NZ"/>
              </w:rPr>
            </w:pPr>
          </w:p>
        </w:tc>
        <w:tc>
          <w:tcPr>
            <w:tcW w:w="0" w:type="auto"/>
          </w:tcPr>
          <w:p w14:paraId="52B7E3F4"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that each complainant is informed of advocacy services.</w:t>
            </w:r>
          </w:p>
          <w:p w14:paraId="73B0D723"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documentation is completed when complaints have been resolved, including indication of satisfaction of the complainant.</w:t>
            </w:r>
          </w:p>
          <w:p w14:paraId="623A4F33" w14:textId="77777777" w:rsidR="00000000" w:rsidRPr="00BE00C7" w:rsidRDefault="00000000" w:rsidP="00BE00C7">
            <w:pPr>
              <w:pStyle w:val="OutcomeDescription"/>
              <w:spacing w:before="120" w:after="120"/>
              <w:rPr>
                <w:rFonts w:cs="Arial"/>
                <w:lang w:eastAsia="en-NZ"/>
              </w:rPr>
            </w:pPr>
          </w:p>
          <w:p w14:paraId="71FD5089"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D1BF4" w14:paraId="1914A39C" w14:textId="77777777">
        <w:tc>
          <w:tcPr>
            <w:tcW w:w="0" w:type="auto"/>
          </w:tcPr>
          <w:p w14:paraId="20A0C8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3.2.1</w:t>
            </w:r>
          </w:p>
          <w:p w14:paraId="5332B687"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5B913BB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DAD0A83"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initial interRAI assessments were all completed within the required timeframes. Ten InterRAI assessments were noted to be overdue. Documentation of care plans was completed within the timeframes required. Initial care plan and long-term care plans were all linked to that last interRAI assessment. These were reviewed at least six-monthly or when there was a significant change. There was evidence of resident and family/whānau involvement in the interRAI assessments and long-term care plans reviewed, and this was documented in progress notes and family/whānau contact forms.</w:t>
            </w:r>
          </w:p>
          <w:p w14:paraId="2279296B" w14:textId="77777777" w:rsidR="00000000" w:rsidRPr="00BE00C7" w:rsidRDefault="00000000" w:rsidP="00BE00C7">
            <w:pPr>
              <w:pStyle w:val="OutcomeDescription"/>
              <w:spacing w:before="120" w:after="120"/>
              <w:rPr>
                <w:rFonts w:cs="Arial"/>
                <w:lang w:eastAsia="en-NZ"/>
              </w:rPr>
            </w:pPr>
          </w:p>
        </w:tc>
        <w:tc>
          <w:tcPr>
            <w:tcW w:w="0" w:type="auto"/>
          </w:tcPr>
          <w:p w14:paraId="1D36C205" w14:textId="77777777" w:rsidR="00000000" w:rsidRPr="00BE00C7" w:rsidRDefault="00000000" w:rsidP="00BE00C7">
            <w:pPr>
              <w:pStyle w:val="OutcomeDescription"/>
              <w:spacing w:before="120" w:after="120"/>
              <w:rPr>
                <w:rFonts w:cs="Arial"/>
                <w:lang w:eastAsia="en-NZ"/>
              </w:rPr>
            </w:pPr>
            <w:r w:rsidRPr="00BE00C7">
              <w:rPr>
                <w:rFonts w:cs="Arial"/>
                <w:lang w:eastAsia="en-NZ"/>
              </w:rPr>
              <w:t>Ten interRAI assessments were overdue in the interRAI database, with timeframes of over a month.</w:t>
            </w:r>
          </w:p>
          <w:p w14:paraId="58BDEC9E" w14:textId="77777777" w:rsidR="00000000" w:rsidRPr="00BE00C7" w:rsidRDefault="00000000" w:rsidP="00BE00C7">
            <w:pPr>
              <w:pStyle w:val="OutcomeDescription"/>
              <w:spacing w:before="120" w:after="120"/>
              <w:rPr>
                <w:rFonts w:cs="Arial"/>
                <w:lang w:eastAsia="en-NZ"/>
              </w:rPr>
            </w:pPr>
          </w:p>
        </w:tc>
        <w:tc>
          <w:tcPr>
            <w:tcW w:w="0" w:type="auto"/>
          </w:tcPr>
          <w:p w14:paraId="092B491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interRAI assessments are completed in a timely manner as per policy, standards, and funder requirements.</w:t>
            </w:r>
          </w:p>
          <w:p w14:paraId="5C9F82BE" w14:textId="77777777" w:rsidR="00000000" w:rsidRPr="00BE00C7" w:rsidRDefault="00000000" w:rsidP="00BE00C7">
            <w:pPr>
              <w:pStyle w:val="OutcomeDescription"/>
              <w:spacing w:before="120" w:after="120"/>
              <w:rPr>
                <w:rFonts w:cs="Arial"/>
                <w:lang w:eastAsia="en-NZ"/>
              </w:rPr>
            </w:pPr>
          </w:p>
          <w:p w14:paraId="6E67A43D"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47D55D6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F6E22EB" w14:textId="77777777" w:rsidR="00000000" w:rsidRDefault="00000000">
      <w:pPr>
        <w:pStyle w:val="Heading1"/>
        <w:rPr>
          <w:rFonts w:cs="Arial"/>
        </w:rPr>
      </w:pPr>
      <w:r>
        <w:rPr>
          <w:rFonts w:cs="Arial"/>
        </w:rPr>
        <w:lastRenderedPageBreak/>
        <w:t>Specific results for criterion where a continuous improvement has been recorded</w:t>
      </w:r>
    </w:p>
    <w:p w14:paraId="1F3E8909"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D1BD4D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C038C1"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D1BF4" w14:paraId="1F3B64CC" w14:textId="77777777">
        <w:tc>
          <w:tcPr>
            <w:tcW w:w="0" w:type="auto"/>
          </w:tcPr>
          <w:p w14:paraId="3C4E345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496A28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61E4F1C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64924" w14:textId="77777777" w:rsidR="008A4BFA" w:rsidRDefault="008A4BFA">
      <w:r>
        <w:separator/>
      </w:r>
    </w:p>
  </w:endnote>
  <w:endnote w:type="continuationSeparator" w:id="0">
    <w:p w14:paraId="1F6F2CB8" w14:textId="77777777" w:rsidR="008A4BFA" w:rsidRDefault="008A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66C4" w14:textId="77777777" w:rsidR="00000000" w:rsidRDefault="00000000">
    <w:pPr>
      <w:pStyle w:val="Footer"/>
    </w:pPr>
  </w:p>
  <w:p w14:paraId="70FC45FE" w14:textId="77777777" w:rsidR="00000000" w:rsidRDefault="00000000"/>
  <w:p w14:paraId="1916047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FD3F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Amberlea Hospital and Rest Home</w:t>
    </w:r>
    <w:bookmarkEnd w:id="59"/>
    <w:r>
      <w:rPr>
        <w:rFonts w:cs="Arial"/>
        <w:sz w:val="16"/>
        <w:szCs w:val="20"/>
      </w:rPr>
      <w:tab/>
      <w:t xml:space="preserve">Date of Audit: </w:t>
    </w:r>
    <w:bookmarkStart w:id="60" w:name="AuditStartDate1"/>
    <w:r>
      <w:rPr>
        <w:rFonts w:cs="Arial"/>
        <w:sz w:val="16"/>
        <w:szCs w:val="20"/>
      </w:rPr>
      <w:t>17 July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0F3F4A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1ABD7"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04287" w14:textId="77777777" w:rsidR="008A4BFA" w:rsidRDefault="008A4BFA">
      <w:r>
        <w:separator/>
      </w:r>
    </w:p>
  </w:footnote>
  <w:footnote w:type="continuationSeparator" w:id="0">
    <w:p w14:paraId="3FD32B77" w14:textId="77777777" w:rsidR="008A4BFA" w:rsidRDefault="008A4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0E8" w14:textId="77777777" w:rsidR="00000000" w:rsidRDefault="00000000">
    <w:pPr>
      <w:pStyle w:val="Header"/>
    </w:pPr>
  </w:p>
  <w:p w14:paraId="5C7FD53E"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31284" w14:textId="77777777" w:rsidR="00000000" w:rsidRDefault="00000000">
    <w:pPr>
      <w:pStyle w:val="Header"/>
    </w:pPr>
  </w:p>
  <w:p w14:paraId="074A16E4"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03A16"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29867E2">
      <w:start w:val="1"/>
      <w:numFmt w:val="decimal"/>
      <w:lvlText w:val="%1."/>
      <w:lvlJc w:val="left"/>
      <w:pPr>
        <w:ind w:left="360" w:hanging="360"/>
      </w:pPr>
    </w:lvl>
    <w:lvl w:ilvl="1" w:tplc="B87E38A8" w:tentative="1">
      <w:start w:val="1"/>
      <w:numFmt w:val="lowerLetter"/>
      <w:lvlText w:val="%2."/>
      <w:lvlJc w:val="left"/>
      <w:pPr>
        <w:ind w:left="1080" w:hanging="360"/>
      </w:pPr>
    </w:lvl>
    <w:lvl w:ilvl="2" w:tplc="1196F444" w:tentative="1">
      <w:start w:val="1"/>
      <w:numFmt w:val="lowerRoman"/>
      <w:lvlText w:val="%3."/>
      <w:lvlJc w:val="right"/>
      <w:pPr>
        <w:ind w:left="1800" w:hanging="180"/>
      </w:pPr>
    </w:lvl>
    <w:lvl w:ilvl="3" w:tplc="99C48EAE" w:tentative="1">
      <w:start w:val="1"/>
      <w:numFmt w:val="decimal"/>
      <w:lvlText w:val="%4."/>
      <w:lvlJc w:val="left"/>
      <w:pPr>
        <w:ind w:left="2520" w:hanging="360"/>
      </w:pPr>
    </w:lvl>
    <w:lvl w:ilvl="4" w:tplc="1834CBCC" w:tentative="1">
      <w:start w:val="1"/>
      <w:numFmt w:val="lowerLetter"/>
      <w:lvlText w:val="%5."/>
      <w:lvlJc w:val="left"/>
      <w:pPr>
        <w:ind w:left="3240" w:hanging="360"/>
      </w:pPr>
    </w:lvl>
    <w:lvl w:ilvl="5" w:tplc="03401284" w:tentative="1">
      <w:start w:val="1"/>
      <w:numFmt w:val="lowerRoman"/>
      <w:lvlText w:val="%6."/>
      <w:lvlJc w:val="right"/>
      <w:pPr>
        <w:ind w:left="3960" w:hanging="180"/>
      </w:pPr>
    </w:lvl>
    <w:lvl w:ilvl="6" w:tplc="C7162FF2" w:tentative="1">
      <w:start w:val="1"/>
      <w:numFmt w:val="decimal"/>
      <w:lvlText w:val="%7."/>
      <w:lvlJc w:val="left"/>
      <w:pPr>
        <w:ind w:left="4680" w:hanging="360"/>
      </w:pPr>
    </w:lvl>
    <w:lvl w:ilvl="7" w:tplc="C4EC332A" w:tentative="1">
      <w:start w:val="1"/>
      <w:numFmt w:val="lowerLetter"/>
      <w:lvlText w:val="%8."/>
      <w:lvlJc w:val="left"/>
      <w:pPr>
        <w:ind w:left="5400" w:hanging="360"/>
      </w:pPr>
    </w:lvl>
    <w:lvl w:ilvl="8" w:tplc="49A46EF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E6B792">
      <w:start w:val="1"/>
      <w:numFmt w:val="bullet"/>
      <w:lvlText w:val=""/>
      <w:lvlJc w:val="left"/>
      <w:pPr>
        <w:ind w:left="720" w:hanging="360"/>
      </w:pPr>
      <w:rPr>
        <w:rFonts w:ascii="Symbol" w:hAnsi="Symbol" w:hint="default"/>
      </w:rPr>
    </w:lvl>
    <w:lvl w:ilvl="1" w:tplc="0602FC12" w:tentative="1">
      <w:start w:val="1"/>
      <w:numFmt w:val="bullet"/>
      <w:lvlText w:val="o"/>
      <w:lvlJc w:val="left"/>
      <w:pPr>
        <w:ind w:left="1440" w:hanging="360"/>
      </w:pPr>
      <w:rPr>
        <w:rFonts w:ascii="Courier New" w:hAnsi="Courier New" w:cs="Courier New" w:hint="default"/>
      </w:rPr>
    </w:lvl>
    <w:lvl w:ilvl="2" w:tplc="CF70AF2A" w:tentative="1">
      <w:start w:val="1"/>
      <w:numFmt w:val="bullet"/>
      <w:lvlText w:val=""/>
      <w:lvlJc w:val="left"/>
      <w:pPr>
        <w:ind w:left="2160" w:hanging="360"/>
      </w:pPr>
      <w:rPr>
        <w:rFonts w:ascii="Wingdings" w:hAnsi="Wingdings" w:hint="default"/>
      </w:rPr>
    </w:lvl>
    <w:lvl w:ilvl="3" w:tplc="903AAE58" w:tentative="1">
      <w:start w:val="1"/>
      <w:numFmt w:val="bullet"/>
      <w:lvlText w:val=""/>
      <w:lvlJc w:val="left"/>
      <w:pPr>
        <w:ind w:left="2880" w:hanging="360"/>
      </w:pPr>
      <w:rPr>
        <w:rFonts w:ascii="Symbol" w:hAnsi="Symbol" w:hint="default"/>
      </w:rPr>
    </w:lvl>
    <w:lvl w:ilvl="4" w:tplc="0792AABA" w:tentative="1">
      <w:start w:val="1"/>
      <w:numFmt w:val="bullet"/>
      <w:lvlText w:val="o"/>
      <w:lvlJc w:val="left"/>
      <w:pPr>
        <w:ind w:left="3600" w:hanging="360"/>
      </w:pPr>
      <w:rPr>
        <w:rFonts w:ascii="Courier New" w:hAnsi="Courier New" w:cs="Courier New" w:hint="default"/>
      </w:rPr>
    </w:lvl>
    <w:lvl w:ilvl="5" w:tplc="52587B96" w:tentative="1">
      <w:start w:val="1"/>
      <w:numFmt w:val="bullet"/>
      <w:lvlText w:val=""/>
      <w:lvlJc w:val="left"/>
      <w:pPr>
        <w:ind w:left="4320" w:hanging="360"/>
      </w:pPr>
      <w:rPr>
        <w:rFonts w:ascii="Wingdings" w:hAnsi="Wingdings" w:hint="default"/>
      </w:rPr>
    </w:lvl>
    <w:lvl w:ilvl="6" w:tplc="A948C3F4" w:tentative="1">
      <w:start w:val="1"/>
      <w:numFmt w:val="bullet"/>
      <w:lvlText w:val=""/>
      <w:lvlJc w:val="left"/>
      <w:pPr>
        <w:ind w:left="5040" w:hanging="360"/>
      </w:pPr>
      <w:rPr>
        <w:rFonts w:ascii="Symbol" w:hAnsi="Symbol" w:hint="default"/>
      </w:rPr>
    </w:lvl>
    <w:lvl w:ilvl="7" w:tplc="FF26E1C6" w:tentative="1">
      <w:start w:val="1"/>
      <w:numFmt w:val="bullet"/>
      <w:lvlText w:val="o"/>
      <w:lvlJc w:val="left"/>
      <w:pPr>
        <w:ind w:left="5760" w:hanging="360"/>
      </w:pPr>
      <w:rPr>
        <w:rFonts w:ascii="Courier New" w:hAnsi="Courier New" w:cs="Courier New" w:hint="default"/>
      </w:rPr>
    </w:lvl>
    <w:lvl w:ilvl="8" w:tplc="F16C7246" w:tentative="1">
      <w:start w:val="1"/>
      <w:numFmt w:val="bullet"/>
      <w:lvlText w:val=""/>
      <w:lvlJc w:val="left"/>
      <w:pPr>
        <w:ind w:left="6480" w:hanging="360"/>
      </w:pPr>
      <w:rPr>
        <w:rFonts w:ascii="Wingdings" w:hAnsi="Wingdings" w:hint="default"/>
      </w:rPr>
    </w:lvl>
  </w:abstractNum>
  <w:num w:numId="1" w16cid:durableId="190345077">
    <w:abstractNumId w:val="1"/>
  </w:num>
  <w:num w:numId="2" w16cid:durableId="122279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1BF4"/>
    <w:rsid w:val="001927E9"/>
    <w:rsid w:val="008A4BFA"/>
    <w:rsid w:val="00FD1BF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38C6"/>
  <w15:docId w15:val="{EDCDFBED-79BC-4FA9-8B95-377F3E34D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14287</Words>
  <Characters>81440</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2025-09-21T23:19:00Z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