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E307" w14:textId="77777777" w:rsidR="00000000" w:rsidRDefault="00000000">
      <w:pPr>
        <w:pStyle w:val="Heading1"/>
        <w:rPr>
          <w:rFonts w:cs="Arial"/>
        </w:rPr>
      </w:pPr>
      <w:bookmarkStart w:id="0" w:name="PRMS_RIName"/>
      <w:r>
        <w:rPr>
          <w:rFonts w:cs="Arial"/>
        </w:rPr>
        <w:t>Heritage Lifecare (GHG) Limited - Brookhaven</w:t>
      </w:r>
      <w:bookmarkEnd w:id="0"/>
    </w:p>
    <w:p w14:paraId="2FEF66D3" w14:textId="77777777" w:rsidR="00000000" w:rsidRDefault="00000000">
      <w:pPr>
        <w:pStyle w:val="Heading2"/>
        <w:spacing w:after="0"/>
        <w:rPr>
          <w:rFonts w:cs="Arial"/>
        </w:rPr>
      </w:pPr>
      <w:r>
        <w:rPr>
          <w:rFonts w:cs="Arial"/>
        </w:rPr>
        <w:t>Introduction</w:t>
      </w:r>
    </w:p>
    <w:p w14:paraId="0E4879F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D7C570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624180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1BBFA3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37A4F06" w14:textId="77777777" w:rsidR="00000000" w:rsidRDefault="00000000">
      <w:pPr>
        <w:spacing w:before="240" w:after="240"/>
        <w:rPr>
          <w:rFonts w:cs="Arial"/>
          <w:lang w:eastAsia="en-NZ"/>
        </w:rPr>
      </w:pPr>
      <w:r>
        <w:rPr>
          <w:rFonts w:cs="Arial"/>
          <w:lang w:eastAsia="en-NZ"/>
        </w:rPr>
        <w:t>The specifics of this audit included:</w:t>
      </w:r>
    </w:p>
    <w:p w14:paraId="06363A2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9619A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(GHG) Limited</w:t>
      </w:r>
      <w:bookmarkEnd w:id="4"/>
    </w:p>
    <w:p w14:paraId="607699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Brookhaven</w:t>
      </w:r>
      <w:bookmarkEnd w:id="5"/>
    </w:p>
    <w:p w14:paraId="40F698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4F50AF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July 2025</w:t>
      </w:r>
      <w:bookmarkEnd w:id="7"/>
      <w:r w:rsidRPr="009418D4">
        <w:rPr>
          <w:rFonts w:cs="Arial"/>
        </w:rPr>
        <w:tab/>
        <w:t xml:space="preserve">End date: </w:t>
      </w:r>
      <w:bookmarkStart w:id="8" w:name="AuditEndDate"/>
      <w:r>
        <w:rPr>
          <w:rFonts w:cs="Arial"/>
        </w:rPr>
        <w:t>29 July 2025</w:t>
      </w:r>
      <w:bookmarkEnd w:id="8"/>
    </w:p>
    <w:p w14:paraId="6571BEA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AB9E80" w14:textId="77777777" w:rsidR="006D439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72</w:t>
      </w:r>
      <w:bookmarkEnd w:id="10"/>
    </w:p>
    <w:p w14:paraId="6DEC772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A50205" w14:textId="77777777" w:rsidR="00000000" w:rsidRDefault="00000000">
      <w:pPr>
        <w:pStyle w:val="Heading1"/>
        <w:rPr>
          <w:rFonts w:cs="Arial"/>
        </w:rPr>
      </w:pPr>
      <w:r>
        <w:rPr>
          <w:rFonts w:cs="Arial"/>
        </w:rPr>
        <w:lastRenderedPageBreak/>
        <w:t>Executive summary of the audit</w:t>
      </w:r>
    </w:p>
    <w:p w14:paraId="0C4B3949" w14:textId="77777777" w:rsidR="00000000" w:rsidRDefault="00000000">
      <w:pPr>
        <w:pStyle w:val="Heading2"/>
        <w:rPr>
          <w:rFonts w:cs="Arial"/>
        </w:rPr>
      </w:pPr>
      <w:r>
        <w:rPr>
          <w:rFonts w:cs="Arial"/>
        </w:rPr>
        <w:t>Introduction</w:t>
      </w:r>
    </w:p>
    <w:p w14:paraId="3CE1533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B42AA4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8AD68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45410F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81BC87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CE67D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611D4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AC283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890C65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D439D" w14:paraId="11EE5EAB" w14:textId="77777777">
        <w:trPr>
          <w:cantSplit/>
          <w:tblHeader/>
        </w:trPr>
        <w:tc>
          <w:tcPr>
            <w:tcW w:w="1260" w:type="dxa"/>
            <w:tcBorders>
              <w:bottom w:val="single" w:sz="4" w:space="0" w:color="000000"/>
            </w:tcBorders>
            <w:vAlign w:val="center"/>
          </w:tcPr>
          <w:p w14:paraId="4516B09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8112F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C0F7C6" w14:textId="77777777" w:rsidR="00000000" w:rsidRDefault="00000000">
            <w:pPr>
              <w:spacing w:before="60" w:after="60"/>
              <w:rPr>
                <w:rFonts w:eastAsia="Calibri"/>
                <w:b/>
                <w:szCs w:val="24"/>
              </w:rPr>
            </w:pPr>
            <w:r>
              <w:rPr>
                <w:rFonts w:eastAsia="Calibri"/>
                <w:b/>
                <w:szCs w:val="24"/>
              </w:rPr>
              <w:t>Definition</w:t>
            </w:r>
          </w:p>
        </w:tc>
      </w:tr>
      <w:tr w:rsidR="006D439D" w14:paraId="6E4ECAA0" w14:textId="77777777">
        <w:trPr>
          <w:cantSplit/>
          <w:trHeight w:val="964"/>
        </w:trPr>
        <w:tc>
          <w:tcPr>
            <w:tcW w:w="1260" w:type="dxa"/>
            <w:tcBorders>
              <w:bottom w:val="single" w:sz="4" w:space="0" w:color="000000"/>
            </w:tcBorders>
            <w:shd w:val="clear" w:color="0066FF" w:fill="0000FF"/>
            <w:vAlign w:val="center"/>
          </w:tcPr>
          <w:p w14:paraId="00B283C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76A2A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14B3C2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D439D" w14:paraId="11A1AD0D" w14:textId="77777777">
        <w:trPr>
          <w:cantSplit/>
          <w:trHeight w:val="964"/>
        </w:trPr>
        <w:tc>
          <w:tcPr>
            <w:tcW w:w="1260" w:type="dxa"/>
            <w:shd w:val="clear" w:color="33CC33" w:fill="00FF00"/>
            <w:vAlign w:val="center"/>
          </w:tcPr>
          <w:p w14:paraId="5FC05A14" w14:textId="77777777" w:rsidR="00000000" w:rsidRDefault="00000000">
            <w:pPr>
              <w:spacing w:before="60" w:after="60"/>
              <w:rPr>
                <w:rFonts w:eastAsia="Calibri"/>
                <w:szCs w:val="24"/>
              </w:rPr>
            </w:pPr>
          </w:p>
        </w:tc>
        <w:tc>
          <w:tcPr>
            <w:tcW w:w="7095" w:type="dxa"/>
            <w:shd w:val="clear" w:color="auto" w:fill="auto"/>
            <w:vAlign w:val="center"/>
          </w:tcPr>
          <w:p w14:paraId="714C982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27585F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D439D" w14:paraId="5E743FC2" w14:textId="77777777">
        <w:trPr>
          <w:cantSplit/>
          <w:trHeight w:val="964"/>
        </w:trPr>
        <w:tc>
          <w:tcPr>
            <w:tcW w:w="1260" w:type="dxa"/>
            <w:tcBorders>
              <w:bottom w:val="single" w:sz="4" w:space="0" w:color="000000"/>
            </w:tcBorders>
            <w:shd w:val="clear" w:color="auto" w:fill="FFFF00"/>
            <w:vAlign w:val="center"/>
          </w:tcPr>
          <w:p w14:paraId="02788E6A" w14:textId="77777777" w:rsidR="00000000" w:rsidRDefault="00000000">
            <w:pPr>
              <w:spacing w:before="60" w:after="60"/>
              <w:rPr>
                <w:rFonts w:eastAsia="Calibri"/>
                <w:szCs w:val="24"/>
              </w:rPr>
            </w:pPr>
          </w:p>
        </w:tc>
        <w:tc>
          <w:tcPr>
            <w:tcW w:w="7095" w:type="dxa"/>
            <w:shd w:val="clear" w:color="auto" w:fill="auto"/>
            <w:vAlign w:val="center"/>
          </w:tcPr>
          <w:p w14:paraId="65FC1EF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43C0AB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D439D" w14:paraId="79E3BF42" w14:textId="77777777">
        <w:trPr>
          <w:cantSplit/>
          <w:trHeight w:val="964"/>
        </w:trPr>
        <w:tc>
          <w:tcPr>
            <w:tcW w:w="1260" w:type="dxa"/>
            <w:tcBorders>
              <w:bottom w:val="single" w:sz="4" w:space="0" w:color="000000"/>
            </w:tcBorders>
            <w:shd w:val="clear" w:color="auto" w:fill="FFC800"/>
            <w:vAlign w:val="center"/>
          </w:tcPr>
          <w:p w14:paraId="2CBEEC8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38535A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86871D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D439D" w14:paraId="513907F3" w14:textId="77777777">
        <w:trPr>
          <w:cantSplit/>
          <w:trHeight w:val="964"/>
        </w:trPr>
        <w:tc>
          <w:tcPr>
            <w:tcW w:w="1260" w:type="dxa"/>
            <w:shd w:val="clear" w:color="auto" w:fill="FF0000"/>
            <w:vAlign w:val="center"/>
          </w:tcPr>
          <w:p w14:paraId="312D40BC" w14:textId="77777777" w:rsidR="00000000" w:rsidRDefault="00000000">
            <w:pPr>
              <w:spacing w:before="60" w:after="60"/>
              <w:rPr>
                <w:rFonts w:eastAsia="Calibri"/>
                <w:szCs w:val="24"/>
              </w:rPr>
            </w:pPr>
          </w:p>
        </w:tc>
        <w:tc>
          <w:tcPr>
            <w:tcW w:w="7095" w:type="dxa"/>
            <w:shd w:val="clear" w:color="auto" w:fill="auto"/>
            <w:vAlign w:val="center"/>
          </w:tcPr>
          <w:p w14:paraId="30194C9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9BB34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3F2E3BA" w14:textId="77777777" w:rsidR="00000000" w:rsidRDefault="00000000">
      <w:pPr>
        <w:pStyle w:val="Heading2"/>
        <w:spacing w:after="0"/>
        <w:rPr>
          <w:rFonts w:cs="Arial"/>
        </w:rPr>
      </w:pPr>
      <w:r>
        <w:rPr>
          <w:rFonts w:cs="Arial"/>
        </w:rPr>
        <w:t>General overview of the audit</w:t>
      </w:r>
    </w:p>
    <w:p w14:paraId="68170001" w14:textId="77777777" w:rsidR="00000000" w:rsidRDefault="00000000">
      <w:pPr>
        <w:spacing w:before="240" w:line="276" w:lineRule="auto"/>
        <w:rPr>
          <w:rFonts w:eastAsia="Calibri"/>
        </w:rPr>
      </w:pPr>
      <w:bookmarkStart w:id="13" w:name="GeneralOverview"/>
      <w:r w:rsidRPr="00A4268A">
        <w:rPr>
          <w:rFonts w:eastAsia="Calibri"/>
        </w:rPr>
        <w:t>Brookhaven Rest Home (Brookhaven) is owned and operated by Heritage Lifecare (GHG) Limited.  Brookhaven provides rest home-level care for up to 92 people, which includes 51 rest home beds, and 41 rest home-level dementia care beds. The dementia care beds are divided into two separate secure units of 27 beds and 14 beds respectively. There have been no changes to the service since the last audit.</w:t>
      </w:r>
    </w:p>
    <w:p w14:paraId="5568115C" w14:textId="77777777" w:rsidR="006D439D"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 members, members of the Heritage Lifecare regional support team, managers, staff, and a general practitioner. </w:t>
      </w:r>
    </w:p>
    <w:p w14:paraId="146EDEF3" w14:textId="77777777" w:rsidR="006D439D" w:rsidRPr="00A4268A" w:rsidRDefault="00000000">
      <w:pPr>
        <w:spacing w:before="240" w:line="276" w:lineRule="auto"/>
        <w:rPr>
          <w:rFonts w:eastAsia="Calibri"/>
        </w:rPr>
      </w:pPr>
      <w:r w:rsidRPr="00A4268A">
        <w:rPr>
          <w:rFonts w:eastAsia="Calibri"/>
        </w:rPr>
        <w:t>Strengths of the service included connections to the local community. There were no corrective actions requiring follow-up from the previous audit, and no areas requiring improvement were identified as a result of this audit.</w:t>
      </w:r>
    </w:p>
    <w:bookmarkEnd w:id="13"/>
    <w:p w14:paraId="7C6BD2A9" w14:textId="77777777" w:rsidR="006D439D" w:rsidRPr="00A4268A" w:rsidRDefault="006D439D">
      <w:pPr>
        <w:spacing w:before="240" w:line="276" w:lineRule="auto"/>
        <w:rPr>
          <w:rFonts w:eastAsia="Calibri"/>
        </w:rPr>
      </w:pPr>
    </w:p>
    <w:p w14:paraId="4F7D9B0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146D2C34" w14:textId="77777777" w:rsidTr="00A4268A">
        <w:trPr>
          <w:cantSplit/>
        </w:trPr>
        <w:tc>
          <w:tcPr>
            <w:tcW w:w="10206" w:type="dxa"/>
            <w:vAlign w:val="center"/>
          </w:tcPr>
          <w:p w14:paraId="20B20CB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99F0E9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FF9A9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DA3D4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B4579D8" w14:textId="77777777" w:rsidR="00000000" w:rsidRDefault="00000000">
      <w:pPr>
        <w:spacing w:before="240" w:line="276" w:lineRule="auto"/>
        <w:rPr>
          <w:rFonts w:eastAsia="Calibri"/>
        </w:rPr>
      </w:pPr>
      <w:bookmarkStart w:id="16" w:name="ConsumerRights"/>
      <w:r w:rsidRPr="00A4268A">
        <w:rPr>
          <w:rFonts w:eastAsia="Calibri"/>
        </w:rPr>
        <w:t xml:space="preserve">Brookhaven works collaboratively to support and encourage a Māori world view of health in service delivery. Māori are provided with equitable and effective services based on Te Tiriti o Waitangi and the principles of mana motuhake. </w:t>
      </w:r>
    </w:p>
    <w:p w14:paraId="73601AB9" w14:textId="77777777" w:rsidR="006D439D"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8EE2172" w14:textId="77777777" w:rsidR="006D439D"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and finances of residents were respected. </w:t>
      </w:r>
    </w:p>
    <w:p w14:paraId="7285DE2A" w14:textId="77777777" w:rsidR="006D439D"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Whānau and legal representatives are involved in decision-making that complies with the law. Advance directives are followed wherever possible.  Residents and whānau felt included when making decisions about care and treatment. </w:t>
      </w:r>
    </w:p>
    <w:p w14:paraId="14A8E39A" w14:textId="77777777" w:rsidR="006D439D"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2E30459E" w14:textId="77777777" w:rsidR="006D439D" w:rsidRPr="00A4268A" w:rsidRDefault="006D439D">
      <w:pPr>
        <w:spacing w:before="240" w:line="276" w:lineRule="auto"/>
        <w:rPr>
          <w:rFonts w:eastAsia="Calibri"/>
        </w:rPr>
      </w:pPr>
    </w:p>
    <w:p w14:paraId="0CEB7A7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0D9E2603" w14:textId="77777777" w:rsidTr="00A4268A">
        <w:trPr>
          <w:cantSplit/>
        </w:trPr>
        <w:tc>
          <w:tcPr>
            <w:tcW w:w="10206" w:type="dxa"/>
            <w:vAlign w:val="center"/>
          </w:tcPr>
          <w:p w14:paraId="40C701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D84E72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EA57C4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724EFA0"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2F0978E2" w14:textId="77777777" w:rsidR="006D439D"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96F52F1" w14:textId="77777777" w:rsidR="006D439D"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ECD9D0C" w14:textId="77777777" w:rsidR="006D439D"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110EC9BA" w14:textId="77777777" w:rsidR="006D439D"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F5D9B6A" w14:textId="77777777" w:rsidR="006D439D"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45203036" w14:textId="77777777" w:rsidR="006D439D"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7EE66772" w14:textId="77777777" w:rsidR="006D439D" w:rsidRPr="00A4268A" w:rsidRDefault="006D439D">
      <w:pPr>
        <w:spacing w:before="240" w:line="276" w:lineRule="auto"/>
        <w:rPr>
          <w:rFonts w:eastAsia="Calibri"/>
        </w:rPr>
      </w:pPr>
    </w:p>
    <w:p w14:paraId="681B8CD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2149A33E" w14:textId="77777777" w:rsidTr="00A4268A">
        <w:trPr>
          <w:cantSplit/>
        </w:trPr>
        <w:tc>
          <w:tcPr>
            <w:tcW w:w="10206" w:type="dxa"/>
            <w:vAlign w:val="center"/>
          </w:tcPr>
          <w:p w14:paraId="03F68A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41E5AD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B90138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10857C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based on comprehensive risk-based assessments and accommodated any new problems that arose. Files reviewed demonstrated that care met the needs of residents and whānau and was evaluated on a regular and timely basis. </w:t>
      </w:r>
    </w:p>
    <w:p w14:paraId="581BD6AA" w14:textId="77777777" w:rsidR="006D439D"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F071724" w14:textId="77777777" w:rsidR="006D439D"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0E0FA2B0" w14:textId="77777777" w:rsidR="006D439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8E0EEEA" w14:textId="77777777" w:rsidR="006D439D" w:rsidRPr="00A4268A" w:rsidRDefault="006D439D" w:rsidP="00621629">
      <w:pPr>
        <w:spacing w:before="240" w:line="276" w:lineRule="auto"/>
        <w:rPr>
          <w:rFonts w:eastAsia="Calibri"/>
        </w:rPr>
      </w:pPr>
    </w:p>
    <w:p w14:paraId="383A4A9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33FAD244" w14:textId="77777777" w:rsidTr="00A4268A">
        <w:trPr>
          <w:cantSplit/>
        </w:trPr>
        <w:tc>
          <w:tcPr>
            <w:tcW w:w="10206" w:type="dxa"/>
            <w:vAlign w:val="center"/>
          </w:tcPr>
          <w:p w14:paraId="2F4C7C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60F2B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4C9B9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8615AB0"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09E0DF91" w14:textId="77777777" w:rsidR="006D439D" w:rsidRPr="00A4268A" w:rsidRDefault="006D439D">
      <w:pPr>
        <w:spacing w:before="240" w:line="276" w:lineRule="auto"/>
        <w:rPr>
          <w:rFonts w:eastAsia="Calibri"/>
        </w:rPr>
      </w:pPr>
    </w:p>
    <w:p w14:paraId="12ED780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5EE1C67C" w14:textId="77777777" w:rsidTr="00A4268A">
        <w:trPr>
          <w:cantSplit/>
        </w:trPr>
        <w:tc>
          <w:tcPr>
            <w:tcW w:w="10206" w:type="dxa"/>
            <w:vAlign w:val="center"/>
          </w:tcPr>
          <w:p w14:paraId="3B232A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333D6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C8BC0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688659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09ADB323" w14:textId="77777777" w:rsidR="006D439D"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67BE0D6B" w14:textId="77777777" w:rsidR="006D439D"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0115BB8F" w14:textId="77777777" w:rsidR="006D439D" w:rsidRPr="00A4268A" w:rsidRDefault="006D439D">
      <w:pPr>
        <w:spacing w:before="240" w:line="276" w:lineRule="auto"/>
        <w:rPr>
          <w:rFonts w:eastAsia="Calibri"/>
        </w:rPr>
      </w:pPr>
    </w:p>
    <w:p w14:paraId="39C90FD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39D" w14:paraId="624AE0BF" w14:textId="77777777" w:rsidTr="00A4268A">
        <w:trPr>
          <w:cantSplit/>
        </w:trPr>
        <w:tc>
          <w:tcPr>
            <w:tcW w:w="10206" w:type="dxa"/>
            <w:vAlign w:val="center"/>
          </w:tcPr>
          <w:p w14:paraId="7170F8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5F2A7C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91C007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D9CE177"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36828984" w14:textId="77777777" w:rsidR="006D439D"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48E26D63" w14:textId="77777777" w:rsidR="006D439D" w:rsidRPr="00A4268A" w:rsidRDefault="006D439D">
      <w:pPr>
        <w:spacing w:before="240" w:line="276" w:lineRule="auto"/>
        <w:rPr>
          <w:rFonts w:eastAsia="Calibri"/>
        </w:rPr>
      </w:pPr>
    </w:p>
    <w:p w14:paraId="318B400A" w14:textId="77777777" w:rsidR="00000000" w:rsidRDefault="00000000" w:rsidP="000E6E02">
      <w:pPr>
        <w:pStyle w:val="Heading2"/>
        <w:spacing w:before="0"/>
        <w:rPr>
          <w:rFonts w:cs="Arial"/>
        </w:rPr>
      </w:pPr>
      <w:r>
        <w:rPr>
          <w:rFonts w:cs="Arial"/>
        </w:rPr>
        <w:t>Summary of attainment</w:t>
      </w:r>
    </w:p>
    <w:p w14:paraId="462487A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D439D" w14:paraId="60CF308F" w14:textId="77777777">
        <w:tc>
          <w:tcPr>
            <w:tcW w:w="1384" w:type="dxa"/>
            <w:vAlign w:val="center"/>
          </w:tcPr>
          <w:p w14:paraId="0274676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6AFEFE6" w14:textId="77777777" w:rsidR="00000000" w:rsidRDefault="00000000">
            <w:pPr>
              <w:keepNext/>
              <w:spacing w:before="60" w:after="60"/>
              <w:jc w:val="center"/>
              <w:rPr>
                <w:rFonts w:cs="Arial"/>
                <w:b/>
                <w:sz w:val="20"/>
                <w:szCs w:val="20"/>
              </w:rPr>
            </w:pPr>
            <w:r>
              <w:rPr>
                <w:rFonts w:cs="Arial"/>
                <w:b/>
                <w:sz w:val="20"/>
                <w:szCs w:val="20"/>
              </w:rPr>
              <w:t>Continuous Improvement</w:t>
            </w:r>
          </w:p>
          <w:p w14:paraId="669332B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80D26AA" w14:textId="77777777" w:rsidR="00000000" w:rsidRDefault="00000000">
            <w:pPr>
              <w:keepNext/>
              <w:spacing w:before="60" w:after="60"/>
              <w:jc w:val="center"/>
              <w:rPr>
                <w:rFonts w:cs="Arial"/>
                <w:b/>
                <w:sz w:val="20"/>
                <w:szCs w:val="20"/>
              </w:rPr>
            </w:pPr>
            <w:r>
              <w:rPr>
                <w:rFonts w:cs="Arial"/>
                <w:b/>
                <w:sz w:val="20"/>
                <w:szCs w:val="20"/>
              </w:rPr>
              <w:t>Fully Attained</w:t>
            </w:r>
          </w:p>
          <w:p w14:paraId="6B912A9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B1BACB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FBE860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B28C3A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5E713A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CEA68D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7C4617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3DBBA8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F9035B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A68C74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0B1D1ED" w14:textId="77777777" w:rsidR="00000000" w:rsidRDefault="00000000">
            <w:pPr>
              <w:keepNext/>
              <w:spacing w:before="60" w:after="60"/>
              <w:jc w:val="center"/>
              <w:rPr>
                <w:rFonts w:cs="Arial"/>
                <w:b/>
                <w:sz w:val="20"/>
                <w:szCs w:val="20"/>
              </w:rPr>
            </w:pPr>
            <w:r>
              <w:rPr>
                <w:rFonts w:cs="Arial"/>
                <w:b/>
                <w:sz w:val="20"/>
                <w:szCs w:val="20"/>
              </w:rPr>
              <w:t>(PA Critical)</w:t>
            </w:r>
          </w:p>
        </w:tc>
      </w:tr>
      <w:tr w:rsidR="006D439D" w14:paraId="15EB4499" w14:textId="77777777">
        <w:tc>
          <w:tcPr>
            <w:tcW w:w="1384" w:type="dxa"/>
            <w:vAlign w:val="center"/>
          </w:tcPr>
          <w:p w14:paraId="0786D86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27F9C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7A6EAE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98EEAC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D0962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F1C235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5839E2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576C8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D439D" w14:paraId="1186C538" w14:textId="77777777">
        <w:tc>
          <w:tcPr>
            <w:tcW w:w="1384" w:type="dxa"/>
            <w:vAlign w:val="center"/>
          </w:tcPr>
          <w:p w14:paraId="7DB354F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3D0124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058FED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1352C9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FB5B7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8F0C53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C99DE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CBC5E9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A48A58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D439D" w14:paraId="692C536A" w14:textId="77777777">
        <w:tc>
          <w:tcPr>
            <w:tcW w:w="1384" w:type="dxa"/>
            <w:vAlign w:val="center"/>
          </w:tcPr>
          <w:p w14:paraId="5002D7A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817F0B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97A8E8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BA6FB1" w14:textId="77777777" w:rsidR="00000000" w:rsidRDefault="00000000">
            <w:pPr>
              <w:keepNext/>
              <w:spacing w:before="60" w:after="60"/>
              <w:jc w:val="center"/>
              <w:rPr>
                <w:rFonts w:cs="Arial"/>
                <w:b/>
                <w:sz w:val="20"/>
                <w:szCs w:val="20"/>
              </w:rPr>
            </w:pPr>
            <w:r>
              <w:rPr>
                <w:rFonts w:cs="Arial"/>
                <w:b/>
                <w:sz w:val="20"/>
                <w:szCs w:val="20"/>
              </w:rPr>
              <w:t>Unattained Low Risk</w:t>
            </w:r>
          </w:p>
          <w:p w14:paraId="145B97F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8E0CCB3" w14:textId="77777777" w:rsidR="00000000" w:rsidRDefault="00000000">
            <w:pPr>
              <w:keepNext/>
              <w:spacing w:before="60" w:after="60"/>
              <w:jc w:val="center"/>
              <w:rPr>
                <w:rFonts w:cs="Arial"/>
                <w:b/>
                <w:sz w:val="20"/>
                <w:szCs w:val="20"/>
              </w:rPr>
            </w:pPr>
            <w:r>
              <w:rPr>
                <w:rFonts w:cs="Arial"/>
                <w:b/>
                <w:sz w:val="20"/>
                <w:szCs w:val="20"/>
              </w:rPr>
              <w:t>Unattained Moderate Risk</w:t>
            </w:r>
          </w:p>
          <w:p w14:paraId="0319A1D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96221B4" w14:textId="77777777" w:rsidR="00000000" w:rsidRDefault="00000000">
            <w:pPr>
              <w:keepNext/>
              <w:spacing w:before="60" w:after="60"/>
              <w:jc w:val="center"/>
              <w:rPr>
                <w:rFonts w:cs="Arial"/>
                <w:b/>
                <w:sz w:val="20"/>
                <w:szCs w:val="20"/>
              </w:rPr>
            </w:pPr>
            <w:r>
              <w:rPr>
                <w:rFonts w:cs="Arial"/>
                <w:b/>
                <w:sz w:val="20"/>
                <w:szCs w:val="20"/>
              </w:rPr>
              <w:t>Unattained High Risk</w:t>
            </w:r>
          </w:p>
          <w:p w14:paraId="14B3A82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B46754A" w14:textId="77777777" w:rsidR="00000000" w:rsidRDefault="00000000">
            <w:pPr>
              <w:keepNext/>
              <w:spacing w:before="60" w:after="60"/>
              <w:jc w:val="center"/>
              <w:rPr>
                <w:rFonts w:cs="Arial"/>
                <w:b/>
                <w:sz w:val="20"/>
                <w:szCs w:val="20"/>
              </w:rPr>
            </w:pPr>
            <w:r>
              <w:rPr>
                <w:rFonts w:cs="Arial"/>
                <w:b/>
                <w:sz w:val="20"/>
                <w:szCs w:val="20"/>
              </w:rPr>
              <w:t>Unattained Critical Risk</w:t>
            </w:r>
          </w:p>
          <w:p w14:paraId="690E6B03" w14:textId="77777777" w:rsidR="00000000" w:rsidRDefault="00000000">
            <w:pPr>
              <w:keepNext/>
              <w:spacing w:before="60" w:after="60"/>
              <w:jc w:val="center"/>
              <w:rPr>
                <w:rFonts w:cs="Arial"/>
                <w:b/>
                <w:sz w:val="20"/>
                <w:szCs w:val="20"/>
              </w:rPr>
            </w:pPr>
            <w:r>
              <w:rPr>
                <w:rFonts w:cs="Arial"/>
                <w:b/>
                <w:sz w:val="20"/>
                <w:szCs w:val="20"/>
              </w:rPr>
              <w:t>(UA Critical)</w:t>
            </w:r>
          </w:p>
        </w:tc>
      </w:tr>
      <w:tr w:rsidR="006D439D" w14:paraId="39AF84AF" w14:textId="77777777">
        <w:tc>
          <w:tcPr>
            <w:tcW w:w="1384" w:type="dxa"/>
            <w:vAlign w:val="center"/>
          </w:tcPr>
          <w:p w14:paraId="6488F6F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577BD1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D9F221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EC498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FCE03E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78ADC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D439D" w14:paraId="000D89A9" w14:textId="77777777">
        <w:tc>
          <w:tcPr>
            <w:tcW w:w="1384" w:type="dxa"/>
            <w:vAlign w:val="center"/>
          </w:tcPr>
          <w:p w14:paraId="1D81FBC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EA5B33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D9840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ABA13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7559C0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A5027A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66CC0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ADBB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FC23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E637D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365"/>
        <w:gridCol w:w="7107"/>
      </w:tblGrid>
      <w:tr w:rsidR="006D439D" w14:paraId="1A9BA285" w14:textId="77777777">
        <w:tc>
          <w:tcPr>
            <w:tcW w:w="0" w:type="auto"/>
          </w:tcPr>
          <w:p w14:paraId="58F86F9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DE012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DFBE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D439D" w14:paraId="61D97F79" w14:textId="77777777">
        <w:tc>
          <w:tcPr>
            <w:tcW w:w="0" w:type="auto"/>
          </w:tcPr>
          <w:p w14:paraId="5FB68B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0DD18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22BA785" w14:textId="77777777" w:rsidR="00000000" w:rsidRPr="00BE00C7" w:rsidRDefault="00000000" w:rsidP="00BE00C7">
            <w:pPr>
              <w:pStyle w:val="OutcomeDescription"/>
              <w:spacing w:before="120" w:after="120"/>
              <w:rPr>
                <w:rFonts w:cs="Arial"/>
                <w:lang w:eastAsia="en-NZ"/>
              </w:rPr>
            </w:pPr>
          </w:p>
        </w:tc>
        <w:tc>
          <w:tcPr>
            <w:tcW w:w="0" w:type="auto"/>
          </w:tcPr>
          <w:p w14:paraId="7FC668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AFE90C" w14:textId="77777777" w:rsidR="00000000" w:rsidRPr="00BE00C7" w:rsidRDefault="00000000" w:rsidP="00BE00C7">
            <w:pPr>
              <w:pStyle w:val="OutcomeDescription"/>
              <w:spacing w:before="120" w:after="120"/>
              <w:rPr>
                <w:rFonts w:cs="Arial"/>
                <w:lang w:eastAsia="en-NZ"/>
              </w:rPr>
            </w:pPr>
            <w:r w:rsidRPr="00BE00C7">
              <w:rPr>
                <w:rFonts w:cs="Arial"/>
                <w:lang w:eastAsia="en-NZ"/>
              </w:rPr>
              <w:t>Brookhaven Rest Home (Brookhaven) as part of Heritage Lifecare Limited has developed policies, procedures and processes to embed and enact Te Tiriti o Waitangi in all aspects of its work. Mana motuhake is respected. Community partnerships have been established with Rehua Marae and the Purapura Whetu program. Heritage Lifecare Limited has a Māori Komiti which provides guidance to support service integration, planning, equity approaches, and support for Māori. There were Māori residents at the time of audit, and those interviewed felt culturally safe.</w:t>
            </w:r>
          </w:p>
          <w:p w14:paraId="6C8C6A5E" w14:textId="77777777" w:rsidR="00000000" w:rsidRPr="00BE00C7" w:rsidRDefault="00000000" w:rsidP="00BE00C7">
            <w:pPr>
              <w:pStyle w:val="OutcomeDescription"/>
              <w:spacing w:before="120" w:after="120"/>
              <w:rPr>
                <w:rFonts w:cs="Arial"/>
                <w:lang w:eastAsia="en-NZ"/>
              </w:rPr>
            </w:pPr>
          </w:p>
        </w:tc>
      </w:tr>
      <w:tr w:rsidR="006D439D" w14:paraId="0EAA60E5" w14:textId="77777777">
        <w:tc>
          <w:tcPr>
            <w:tcW w:w="0" w:type="auto"/>
          </w:tcPr>
          <w:p w14:paraId="6FFC31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8FF29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EFEC15" w14:textId="77777777" w:rsidR="00000000" w:rsidRPr="00BE00C7" w:rsidRDefault="00000000" w:rsidP="00BE00C7">
            <w:pPr>
              <w:pStyle w:val="OutcomeDescription"/>
              <w:spacing w:before="120" w:after="120"/>
              <w:rPr>
                <w:rFonts w:cs="Arial"/>
                <w:lang w:eastAsia="en-NZ"/>
              </w:rPr>
            </w:pPr>
          </w:p>
        </w:tc>
        <w:tc>
          <w:tcPr>
            <w:tcW w:w="0" w:type="auto"/>
          </w:tcPr>
          <w:p w14:paraId="2240A7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6AF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Brookhaven Rest Home provide services that are underpinned by Pacific worldviews. A Pacific Health Plan is in place, which has been developed with input from cultural advisers. The plan utilises the Fonofale model of care, and documents support requirements for Pacific people. This model ensures that Pacific people receive an equitable service, based on culturally and spiritually safe practices. </w:t>
            </w:r>
          </w:p>
          <w:p w14:paraId="14B3B9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who identified as Pacific people at the time of the audit. Staff reported, and documentation evidenced, that cultural training had been provided.</w:t>
            </w:r>
          </w:p>
          <w:p w14:paraId="4DCF9F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Pacific people interviewed felt their worldview, and cultural and spiritual beliefs were embraced.</w:t>
            </w:r>
          </w:p>
          <w:p w14:paraId="311BB2E2" w14:textId="77777777" w:rsidR="00000000" w:rsidRPr="00BE00C7" w:rsidRDefault="00000000" w:rsidP="00BE00C7">
            <w:pPr>
              <w:pStyle w:val="OutcomeDescription"/>
              <w:spacing w:before="120" w:after="120"/>
              <w:rPr>
                <w:rFonts w:cs="Arial"/>
                <w:lang w:eastAsia="en-NZ"/>
              </w:rPr>
            </w:pPr>
          </w:p>
        </w:tc>
      </w:tr>
      <w:tr w:rsidR="006D439D" w14:paraId="508A23D2" w14:textId="77777777">
        <w:tc>
          <w:tcPr>
            <w:tcW w:w="0" w:type="auto"/>
          </w:tcPr>
          <w:p w14:paraId="3953EE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3DF95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7C0A79" w14:textId="77777777" w:rsidR="00000000" w:rsidRPr="00BE00C7" w:rsidRDefault="00000000" w:rsidP="00BE00C7">
            <w:pPr>
              <w:pStyle w:val="OutcomeDescription"/>
              <w:spacing w:before="120" w:after="120"/>
              <w:rPr>
                <w:rFonts w:cs="Arial"/>
                <w:lang w:eastAsia="en-NZ"/>
              </w:rPr>
            </w:pPr>
          </w:p>
        </w:tc>
        <w:tc>
          <w:tcPr>
            <w:tcW w:w="0" w:type="auto"/>
          </w:tcPr>
          <w:p w14:paraId="18AA74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3BF4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(GHG) Limited and management at Brookhaven were aware of their responsibilities under the Code of Health and Disability Services Consumers’ Rights (the Code) and have policies and procedures in place to ensure these are respected. Staff interviewed understood the requirements of the Code and were observed supporting residents in accordance with their wishes.    </w:t>
            </w:r>
          </w:p>
          <w:p w14:paraId="3D1CE69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8C82041" w14:textId="77777777" w:rsidR="00000000" w:rsidRPr="00BE00C7" w:rsidRDefault="00000000" w:rsidP="00BE00C7">
            <w:pPr>
              <w:pStyle w:val="OutcomeDescription"/>
              <w:spacing w:before="120" w:after="120"/>
              <w:rPr>
                <w:rFonts w:cs="Arial"/>
                <w:lang w:eastAsia="en-NZ"/>
              </w:rPr>
            </w:pPr>
          </w:p>
        </w:tc>
      </w:tr>
      <w:tr w:rsidR="006D439D" w14:paraId="1AD76DA7" w14:textId="77777777">
        <w:tc>
          <w:tcPr>
            <w:tcW w:w="0" w:type="auto"/>
          </w:tcPr>
          <w:p w14:paraId="5E8D10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4C65B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B4DBBE" w14:textId="77777777" w:rsidR="00000000" w:rsidRPr="00BE00C7" w:rsidRDefault="00000000" w:rsidP="00BE00C7">
            <w:pPr>
              <w:pStyle w:val="OutcomeDescription"/>
              <w:spacing w:before="120" w:after="120"/>
              <w:rPr>
                <w:rFonts w:cs="Arial"/>
                <w:lang w:eastAsia="en-NZ"/>
              </w:rPr>
            </w:pPr>
          </w:p>
        </w:tc>
        <w:tc>
          <w:tcPr>
            <w:tcW w:w="0" w:type="auto"/>
          </w:tcPr>
          <w:p w14:paraId="3D5ED5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3A01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Brookhaven receive services free of discrimination, coercion, harassment, exploitation, and abuse and neglect, supported by policies and staff education. There were no examples identified during the audit through staff, resident, whānau and Enduring Power of Attorney (EPOA) interviews, or in documentation reviewed. </w:t>
            </w:r>
          </w:p>
          <w:p w14:paraId="1E680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Residents, whānau and EPOA interviewed reported that residents’ property was respected and well cared for. Resident finances are protected, and staff do not handle residents’ money. </w:t>
            </w:r>
          </w:p>
          <w:p w14:paraId="18588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code of conduct is in place for staff, and professional boundaries were maintained by staff.   </w:t>
            </w:r>
          </w:p>
          <w:p w14:paraId="18053538" w14:textId="77777777" w:rsidR="00000000" w:rsidRPr="00BE00C7" w:rsidRDefault="00000000" w:rsidP="00BE00C7">
            <w:pPr>
              <w:pStyle w:val="OutcomeDescription"/>
              <w:spacing w:before="120" w:after="120"/>
              <w:rPr>
                <w:rFonts w:cs="Arial"/>
                <w:lang w:eastAsia="en-NZ"/>
              </w:rPr>
            </w:pPr>
          </w:p>
        </w:tc>
      </w:tr>
      <w:tr w:rsidR="006D439D" w14:paraId="464E5C4A" w14:textId="77777777">
        <w:tc>
          <w:tcPr>
            <w:tcW w:w="0" w:type="auto"/>
          </w:tcPr>
          <w:p w14:paraId="55965E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4A151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BBB2012" w14:textId="77777777" w:rsidR="00000000" w:rsidRPr="00BE00C7" w:rsidRDefault="00000000" w:rsidP="00BE00C7">
            <w:pPr>
              <w:pStyle w:val="OutcomeDescription"/>
              <w:spacing w:before="120" w:after="120"/>
              <w:rPr>
                <w:rFonts w:cs="Arial"/>
                <w:lang w:eastAsia="en-NZ"/>
              </w:rPr>
            </w:pPr>
          </w:p>
        </w:tc>
        <w:tc>
          <w:tcPr>
            <w:tcW w:w="0" w:type="auto"/>
          </w:tcPr>
          <w:p w14:paraId="14CA30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BC0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legal representative are provided with the information necessary to make informed decisions. With the consent of the resident, whānau were included in decision-making. The residents, whānau and EPOA interviewed felt empowered to actively participate in decision-making. Nursing and care staff interviewed understood the principles and practice of informed consent and described involving residents and whānau in the process. </w:t>
            </w:r>
          </w:p>
          <w:p w14:paraId="68A7FF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Advance care planning, establishing and documenting of EPOA requirements and processes for residents unable to consent are documented, as relevant, in the resident’s record.  All residents in the Brookhaven secure dementia units have a documented EPOA or welfare guardian on file that has been activated by an appropriate medical practitioner.</w:t>
            </w:r>
          </w:p>
          <w:p w14:paraId="10090D42" w14:textId="77777777" w:rsidR="00000000" w:rsidRPr="00BE00C7" w:rsidRDefault="00000000" w:rsidP="00BE00C7">
            <w:pPr>
              <w:pStyle w:val="OutcomeDescription"/>
              <w:spacing w:before="120" w:after="120"/>
              <w:rPr>
                <w:rFonts w:cs="Arial"/>
                <w:lang w:eastAsia="en-NZ"/>
              </w:rPr>
            </w:pPr>
          </w:p>
        </w:tc>
      </w:tr>
      <w:tr w:rsidR="006D439D" w14:paraId="43C4B082" w14:textId="77777777">
        <w:tc>
          <w:tcPr>
            <w:tcW w:w="0" w:type="auto"/>
          </w:tcPr>
          <w:p w14:paraId="47376F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4B8B6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44EDE8" w14:textId="77777777" w:rsidR="00000000" w:rsidRPr="00BE00C7" w:rsidRDefault="00000000" w:rsidP="00BE00C7">
            <w:pPr>
              <w:pStyle w:val="OutcomeDescription"/>
              <w:spacing w:before="120" w:after="120"/>
              <w:rPr>
                <w:rFonts w:cs="Arial"/>
                <w:lang w:eastAsia="en-NZ"/>
              </w:rPr>
            </w:pPr>
          </w:p>
        </w:tc>
        <w:tc>
          <w:tcPr>
            <w:tcW w:w="0" w:type="auto"/>
          </w:tcPr>
          <w:p w14:paraId="486795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E6EB9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were in place to receive and resolve complaints that led to improvements, and these met the requirements of the Code. Residents and whānau were informed of the complaints process on admission, and information relating to the complaints process was displayed in the facility, along with advocacy information. Residents and whānau understood their right to make a complaint and knew how to do so. Processes were in place to manage complaints from Māori by having a te reo complaint form available, and through using hui and appropriate tikanga throughout the complaint management process as applicable.</w:t>
            </w:r>
          </w:p>
          <w:p w14:paraId="5DE9BBFA"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complaint register was maintained and recorded that five complaints had been received over the past year. Each complaint was clearly documented, and associated documents were available to evidence that each complaint had been managed within the timeframes and requirements of the Code. Documentation sighted showed that complainants had been informed of findings following investigation.</w:t>
            </w:r>
          </w:p>
          <w:p w14:paraId="6ADD4C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46D7116F" w14:textId="77777777" w:rsidR="00000000" w:rsidRPr="00BE00C7" w:rsidRDefault="00000000" w:rsidP="00BE00C7">
            <w:pPr>
              <w:pStyle w:val="OutcomeDescription"/>
              <w:spacing w:before="120" w:after="120"/>
              <w:rPr>
                <w:rFonts w:cs="Arial"/>
                <w:lang w:eastAsia="en-NZ"/>
              </w:rPr>
            </w:pPr>
          </w:p>
        </w:tc>
      </w:tr>
      <w:tr w:rsidR="006D439D" w14:paraId="0CA451AD" w14:textId="77777777">
        <w:tc>
          <w:tcPr>
            <w:tcW w:w="0" w:type="auto"/>
          </w:tcPr>
          <w:p w14:paraId="6BB435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B6BEA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lastRenderedPageBreak/>
              <w:t>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020D5D" w14:textId="77777777" w:rsidR="00000000" w:rsidRPr="00BE00C7" w:rsidRDefault="00000000" w:rsidP="00BE00C7">
            <w:pPr>
              <w:pStyle w:val="OutcomeDescription"/>
              <w:spacing w:before="120" w:after="120"/>
              <w:rPr>
                <w:rFonts w:cs="Arial"/>
                <w:lang w:eastAsia="en-NZ"/>
              </w:rPr>
            </w:pPr>
          </w:p>
        </w:tc>
        <w:tc>
          <w:tcPr>
            <w:tcW w:w="0" w:type="auto"/>
          </w:tcPr>
          <w:p w14:paraId="47C7A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A24F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Heritage Lifecare Limited (HLL) governing body assumes accountability for delivering a high-quality service through supporting meaningful inclusion of Māori and Pacific people in governance groups, honouring Te Tiriti o Waitangi, and being focused on improving outcomes for Māori, Pacific people and tāngata whaikaha. Heritage Lifecare Limited has a legal team who </w:t>
            </w:r>
            <w:r w:rsidRPr="00BE00C7">
              <w:rPr>
                <w:rFonts w:cs="Arial"/>
                <w:lang w:eastAsia="en-NZ"/>
              </w:rPr>
              <w:lastRenderedPageBreak/>
              <w:t>monitor changes to legislative and clinical requirements and have access to domestic and international legal advice.</w:t>
            </w:r>
          </w:p>
          <w:p w14:paraId="7DD2D67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Limited also utilises the skills of staff and senior managers and supports them in making sure barriers to equitable service delivery are surmounted.</w:t>
            </w:r>
          </w:p>
          <w:p w14:paraId="1C79C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strategic plan in place that outlines the organisation’s structure, purpose, values, scope, direction, performance and goals. The plan incorporates the Ngā Paerewa Standard in relation to antimicrobial stewardship (AMS) and restraint elimination across ethnicity. Ethnicity data was collected to support equitable service delivery. Each facility has its own business plan for its particular services, and the business plan for Brookhaven (sighted) included annual goals and quarterly reporting on progress to the Heritage senior leadership. </w:t>
            </w:r>
          </w:p>
          <w:p w14:paraId="06F1FA95"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includes receiving regular information from each of its care facilities. The HLL reporting structure relies on information from its strategic plan to inform facility-based business plans. Internal data collection (e.g., adverse events, infections, audits, and complaints) are aggregated, and corrective action (at facility and organisation level as applicable) actioned. Feedback is to the clinical governance group and to the board. Changes were made to business and/or the strategic plans as required.</w:t>
            </w:r>
          </w:p>
          <w:p w14:paraId="0C26DF14"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were in place for all positions, including senior positions. These specify the requirements for the position and key performance indicators (KPIs) to assess performance. Heritage Lifecare uses an interview panel for senior managers. Recruiting and retaining people is a focus for HLL; it looks for the ‘right people in the right place’ and aims to keep them in place for a longer period to promote stability. The organisation also uses feedback from cultural advisers, including the Māori Network Komiti, to inform workforce planning, sensitive and appropriate collection and use of ethnicity data, and how it can support its ethnically diverse staff.</w:t>
            </w:r>
          </w:p>
          <w:p w14:paraId="4A48B7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Heritage Lifecare supports people to participate locally through resident meetings, and through satisfaction surveys. There is also a staff satisfaction survey for a wider view of how residents and staff are being supported. Results of surveys were viewed, and information gathered from the results had been used to improve the service.</w:t>
            </w:r>
          </w:p>
          <w:p w14:paraId="62B60897"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of Heritage Lifecare have undertaken the e-learning education on Te Tiriti, health equity and cultural safety provided by Manatū Hauora.</w:t>
            </w:r>
          </w:p>
          <w:p w14:paraId="7C74726D" w14:textId="77777777" w:rsidR="00000000" w:rsidRPr="00BE00C7" w:rsidRDefault="00000000" w:rsidP="00BE00C7">
            <w:pPr>
              <w:pStyle w:val="OutcomeDescription"/>
              <w:spacing w:before="120" w:after="120"/>
              <w:rPr>
                <w:rFonts w:cs="Arial"/>
                <w:lang w:eastAsia="en-NZ"/>
              </w:rPr>
            </w:pPr>
            <w:r w:rsidRPr="00BE00C7">
              <w:rPr>
                <w:rFonts w:cs="Arial"/>
                <w:lang w:eastAsia="en-NZ"/>
              </w:rPr>
              <w:t>Brookhaven holds contracts with Health New Zealand – Te Whatu Ora for age-related residential care (ARRC) services for rest home, secure dementia care, and short-term (respite) care. Brookhaven has a total capacity to provide support for up to 92 residents, with 51 rest home beds, and 41 secure dementia beds that are divided into two separate units.  On the day of the audit, 42 residents were receiving rest home care, one person was receiving rest home-level respite care, and three rest home residents had been admitted to hospital and were not present on the day of the audit. There were 30 residents receiving secure dementia care support, and one person was receiving secure dementia respite care. The facility had a total of 15 vacancies: 10 in the secure dementia care areas, and five in the rest home.</w:t>
            </w:r>
          </w:p>
          <w:p w14:paraId="1A56BD2E" w14:textId="77777777" w:rsidR="00000000" w:rsidRPr="00BE00C7" w:rsidRDefault="00000000" w:rsidP="00BE00C7">
            <w:pPr>
              <w:pStyle w:val="OutcomeDescription"/>
              <w:spacing w:before="120" w:after="120"/>
              <w:rPr>
                <w:rFonts w:cs="Arial"/>
                <w:lang w:eastAsia="en-NZ"/>
              </w:rPr>
            </w:pPr>
          </w:p>
        </w:tc>
      </w:tr>
      <w:tr w:rsidR="006D439D" w14:paraId="67F3FFBA" w14:textId="77777777">
        <w:tc>
          <w:tcPr>
            <w:tcW w:w="0" w:type="auto"/>
          </w:tcPr>
          <w:p w14:paraId="16DE03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3F2B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74EE26" w14:textId="77777777" w:rsidR="00000000" w:rsidRPr="00BE00C7" w:rsidRDefault="00000000" w:rsidP="00BE00C7">
            <w:pPr>
              <w:pStyle w:val="OutcomeDescription"/>
              <w:spacing w:before="120" w:after="120"/>
              <w:rPr>
                <w:rFonts w:cs="Arial"/>
                <w:lang w:eastAsia="en-NZ"/>
              </w:rPr>
            </w:pPr>
          </w:p>
        </w:tc>
        <w:tc>
          <w:tcPr>
            <w:tcW w:w="0" w:type="auto"/>
          </w:tcPr>
          <w:p w14:paraId="78E0EC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CD0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Quality goals have been set for the facility to work towards, with progress reviewed quarterly and reported on through the care home manager’s reports. </w:t>
            </w:r>
          </w:p>
          <w:p w14:paraId="4099881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to quality improvement through meetings, surveys, using suggestion boxes, or talking with the care home manager (CHM). The results of the care home customer survey, and the associated analysis, were reviewed. Corrective action plans had been put in place to address identified areas requiring improvement. Heritage Lifecare Limited’s national staff satisfaction survey had just been completed, with results not yet available. The CHM reported that 92% of Brookhaven staff completed this survey.</w:t>
            </w:r>
          </w:p>
          <w:p w14:paraId="5D05B1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2025 internal audits schedule was sighted. Completed audits include cleaning, laundry, infection prevention, kitchen, meal satisfaction, care planning and the environment. Internal audit results were reported at the staff meetings, and health and safety meetings. These forums are used to review and evaluate progress against established quality outcomes. Where required, corrective action plans were developed, and evidence of these was sighted. Each corrective action plan included the area of focus, the improvement action required, the timeframe, and the person responsible. Once the corrective action plan had been fully completed, it was signed off by the CHM to document that the issue had been resolved. </w:t>
            </w:r>
          </w:p>
          <w:p w14:paraId="3E6A92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ensures staff deliver high-quality health care for Māori through, Te Tiriti and cultural safety training, the use of cultural assessments and care plans, and the involvement of the person and their whānau in how support should be provided.</w:t>
            </w:r>
          </w:p>
          <w:p w14:paraId="19930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described the processes for the identification, documentation, monitoring, review and reporting of risks, including health and safety risks, and development of mitigation strategies. Staff reported at interview that they knew to report risks, and these were reviewed and discussed at staff meetings and at the health and safety meetings.  Staff document adverse and near-miss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were being disclosed with the designated next of kin.</w:t>
            </w:r>
          </w:p>
          <w:p w14:paraId="37C4C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clinical services manager (CSM) understood and had complied with essential notification reporting requirements. The CHM reported that there had been no police investigations, coroner’s inquests, issues-based audits, or employment disputes since the previous audit.</w:t>
            </w:r>
          </w:p>
          <w:p w14:paraId="129136E7" w14:textId="77777777" w:rsidR="00000000" w:rsidRPr="00BE00C7" w:rsidRDefault="00000000" w:rsidP="00BE00C7">
            <w:pPr>
              <w:pStyle w:val="OutcomeDescription"/>
              <w:spacing w:before="120" w:after="120"/>
              <w:rPr>
                <w:rFonts w:cs="Arial"/>
                <w:lang w:eastAsia="en-NZ"/>
              </w:rPr>
            </w:pPr>
          </w:p>
        </w:tc>
      </w:tr>
      <w:tr w:rsidR="006D439D" w14:paraId="44A20579" w14:textId="77777777">
        <w:tc>
          <w:tcPr>
            <w:tcW w:w="0" w:type="auto"/>
          </w:tcPr>
          <w:p w14:paraId="16A66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6A40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w:t>
            </w:r>
            <w:r w:rsidRPr="00BE00C7">
              <w:rPr>
                <w:rFonts w:cs="Arial"/>
                <w:lang w:eastAsia="en-NZ"/>
              </w:rPr>
              <w:lastRenderedPageBreak/>
              <w:t>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331CC7" w14:textId="77777777" w:rsidR="00000000" w:rsidRPr="00BE00C7" w:rsidRDefault="00000000" w:rsidP="00BE00C7">
            <w:pPr>
              <w:pStyle w:val="OutcomeDescription"/>
              <w:spacing w:before="120" w:after="120"/>
              <w:rPr>
                <w:rFonts w:cs="Arial"/>
                <w:lang w:eastAsia="en-NZ"/>
              </w:rPr>
            </w:pPr>
          </w:p>
        </w:tc>
        <w:tc>
          <w:tcPr>
            <w:tcW w:w="0" w:type="auto"/>
          </w:tcPr>
          <w:p w14:paraId="5FE3C9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B9B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is used, and the facility adjusts staffing levels to meet the changing needs of residents. There is a registered nurse available during the day, six days a week, and at least one trained first aider on site 24/7. A review of the fortnightly rosters confirmed </w:t>
            </w:r>
            <w:r w:rsidRPr="00BE00C7">
              <w:rPr>
                <w:rFonts w:cs="Arial"/>
                <w:lang w:eastAsia="en-NZ"/>
              </w:rPr>
              <w:lastRenderedPageBreak/>
              <w:t>adequate staff cover, with any unplanned absences covered by the service’s own casual or permanent staff. Residents’ whānau and staff interviewed confirmed there were sufficient staff available to complete required tasks.</w:t>
            </w:r>
          </w:p>
          <w:p w14:paraId="304C1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an experienced CHM with the support of the CSM, who is an experienced RN. Both managers are longstanding, having held these positions at Brookhaven for many years. The CHM and the CSM provide afterhours support as required, and staff reported that good access to advice is available when this is needed.   </w:t>
            </w:r>
          </w:p>
          <w:p w14:paraId="72AC3C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recruitment process, which includes referee checks, police vetting, and validation of qualifications and annual practicing certificates (APCs) where required.  The organisation’s recruitment processes ensure that all these requirements are completed prior to a new employee commencing in their role. At the time of the audit, staff employment files were transitioning from being stored in paper-based folders to electronic records. The review of recruitment documentation and employees’ files showed that good employment practices were in place and were being followed. </w:t>
            </w:r>
          </w:p>
          <w:p w14:paraId="54AA3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Staff hold Level 2, 3 and 4 New Zealand Qualification Authority (NZQA) education qualifications. Staff who work in the dementia units have completed or commenced the required dementia training to meet the requirements of the provider’s agreement with Health New Zealand – Te Whatu Ora. Staff felt well supported with development opportunities.  </w:t>
            </w:r>
          </w:p>
          <w:p w14:paraId="21A150B5" w14:textId="77777777" w:rsidR="00000000" w:rsidRPr="00BE00C7" w:rsidRDefault="00000000" w:rsidP="00BE00C7">
            <w:pPr>
              <w:pStyle w:val="OutcomeDescription"/>
              <w:spacing w:before="120" w:after="120"/>
              <w:rPr>
                <w:rFonts w:cs="Arial"/>
                <w:lang w:eastAsia="en-NZ"/>
              </w:rPr>
            </w:pPr>
          </w:p>
        </w:tc>
      </w:tr>
      <w:tr w:rsidR="006D439D" w14:paraId="51F36DE1" w14:textId="77777777">
        <w:tc>
          <w:tcPr>
            <w:tcW w:w="0" w:type="auto"/>
          </w:tcPr>
          <w:p w14:paraId="16B8C5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96A8D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17B8F06B" w14:textId="77777777" w:rsidR="00000000" w:rsidRPr="00BE00C7" w:rsidRDefault="00000000" w:rsidP="00BE00C7">
            <w:pPr>
              <w:pStyle w:val="OutcomeDescription"/>
              <w:spacing w:before="120" w:after="120"/>
              <w:rPr>
                <w:rFonts w:cs="Arial"/>
                <w:lang w:eastAsia="en-NZ"/>
              </w:rPr>
            </w:pPr>
          </w:p>
        </w:tc>
        <w:tc>
          <w:tcPr>
            <w:tcW w:w="0" w:type="auto"/>
          </w:tcPr>
          <w:p w14:paraId="2CEC06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C216DE"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Annual practicing certificates for employees and contractors were sighted and were current.</w:t>
            </w:r>
          </w:p>
          <w:p w14:paraId="31F42F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w:t>
            </w:r>
            <w:r w:rsidRPr="00BE00C7">
              <w:rPr>
                <w:rFonts w:cs="Arial"/>
                <w:lang w:eastAsia="en-NZ"/>
              </w:rPr>
              <w:lastRenderedPageBreak/>
              <w:t>following appointment and yearly thereafter, as confirmed in records reviewed.</w:t>
            </w:r>
          </w:p>
          <w:p w14:paraId="7FD2B840" w14:textId="77777777" w:rsidR="00000000" w:rsidRPr="00BE00C7" w:rsidRDefault="00000000" w:rsidP="00BE00C7">
            <w:pPr>
              <w:pStyle w:val="OutcomeDescription"/>
              <w:spacing w:before="120" w:after="120"/>
              <w:rPr>
                <w:rFonts w:cs="Arial"/>
                <w:lang w:eastAsia="en-NZ"/>
              </w:rPr>
            </w:pPr>
          </w:p>
        </w:tc>
      </w:tr>
      <w:tr w:rsidR="006D439D" w14:paraId="734CE99D" w14:textId="77777777">
        <w:tc>
          <w:tcPr>
            <w:tcW w:w="0" w:type="auto"/>
          </w:tcPr>
          <w:p w14:paraId="02CB29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70AC2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2E74865" w14:textId="77777777" w:rsidR="00000000" w:rsidRPr="00BE00C7" w:rsidRDefault="00000000" w:rsidP="00BE00C7">
            <w:pPr>
              <w:pStyle w:val="OutcomeDescription"/>
              <w:spacing w:before="120" w:after="120"/>
              <w:rPr>
                <w:rFonts w:cs="Arial"/>
                <w:lang w:eastAsia="en-NZ"/>
              </w:rPr>
            </w:pPr>
          </w:p>
        </w:tc>
        <w:tc>
          <w:tcPr>
            <w:tcW w:w="0" w:type="auto"/>
          </w:tcPr>
          <w:p w14:paraId="7DD105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BFD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Care plans include interventions to manage behaviours that challenge. All residents in the dementia units have a medical care guidance plan completed on admission. Early warning signs and risks, with a focus on prevention or escalation for appropriate interventions, are recorded.  </w:t>
            </w:r>
          </w:p>
          <w:p w14:paraId="04F500A9"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general practitioner assessment, initial care plan, long-term care plan, and review timeframes meet contractual and policy requirements. Staff support Māori and whānau to identify their own pae ora outcomes in their care plan. This was verified by sampling of six residents, and from interviews of clinical staff, residents, whānau and EPOA.</w:t>
            </w:r>
          </w:p>
          <w:p w14:paraId="4626F543"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if necessary. These included plans for infections, wounds, and behavioural challenges. These are reviewed weekly, or earlier if clinically indicated. 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5F9BE9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was interviewed and stated the standard of care was good and they had no concerns.</w:t>
            </w:r>
          </w:p>
          <w:p w14:paraId="4D3E8A4F" w14:textId="77777777" w:rsidR="00000000" w:rsidRPr="00BE00C7" w:rsidRDefault="00000000" w:rsidP="00121D31">
            <w:pPr>
              <w:pStyle w:val="OutcomeDescription"/>
              <w:spacing w:before="120" w:after="120"/>
              <w:rPr>
                <w:rFonts w:cs="Arial"/>
                <w:lang w:eastAsia="en-NZ"/>
              </w:rPr>
            </w:pPr>
          </w:p>
        </w:tc>
      </w:tr>
      <w:tr w:rsidR="006D439D" w14:paraId="724B4E0A" w14:textId="77777777">
        <w:tc>
          <w:tcPr>
            <w:tcW w:w="0" w:type="auto"/>
          </w:tcPr>
          <w:p w14:paraId="68AB21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8432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2BD667E" w14:textId="77777777" w:rsidR="00000000" w:rsidRPr="00BE00C7" w:rsidRDefault="00000000" w:rsidP="00BE00C7">
            <w:pPr>
              <w:pStyle w:val="OutcomeDescription"/>
              <w:spacing w:before="120" w:after="120"/>
              <w:rPr>
                <w:rFonts w:cs="Arial"/>
                <w:lang w:eastAsia="en-NZ"/>
              </w:rPr>
            </w:pPr>
          </w:p>
        </w:tc>
        <w:tc>
          <w:tcPr>
            <w:tcW w:w="0" w:type="auto"/>
          </w:tcPr>
          <w:p w14:paraId="0711A8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8556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w:t>
            </w:r>
            <w:r w:rsidRPr="00BE00C7">
              <w:rPr>
                <w:rFonts w:cs="Arial"/>
                <w:lang w:eastAsia="en-NZ"/>
              </w:rPr>
              <w:lastRenderedPageBreak/>
              <w:t xml:space="preserve">observed on the day of audit. All staff who administered medicines were competent to perform the function they managed. </w:t>
            </w:r>
          </w:p>
          <w:p w14:paraId="554E96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to Brookhaven by a contracted pharmacy. All medications sighted were within current use-by dates.  Medicines were stored safely, including controlled drugs. The required stock checks had been completed. Medicines stored were within the recommended temperature range. </w:t>
            </w:r>
          </w:p>
          <w:p w14:paraId="42DE9A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Prescribing practices met requirements, as confirmed in the sample of records reviewed. Medicine-related allergies or sensitivities were recorded, and any adverse events responded to appropriately. The required three-monthly GP review was consistently recorded on the medicine chart. </w:t>
            </w:r>
          </w:p>
          <w:p w14:paraId="70E797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7FA26E54"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This was confirmed in review of documentation and a resident interview.</w:t>
            </w:r>
          </w:p>
          <w:p w14:paraId="156F84EE" w14:textId="77777777" w:rsidR="00000000" w:rsidRPr="00BE00C7" w:rsidRDefault="00000000" w:rsidP="00BE00C7">
            <w:pPr>
              <w:pStyle w:val="OutcomeDescription"/>
              <w:spacing w:before="120" w:after="120"/>
              <w:rPr>
                <w:rFonts w:cs="Arial"/>
                <w:lang w:eastAsia="en-NZ"/>
              </w:rPr>
            </w:pPr>
          </w:p>
        </w:tc>
      </w:tr>
      <w:tr w:rsidR="006D439D" w14:paraId="5A9C11E1" w14:textId="77777777">
        <w:tc>
          <w:tcPr>
            <w:tcW w:w="0" w:type="auto"/>
          </w:tcPr>
          <w:p w14:paraId="4DFDBC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A3890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FECA7D" w14:textId="77777777" w:rsidR="00000000" w:rsidRPr="00BE00C7" w:rsidRDefault="00000000" w:rsidP="00BE00C7">
            <w:pPr>
              <w:pStyle w:val="OutcomeDescription"/>
              <w:spacing w:before="120" w:after="120"/>
              <w:rPr>
                <w:rFonts w:cs="Arial"/>
                <w:lang w:eastAsia="en-NZ"/>
              </w:rPr>
            </w:pPr>
          </w:p>
        </w:tc>
        <w:tc>
          <w:tcPr>
            <w:tcW w:w="0" w:type="auto"/>
          </w:tcPr>
          <w:p w14:paraId="77AAD8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61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personal food preferences, any special diets, allergies and intolerances, and modified texture requirements of residents. Snacks, such as biscuits, fruit and sandwiches, and drinks, are available 24 hours a day in the dementia units. </w:t>
            </w:r>
          </w:p>
          <w:p w14:paraId="667BAF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with meals is monitored through complaints, resident meetings, and an annual resident survey; these have identified a reduction in the level of satisfaction, and an improvement plan is being developed. At the time of audit, residents interviewed stated they were happy with the food received. </w:t>
            </w:r>
          </w:p>
          <w:p w14:paraId="32045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w:t>
            </w:r>
          </w:p>
          <w:p w14:paraId="6C497F0D" w14:textId="77777777" w:rsidR="00000000" w:rsidRPr="00BE00C7" w:rsidRDefault="00000000" w:rsidP="00BE00C7">
            <w:pPr>
              <w:pStyle w:val="OutcomeDescription"/>
              <w:spacing w:before="120" w:after="120"/>
              <w:rPr>
                <w:rFonts w:cs="Arial"/>
                <w:lang w:eastAsia="en-NZ"/>
              </w:rPr>
            </w:pPr>
          </w:p>
        </w:tc>
      </w:tr>
      <w:tr w:rsidR="006D439D" w14:paraId="0EC44BC8" w14:textId="77777777">
        <w:tc>
          <w:tcPr>
            <w:tcW w:w="0" w:type="auto"/>
          </w:tcPr>
          <w:p w14:paraId="3066BD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08D46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6DF502B" w14:textId="77777777" w:rsidR="00000000" w:rsidRPr="00BE00C7" w:rsidRDefault="00000000" w:rsidP="00BE00C7">
            <w:pPr>
              <w:pStyle w:val="OutcomeDescription"/>
              <w:spacing w:before="120" w:after="120"/>
              <w:rPr>
                <w:rFonts w:cs="Arial"/>
                <w:lang w:eastAsia="en-NZ"/>
              </w:rPr>
            </w:pPr>
          </w:p>
        </w:tc>
        <w:tc>
          <w:tcPr>
            <w:tcW w:w="0" w:type="auto"/>
          </w:tcPr>
          <w:p w14:paraId="701372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1DE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Transfer and discharge planning includes open communication and </w:t>
            </w:r>
            <w:r w:rsidRPr="00BE00C7">
              <w:rPr>
                <w:rFonts w:cs="Arial"/>
                <w:lang w:eastAsia="en-NZ"/>
              </w:rPr>
              <w:lastRenderedPageBreak/>
              <w:t>handover of information between all services, including current needs and any risks identified.</w:t>
            </w:r>
          </w:p>
          <w:p w14:paraId="5751C0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were very happy with communication and planning related to transfers, and whānau interviewed reported being kept well informed during the transfer of their relative.</w:t>
            </w:r>
          </w:p>
          <w:p w14:paraId="765DFD1D" w14:textId="77777777" w:rsidR="00000000" w:rsidRPr="00BE00C7" w:rsidRDefault="00000000" w:rsidP="00BE00C7">
            <w:pPr>
              <w:pStyle w:val="OutcomeDescription"/>
              <w:spacing w:before="120" w:after="120"/>
              <w:rPr>
                <w:rFonts w:cs="Arial"/>
                <w:lang w:eastAsia="en-NZ"/>
              </w:rPr>
            </w:pPr>
          </w:p>
        </w:tc>
      </w:tr>
      <w:tr w:rsidR="006D439D" w14:paraId="069AF404" w14:textId="77777777">
        <w:tc>
          <w:tcPr>
            <w:tcW w:w="0" w:type="auto"/>
          </w:tcPr>
          <w:p w14:paraId="1B9BF0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8560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65D915B" w14:textId="77777777" w:rsidR="00000000" w:rsidRPr="00BE00C7" w:rsidRDefault="00000000" w:rsidP="00BE00C7">
            <w:pPr>
              <w:pStyle w:val="OutcomeDescription"/>
              <w:spacing w:before="120" w:after="120"/>
              <w:rPr>
                <w:rFonts w:cs="Arial"/>
                <w:lang w:eastAsia="en-NZ"/>
              </w:rPr>
            </w:pPr>
          </w:p>
        </w:tc>
        <w:tc>
          <w:tcPr>
            <w:tcW w:w="0" w:type="auto"/>
          </w:tcPr>
          <w:p w14:paraId="6E9E10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F17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hot water testing.  </w:t>
            </w:r>
          </w:p>
          <w:p w14:paraId="0ADADB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091F08A2" w14:textId="77777777" w:rsidR="00000000" w:rsidRPr="00BE00C7" w:rsidRDefault="00000000" w:rsidP="00BE00C7">
            <w:pPr>
              <w:pStyle w:val="OutcomeDescription"/>
              <w:spacing w:before="120" w:after="120"/>
              <w:rPr>
                <w:rFonts w:cs="Arial"/>
                <w:lang w:eastAsia="en-NZ"/>
              </w:rPr>
            </w:pPr>
          </w:p>
        </w:tc>
      </w:tr>
      <w:tr w:rsidR="006D439D" w14:paraId="53A56EFC" w14:textId="77777777">
        <w:tc>
          <w:tcPr>
            <w:tcW w:w="0" w:type="auto"/>
          </w:tcPr>
          <w:p w14:paraId="018FE3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1DE3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9B3717" w14:textId="77777777" w:rsidR="00000000" w:rsidRPr="00BE00C7" w:rsidRDefault="00000000" w:rsidP="00BE00C7">
            <w:pPr>
              <w:pStyle w:val="OutcomeDescription"/>
              <w:spacing w:before="120" w:after="120"/>
              <w:rPr>
                <w:rFonts w:cs="Arial"/>
                <w:lang w:eastAsia="en-NZ"/>
              </w:rPr>
            </w:pPr>
          </w:p>
        </w:tc>
        <w:tc>
          <w:tcPr>
            <w:tcW w:w="0" w:type="auto"/>
          </w:tcPr>
          <w:p w14:paraId="469D77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0C16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Heritage Lifecare governance body. The programme is linked to the quality improvement programme and is reviewed and reported on annually. This was confirmed by the IPCC and review of the programme documentation. </w:t>
            </w:r>
          </w:p>
          <w:p w14:paraId="44D954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609BCA1C" w14:textId="77777777" w:rsidR="00000000" w:rsidRPr="00BE00C7" w:rsidRDefault="00000000" w:rsidP="00BE00C7">
            <w:pPr>
              <w:pStyle w:val="OutcomeDescription"/>
              <w:spacing w:before="120" w:after="120"/>
              <w:rPr>
                <w:rFonts w:cs="Arial"/>
                <w:lang w:eastAsia="en-NZ"/>
              </w:rPr>
            </w:pPr>
          </w:p>
        </w:tc>
      </w:tr>
      <w:tr w:rsidR="006D439D" w14:paraId="7A7A7277" w14:textId="77777777">
        <w:tc>
          <w:tcPr>
            <w:tcW w:w="0" w:type="auto"/>
          </w:tcPr>
          <w:p w14:paraId="0C9F99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1C08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B3CC4C" w14:textId="77777777" w:rsidR="00000000" w:rsidRPr="00BE00C7" w:rsidRDefault="00000000" w:rsidP="00BE00C7">
            <w:pPr>
              <w:pStyle w:val="OutcomeDescription"/>
              <w:spacing w:before="120" w:after="120"/>
              <w:rPr>
                <w:rFonts w:cs="Arial"/>
                <w:lang w:eastAsia="en-NZ"/>
              </w:rPr>
            </w:pPr>
          </w:p>
        </w:tc>
        <w:tc>
          <w:tcPr>
            <w:tcW w:w="0" w:type="auto"/>
          </w:tcPr>
          <w:p w14:paraId="59B143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8867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w:t>
            </w:r>
          </w:p>
          <w:p w14:paraId="0BF9F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is collated and analysed to identify any trends, possible causative factors, and required actions. Standardised definitions are used, and surveillance includes ethnicity data.  Results of the surveillance programme are shared with staff and reported to the governing body. </w:t>
            </w:r>
          </w:p>
          <w:p w14:paraId="0FC0E8A8"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w:t>
            </w:r>
          </w:p>
          <w:p w14:paraId="76AA332E" w14:textId="77777777" w:rsidR="00000000" w:rsidRPr="00BE00C7" w:rsidRDefault="00000000" w:rsidP="00BE00C7">
            <w:pPr>
              <w:pStyle w:val="OutcomeDescription"/>
              <w:spacing w:before="120" w:after="120"/>
              <w:rPr>
                <w:rFonts w:cs="Arial"/>
                <w:lang w:eastAsia="en-NZ"/>
              </w:rPr>
            </w:pPr>
          </w:p>
        </w:tc>
      </w:tr>
      <w:tr w:rsidR="006D439D" w14:paraId="19DCE171" w14:textId="77777777">
        <w:tc>
          <w:tcPr>
            <w:tcW w:w="0" w:type="auto"/>
          </w:tcPr>
          <w:p w14:paraId="468646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84A8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EC00F9E" w14:textId="77777777" w:rsidR="00000000" w:rsidRPr="00BE00C7" w:rsidRDefault="00000000" w:rsidP="00BE00C7">
            <w:pPr>
              <w:pStyle w:val="OutcomeDescription"/>
              <w:spacing w:before="120" w:after="120"/>
              <w:rPr>
                <w:rFonts w:cs="Arial"/>
                <w:lang w:eastAsia="en-NZ"/>
              </w:rPr>
            </w:pPr>
          </w:p>
        </w:tc>
        <w:tc>
          <w:tcPr>
            <w:tcW w:w="0" w:type="auto"/>
          </w:tcPr>
          <w:p w14:paraId="39240D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2F2635"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w:t>
            </w:r>
          </w:p>
          <w:p w14:paraId="26D99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Staff reported, and documentation evidenced, that staff had been trained in the least restrictive practice, safe restraint practice, alternative cultural-specific interventions, and de-escalation techniques.  </w:t>
            </w:r>
          </w:p>
          <w:p w14:paraId="05293B84" w14:textId="77777777" w:rsidR="00000000" w:rsidRPr="00BE00C7" w:rsidRDefault="00000000" w:rsidP="00BE00C7">
            <w:pPr>
              <w:pStyle w:val="OutcomeDescription"/>
              <w:spacing w:before="120" w:after="120"/>
              <w:rPr>
                <w:rFonts w:cs="Arial"/>
                <w:lang w:eastAsia="en-NZ"/>
              </w:rPr>
            </w:pPr>
          </w:p>
        </w:tc>
      </w:tr>
    </w:tbl>
    <w:p w14:paraId="49C15F2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A6C305D" w14:textId="77777777" w:rsidR="00000000" w:rsidRDefault="00000000">
      <w:pPr>
        <w:pStyle w:val="Heading1"/>
        <w:rPr>
          <w:rFonts w:cs="Arial"/>
        </w:rPr>
      </w:pPr>
      <w:r>
        <w:rPr>
          <w:rFonts w:cs="Arial"/>
        </w:rPr>
        <w:lastRenderedPageBreak/>
        <w:t>Specific results for criterion where corrective actions are required</w:t>
      </w:r>
    </w:p>
    <w:p w14:paraId="4388276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95D003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DE681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39D" w14:paraId="4B0E4BA8" w14:textId="77777777">
        <w:tc>
          <w:tcPr>
            <w:tcW w:w="0" w:type="auto"/>
          </w:tcPr>
          <w:p w14:paraId="724B3A7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E794BD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E604357" w14:textId="77777777" w:rsidR="00000000" w:rsidRDefault="00000000">
      <w:pPr>
        <w:pStyle w:val="Heading1"/>
        <w:rPr>
          <w:rFonts w:cs="Arial"/>
        </w:rPr>
      </w:pPr>
      <w:r>
        <w:rPr>
          <w:rFonts w:cs="Arial"/>
        </w:rPr>
        <w:lastRenderedPageBreak/>
        <w:t>Specific results for criterion where a continuous improvement has been recorded</w:t>
      </w:r>
    </w:p>
    <w:p w14:paraId="1E04235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CDA0E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EA3340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39D" w14:paraId="1308C61F" w14:textId="77777777">
        <w:tc>
          <w:tcPr>
            <w:tcW w:w="0" w:type="auto"/>
          </w:tcPr>
          <w:p w14:paraId="4610F16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2A5495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9FC2DC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560B" w14:textId="77777777" w:rsidR="00FE2E6F" w:rsidRDefault="00FE2E6F">
      <w:r>
        <w:separator/>
      </w:r>
    </w:p>
  </w:endnote>
  <w:endnote w:type="continuationSeparator" w:id="0">
    <w:p w14:paraId="3AD74E3A" w14:textId="77777777" w:rsidR="00FE2E6F" w:rsidRDefault="00FE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77B4" w14:textId="77777777" w:rsidR="00000000" w:rsidRDefault="00000000">
    <w:pPr>
      <w:pStyle w:val="Footer"/>
    </w:pPr>
  </w:p>
  <w:p w14:paraId="737317BE" w14:textId="77777777" w:rsidR="00000000" w:rsidRDefault="00000000"/>
  <w:p w14:paraId="2162CEA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446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(GHG) Limited - Brookhaven</w:t>
    </w:r>
    <w:bookmarkEnd w:id="59"/>
    <w:r>
      <w:rPr>
        <w:rFonts w:cs="Arial"/>
        <w:sz w:val="16"/>
        <w:szCs w:val="20"/>
      </w:rPr>
      <w:tab/>
      <w:t xml:space="preserve">Date of Audit: </w:t>
    </w:r>
    <w:bookmarkStart w:id="60" w:name="AuditStartDate1"/>
    <w:r>
      <w:rPr>
        <w:rFonts w:cs="Arial"/>
        <w:sz w:val="16"/>
        <w:szCs w:val="20"/>
      </w:rPr>
      <w:t>29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EDEB9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400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59CE" w14:textId="77777777" w:rsidR="00FE2E6F" w:rsidRDefault="00FE2E6F">
      <w:r>
        <w:separator/>
      </w:r>
    </w:p>
  </w:footnote>
  <w:footnote w:type="continuationSeparator" w:id="0">
    <w:p w14:paraId="297815FC" w14:textId="77777777" w:rsidR="00FE2E6F" w:rsidRDefault="00FE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B7F1" w14:textId="77777777" w:rsidR="00000000" w:rsidRDefault="00000000">
    <w:pPr>
      <w:pStyle w:val="Header"/>
    </w:pPr>
  </w:p>
  <w:p w14:paraId="594D64A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7F67" w14:textId="77777777" w:rsidR="00000000" w:rsidRDefault="00000000">
    <w:pPr>
      <w:pStyle w:val="Header"/>
    </w:pPr>
  </w:p>
  <w:p w14:paraId="32ED427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86F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0E24844">
      <w:start w:val="1"/>
      <w:numFmt w:val="decimal"/>
      <w:lvlText w:val="%1."/>
      <w:lvlJc w:val="left"/>
      <w:pPr>
        <w:ind w:left="360" w:hanging="360"/>
      </w:pPr>
    </w:lvl>
    <w:lvl w:ilvl="1" w:tplc="A888EC50" w:tentative="1">
      <w:start w:val="1"/>
      <w:numFmt w:val="lowerLetter"/>
      <w:lvlText w:val="%2."/>
      <w:lvlJc w:val="left"/>
      <w:pPr>
        <w:ind w:left="1080" w:hanging="360"/>
      </w:pPr>
    </w:lvl>
    <w:lvl w:ilvl="2" w:tplc="7D442D50" w:tentative="1">
      <w:start w:val="1"/>
      <w:numFmt w:val="lowerRoman"/>
      <w:lvlText w:val="%3."/>
      <w:lvlJc w:val="right"/>
      <w:pPr>
        <w:ind w:left="1800" w:hanging="180"/>
      </w:pPr>
    </w:lvl>
    <w:lvl w:ilvl="3" w:tplc="9FC4909A" w:tentative="1">
      <w:start w:val="1"/>
      <w:numFmt w:val="decimal"/>
      <w:lvlText w:val="%4."/>
      <w:lvlJc w:val="left"/>
      <w:pPr>
        <w:ind w:left="2520" w:hanging="360"/>
      </w:pPr>
    </w:lvl>
    <w:lvl w:ilvl="4" w:tplc="0938F980" w:tentative="1">
      <w:start w:val="1"/>
      <w:numFmt w:val="lowerLetter"/>
      <w:lvlText w:val="%5."/>
      <w:lvlJc w:val="left"/>
      <w:pPr>
        <w:ind w:left="3240" w:hanging="360"/>
      </w:pPr>
    </w:lvl>
    <w:lvl w:ilvl="5" w:tplc="4BC8889A" w:tentative="1">
      <w:start w:val="1"/>
      <w:numFmt w:val="lowerRoman"/>
      <w:lvlText w:val="%6."/>
      <w:lvlJc w:val="right"/>
      <w:pPr>
        <w:ind w:left="3960" w:hanging="180"/>
      </w:pPr>
    </w:lvl>
    <w:lvl w:ilvl="6" w:tplc="E8BC394A" w:tentative="1">
      <w:start w:val="1"/>
      <w:numFmt w:val="decimal"/>
      <w:lvlText w:val="%7."/>
      <w:lvlJc w:val="left"/>
      <w:pPr>
        <w:ind w:left="4680" w:hanging="360"/>
      </w:pPr>
    </w:lvl>
    <w:lvl w:ilvl="7" w:tplc="5302FD24" w:tentative="1">
      <w:start w:val="1"/>
      <w:numFmt w:val="lowerLetter"/>
      <w:lvlText w:val="%8."/>
      <w:lvlJc w:val="left"/>
      <w:pPr>
        <w:ind w:left="5400" w:hanging="360"/>
      </w:pPr>
    </w:lvl>
    <w:lvl w:ilvl="8" w:tplc="05EC8F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0CA44F8">
      <w:start w:val="1"/>
      <w:numFmt w:val="bullet"/>
      <w:lvlText w:val=""/>
      <w:lvlJc w:val="left"/>
      <w:pPr>
        <w:ind w:left="720" w:hanging="360"/>
      </w:pPr>
      <w:rPr>
        <w:rFonts w:ascii="Symbol" w:hAnsi="Symbol" w:hint="default"/>
      </w:rPr>
    </w:lvl>
    <w:lvl w:ilvl="1" w:tplc="3868719A" w:tentative="1">
      <w:start w:val="1"/>
      <w:numFmt w:val="bullet"/>
      <w:lvlText w:val="o"/>
      <w:lvlJc w:val="left"/>
      <w:pPr>
        <w:ind w:left="1440" w:hanging="360"/>
      </w:pPr>
      <w:rPr>
        <w:rFonts w:ascii="Courier New" w:hAnsi="Courier New" w:cs="Courier New" w:hint="default"/>
      </w:rPr>
    </w:lvl>
    <w:lvl w:ilvl="2" w:tplc="90ACA220" w:tentative="1">
      <w:start w:val="1"/>
      <w:numFmt w:val="bullet"/>
      <w:lvlText w:val=""/>
      <w:lvlJc w:val="left"/>
      <w:pPr>
        <w:ind w:left="2160" w:hanging="360"/>
      </w:pPr>
      <w:rPr>
        <w:rFonts w:ascii="Wingdings" w:hAnsi="Wingdings" w:hint="default"/>
      </w:rPr>
    </w:lvl>
    <w:lvl w:ilvl="3" w:tplc="44FCFFE6" w:tentative="1">
      <w:start w:val="1"/>
      <w:numFmt w:val="bullet"/>
      <w:lvlText w:val=""/>
      <w:lvlJc w:val="left"/>
      <w:pPr>
        <w:ind w:left="2880" w:hanging="360"/>
      </w:pPr>
      <w:rPr>
        <w:rFonts w:ascii="Symbol" w:hAnsi="Symbol" w:hint="default"/>
      </w:rPr>
    </w:lvl>
    <w:lvl w:ilvl="4" w:tplc="DAF0E37E" w:tentative="1">
      <w:start w:val="1"/>
      <w:numFmt w:val="bullet"/>
      <w:lvlText w:val="o"/>
      <w:lvlJc w:val="left"/>
      <w:pPr>
        <w:ind w:left="3600" w:hanging="360"/>
      </w:pPr>
      <w:rPr>
        <w:rFonts w:ascii="Courier New" w:hAnsi="Courier New" w:cs="Courier New" w:hint="default"/>
      </w:rPr>
    </w:lvl>
    <w:lvl w:ilvl="5" w:tplc="0D40AAFA" w:tentative="1">
      <w:start w:val="1"/>
      <w:numFmt w:val="bullet"/>
      <w:lvlText w:val=""/>
      <w:lvlJc w:val="left"/>
      <w:pPr>
        <w:ind w:left="4320" w:hanging="360"/>
      </w:pPr>
      <w:rPr>
        <w:rFonts w:ascii="Wingdings" w:hAnsi="Wingdings" w:hint="default"/>
      </w:rPr>
    </w:lvl>
    <w:lvl w:ilvl="6" w:tplc="E8D0156E" w:tentative="1">
      <w:start w:val="1"/>
      <w:numFmt w:val="bullet"/>
      <w:lvlText w:val=""/>
      <w:lvlJc w:val="left"/>
      <w:pPr>
        <w:ind w:left="5040" w:hanging="360"/>
      </w:pPr>
      <w:rPr>
        <w:rFonts w:ascii="Symbol" w:hAnsi="Symbol" w:hint="default"/>
      </w:rPr>
    </w:lvl>
    <w:lvl w:ilvl="7" w:tplc="93165F80" w:tentative="1">
      <w:start w:val="1"/>
      <w:numFmt w:val="bullet"/>
      <w:lvlText w:val="o"/>
      <w:lvlJc w:val="left"/>
      <w:pPr>
        <w:ind w:left="5760" w:hanging="360"/>
      </w:pPr>
      <w:rPr>
        <w:rFonts w:ascii="Courier New" w:hAnsi="Courier New" w:cs="Courier New" w:hint="default"/>
      </w:rPr>
    </w:lvl>
    <w:lvl w:ilvl="8" w:tplc="1AD22BF2" w:tentative="1">
      <w:start w:val="1"/>
      <w:numFmt w:val="bullet"/>
      <w:lvlText w:val=""/>
      <w:lvlJc w:val="left"/>
      <w:pPr>
        <w:ind w:left="6480" w:hanging="360"/>
      </w:pPr>
      <w:rPr>
        <w:rFonts w:ascii="Wingdings" w:hAnsi="Wingdings" w:hint="default"/>
      </w:rPr>
    </w:lvl>
  </w:abstractNum>
  <w:num w:numId="1" w16cid:durableId="300035017">
    <w:abstractNumId w:val="1"/>
  </w:num>
  <w:num w:numId="2" w16cid:durableId="153507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9D"/>
    <w:rsid w:val="00121D31"/>
    <w:rsid w:val="006D439D"/>
    <w:rsid w:val="00B2750A"/>
    <w:rsid w:val="00FE2E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8542"/>
  <w15:docId w15:val="{1760EEBB-466B-4AE0-87E5-4E7E8C9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6567</Words>
  <Characters>37435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2025-09-16T04:09:00Z</dcterms:created>
  <dcterms:modified xsi:type="dcterms:W3CDTF">2025-09-16T04:10:00Z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