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3689" w14:textId="77777777" w:rsidR="00000000" w:rsidRDefault="00000000">
      <w:pPr>
        <w:pStyle w:val="Heading1"/>
        <w:rPr>
          <w:rFonts w:cs="Arial"/>
        </w:rPr>
      </w:pPr>
      <w:bookmarkStart w:id="0" w:name="PRMS_RIName"/>
      <w:r>
        <w:rPr>
          <w:rFonts w:cs="Arial"/>
        </w:rPr>
        <w:t>Akaroa Health Limited - Akaroa Residential Care Centre</w:t>
      </w:r>
      <w:bookmarkEnd w:id="0"/>
    </w:p>
    <w:p w14:paraId="4D48E250" w14:textId="77777777" w:rsidR="00000000" w:rsidRDefault="00000000">
      <w:pPr>
        <w:pStyle w:val="Heading2"/>
        <w:spacing w:after="0"/>
        <w:rPr>
          <w:rFonts w:cs="Arial"/>
        </w:rPr>
      </w:pPr>
      <w:r>
        <w:rPr>
          <w:rFonts w:cs="Arial"/>
        </w:rPr>
        <w:t>Introduction</w:t>
      </w:r>
    </w:p>
    <w:p w14:paraId="001EE7E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B3AF1C"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519A5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99BDE2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BA6DF2D" w14:textId="77777777" w:rsidR="00000000" w:rsidRDefault="00000000">
      <w:pPr>
        <w:spacing w:before="240" w:after="240"/>
        <w:rPr>
          <w:rFonts w:cs="Arial"/>
          <w:lang w:eastAsia="en-NZ"/>
        </w:rPr>
      </w:pPr>
      <w:r>
        <w:rPr>
          <w:rFonts w:cs="Arial"/>
          <w:lang w:eastAsia="en-NZ"/>
        </w:rPr>
        <w:t>The specifics of this audit included:</w:t>
      </w:r>
    </w:p>
    <w:p w14:paraId="5BCCAD1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619533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Akaroa Health Limited</w:t>
      </w:r>
      <w:bookmarkEnd w:id="4"/>
    </w:p>
    <w:p w14:paraId="2499B1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Akaroa Residential Care Centre</w:t>
      </w:r>
      <w:bookmarkEnd w:id="5"/>
    </w:p>
    <w:p w14:paraId="3738A4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2F8621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July 2025</w:t>
      </w:r>
      <w:bookmarkEnd w:id="7"/>
      <w:r w:rsidRPr="009418D4">
        <w:rPr>
          <w:rFonts w:cs="Arial"/>
        </w:rPr>
        <w:tab/>
        <w:t xml:space="preserve">End date: </w:t>
      </w:r>
      <w:bookmarkStart w:id="8" w:name="AuditEndDate"/>
      <w:r>
        <w:rPr>
          <w:rFonts w:cs="Arial"/>
        </w:rPr>
        <w:t>17 July 2025</w:t>
      </w:r>
      <w:bookmarkEnd w:id="8"/>
    </w:p>
    <w:p w14:paraId="5DD7571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93494DA" w14:textId="77777777" w:rsidR="00C96BE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w:t>
      </w:r>
      <w:bookmarkEnd w:id="10"/>
    </w:p>
    <w:p w14:paraId="613F28F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13674B" w14:textId="77777777" w:rsidR="00000000" w:rsidRDefault="00000000">
      <w:pPr>
        <w:pStyle w:val="Heading1"/>
        <w:rPr>
          <w:rFonts w:cs="Arial"/>
        </w:rPr>
      </w:pPr>
      <w:r>
        <w:rPr>
          <w:rFonts w:cs="Arial"/>
        </w:rPr>
        <w:lastRenderedPageBreak/>
        <w:t>Executive summary of the audit</w:t>
      </w:r>
    </w:p>
    <w:p w14:paraId="366E80BD" w14:textId="77777777" w:rsidR="00000000" w:rsidRDefault="00000000">
      <w:pPr>
        <w:pStyle w:val="Heading2"/>
        <w:rPr>
          <w:rFonts w:cs="Arial"/>
        </w:rPr>
      </w:pPr>
      <w:r>
        <w:rPr>
          <w:rFonts w:cs="Arial"/>
        </w:rPr>
        <w:t>Introduction</w:t>
      </w:r>
    </w:p>
    <w:p w14:paraId="484D99F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4197C1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0BB526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54380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2F5D70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C4819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50B7A9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6AFBE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74E88D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96BEF" w14:paraId="3132D4DA" w14:textId="77777777">
        <w:trPr>
          <w:cantSplit/>
          <w:tblHeader/>
        </w:trPr>
        <w:tc>
          <w:tcPr>
            <w:tcW w:w="1260" w:type="dxa"/>
            <w:tcBorders>
              <w:bottom w:val="single" w:sz="4" w:space="0" w:color="000000"/>
            </w:tcBorders>
            <w:vAlign w:val="center"/>
          </w:tcPr>
          <w:p w14:paraId="4AE545C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B1AAD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2F30C7D" w14:textId="77777777" w:rsidR="00000000" w:rsidRDefault="00000000">
            <w:pPr>
              <w:spacing w:before="60" w:after="60"/>
              <w:rPr>
                <w:rFonts w:eastAsia="Calibri"/>
                <w:b/>
                <w:szCs w:val="24"/>
              </w:rPr>
            </w:pPr>
            <w:r>
              <w:rPr>
                <w:rFonts w:eastAsia="Calibri"/>
                <w:b/>
                <w:szCs w:val="24"/>
              </w:rPr>
              <w:t>Definition</w:t>
            </w:r>
          </w:p>
        </w:tc>
      </w:tr>
      <w:tr w:rsidR="00C96BEF" w14:paraId="41DD2B19" w14:textId="77777777">
        <w:trPr>
          <w:cantSplit/>
          <w:trHeight w:val="964"/>
        </w:trPr>
        <w:tc>
          <w:tcPr>
            <w:tcW w:w="1260" w:type="dxa"/>
            <w:tcBorders>
              <w:bottom w:val="single" w:sz="4" w:space="0" w:color="000000"/>
            </w:tcBorders>
            <w:shd w:val="clear" w:color="0066FF" w:fill="0000FF"/>
            <w:vAlign w:val="center"/>
          </w:tcPr>
          <w:p w14:paraId="061C86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71739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E6B350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96BEF" w14:paraId="685A485F" w14:textId="77777777">
        <w:trPr>
          <w:cantSplit/>
          <w:trHeight w:val="964"/>
        </w:trPr>
        <w:tc>
          <w:tcPr>
            <w:tcW w:w="1260" w:type="dxa"/>
            <w:shd w:val="clear" w:color="33CC33" w:fill="00FF00"/>
            <w:vAlign w:val="center"/>
          </w:tcPr>
          <w:p w14:paraId="5CCB3FB6" w14:textId="77777777" w:rsidR="00000000" w:rsidRDefault="00000000">
            <w:pPr>
              <w:spacing w:before="60" w:after="60"/>
              <w:rPr>
                <w:rFonts w:eastAsia="Calibri"/>
                <w:szCs w:val="24"/>
              </w:rPr>
            </w:pPr>
          </w:p>
        </w:tc>
        <w:tc>
          <w:tcPr>
            <w:tcW w:w="7095" w:type="dxa"/>
            <w:shd w:val="clear" w:color="auto" w:fill="auto"/>
            <w:vAlign w:val="center"/>
          </w:tcPr>
          <w:p w14:paraId="7C581CF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5BB5C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96BEF" w14:paraId="73DCAF22" w14:textId="77777777">
        <w:trPr>
          <w:cantSplit/>
          <w:trHeight w:val="964"/>
        </w:trPr>
        <w:tc>
          <w:tcPr>
            <w:tcW w:w="1260" w:type="dxa"/>
            <w:tcBorders>
              <w:bottom w:val="single" w:sz="4" w:space="0" w:color="000000"/>
            </w:tcBorders>
            <w:shd w:val="clear" w:color="auto" w:fill="FFFF00"/>
            <w:vAlign w:val="center"/>
          </w:tcPr>
          <w:p w14:paraId="6A97489D" w14:textId="77777777" w:rsidR="00000000" w:rsidRDefault="00000000">
            <w:pPr>
              <w:spacing w:before="60" w:after="60"/>
              <w:rPr>
                <w:rFonts w:eastAsia="Calibri"/>
                <w:szCs w:val="24"/>
              </w:rPr>
            </w:pPr>
          </w:p>
        </w:tc>
        <w:tc>
          <w:tcPr>
            <w:tcW w:w="7095" w:type="dxa"/>
            <w:shd w:val="clear" w:color="auto" w:fill="auto"/>
            <w:vAlign w:val="center"/>
          </w:tcPr>
          <w:p w14:paraId="48C9A2A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A719E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96BEF" w14:paraId="788F3537" w14:textId="77777777">
        <w:trPr>
          <w:cantSplit/>
          <w:trHeight w:val="964"/>
        </w:trPr>
        <w:tc>
          <w:tcPr>
            <w:tcW w:w="1260" w:type="dxa"/>
            <w:tcBorders>
              <w:bottom w:val="single" w:sz="4" w:space="0" w:color="000000"/>
            </w:tcBorders>
            <w:shd w:val="clear" w:color="auto" w:fill="FFC800"/>
            <w:vAlign w:val="center"/>
          </w:tcPr>
          <w:p w14:paraId="7437ADC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713747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675E0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96BEF" w14:paraId="1309C2B4" w14:textId="77777777">
        <w:trPr>
          <w:cantSplit/>
          <w:trHeight w:val="964"/>
        </w:trPr>
        <w:tc>
          <w:tcPr>
            <w:tcW w:w="1260" w:type="dxa"/>
            <w:shd w:val="clear" w:color="auto" w:fill="FF0000"/>
            <w:vAlign w:val="center"/>
          </w:tcPr>
          <w:p w14:paraId="28F976CB" w14:textId="77777777" w:rsidR="00000000" w:rsidRDefault="00000000">
            <w:pPr>
              <w:spacing w:before="60" w:after="60"/>
              <w:rPr>
                <w:rFonts w:eastAsia="Calibri"/>
                <w:szCs w:val="24"/>
              </w:rPr>
            </w:pPr>
          </w:p>
        </w:tc>
        <w:tc>
          <w:tcPr>
            <w:tcW w:w="7095" w:type="dxa"/>
            <w:shd w:val="clear" w:color="auto" w:fill="auto"/>
            <w:vAlign w:val="center"/>
          </w:tcPr>
          <w:p w14:paraId="054F0E4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E4A7E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87F23F1" w14:textId="77777777" w:rsidR="00000000" w:rsidRDefault="00000000">
      <w:pPr>
        <w:pStyle w:val="Heading2"/>
        <w:spacing w:after="0"/>
        <w:rPr>
          <w:rFonts w:cs="Arial"/>
        </w:rPr>
      </w:pPr>
      <w:r>
        <w:rPr>
          <w:rFonts w:cs="Arial"/>
        </w:rPr>
        <w:t>General overview of the audit</w:t>
      </w:r>
    </w:p>
    <w:p w14:paraId="4092C95D" w14:textId="77777777" w:rsidR="00000000" w:rsidRDefault="00000000">
      <w:pPr>
        <w:spacing w:before="240" w:line="276" w:lineRule="auto"/>
        <w:rPr>
          <w:rFonts w:eastAsia="Calibri"/>
        </w:rPr>
      </w:pPr>
      <w:bookmarkStart w:id="13" w:name="GeneralOverview"/>
      <w:r w:rsidRPr="00A4268A">
        <w:rPr>
          <w:rFonts w:eastAsia="Calibri"/>
        </w:rPr>
        <w:t xml:space="preserve">Te Hauora o Rākaihautū (Akaroa Health) provides rest home- and hospital-level geriatric and medical services for up to eight age-related residential care residents and four primary care patients.  There have been no changes to the service since the last audit. </w:t>
      </w:r>
    </w:p>
    <w:p w14:paraId="5A43D584" w14:textId="77777777" w:rsidR="00C96BEF"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 patient and staff files, observations, and interviews with residents, patients, a whānau/family member, managers, staff, and a general practitioner. </w:t>
      </w:r>
    </w:p>
    <w:p w14:paraId="776315E5" w14:textId="77777777" w:rsidR="00C96BEF" w:rsidRPr="00A4268A" w:rsidRDefault="00000000">
      <w:pPr>
        <w:spacing w:before="240" w:line="276" w:lineRule="auto"/>
        <w:rPr>
          <w:rFonts w:eastAsia="Calibri"/>
        </w:rPr>
      </w:pPr>
      <w:r w:rsidRPr="00A4268A">
        <w:rPr>
          <w:rFonts w:eastAsia="Calibri"/>
        </w:rPr>
        <w:t>Strengths of the service included the strong link to the community and personalised care. The corrective actions required from the previous audit have been addressed, with improvements made to planning for the provision of care to Pacific peoples, position descriptions, and infection prevention education.  As a result of this audit, improvements are required to the medication management system, the infection prevention programme, and infection surveillance.</w:t>
      </w:r>
    </w:p>
    <w:bookmarkEnd w:id="13"/>
    <w:p w14:paraId="2F4BF671" w14:textId="77777777" w:rsidR="00C96BEF" w:rsidRPr="00A4268A" w:rsidRDefault="00C96BEF">
      <w:pPr>
        <w:spacing w:before="240" w:line="276" w:lineRule="auto"/>
        <w:rPr>
          <w:rFonts w:eastAsia="Calibri"/>
        </w:rPr>
      </w:pPr>
    </w:p>
    <w:p w14:paraId="103A1775"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286F8F5C" w14:textId="77777777" w:rsidTr="00A4268A">
        <w:trPr>
          <w:cantSplit/>
        </w:trPr>
        <w:tc>
          <w:tcPr>
            <w:tcW w:w="10206" w:type="dxa"/>
            <w:vAlign w:val="center"/>
          </w:tcPr>
          <w:p w14:paraId="1FA2A52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DA6346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35944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867CD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ADB74B1"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Akaroa Health works collaboratively to support and encourage a Māori world view of health in service delivery. Māori are provided with equitable and effective services based on Te Tiriti o Waitangi and the principles of mana motuhake. </w:t>
      </w:r>
    </w:p>
    <w:p w14:paraId="301893F3" w14:textId="77777777" w:rsidR="00C96BEF" w:rsidRPr="00A4268A" w:rsidRDefault="00000000">
      <w:pPr>
        <w:spacing w:before="240" w:line="276" w:lineRule="auto"/>
        <w:rPr>
          <w:rFonts w:eastAsia="Calibri"/>
        </w:rPr>
      </w:pPr>
      <w:r w:rsidRPr="00A4268A">
        <w:rPr>
          <w:rFonts w:eastAsia="Calibri"/>
        </w:rPr>
        <w:t xml:space="preserve">Processes were in place to ensure Pacific peoples are provided with services that recognise their worldviews and are culturally safe. </w:t>
      </w:r>
    </w:p>
    <w:p w14:paraId="39F0AF77" w14:textId="77777777" w:rsidR="00C96BEF" w:rsidRPr="00A4268A" w:rsidRDefault="00000000">
      <w:pPr>
        <w:spacing w:before="240" w:line="276" w:lineRule="auto"/>
        <w:rPr>
          <w:rFonts w:eastAsia="Calibri"/>
        </w:rPr>
      </w:pPr>
      <w:r w:rsidRPr="00A4268A">
        <w:rPr>
          <w:rFonts w:eastAsia="Calibri"/>
        </w:rPr>
        <w:t xml:space="preserve">Residents, patients and their whānau were informed of their rights according to the Code of Health and Disability Services Consumers’ Rights (the Code), and these rights were upheld. Service providers maintained professional boundaries and there was no evidence of abuse, neglect, discrimination or other exploitation. The property of residents and patients was respected. </w:t>
      </w:r>
    </w:p>
    <w:p w14:paraId="61882811" w14:textId="77777777" w:rsidR="00C96BEF" w:rsidRPr="00A4268A" w:rsidRDefault="00000000">
      <w:pPr>
        <w:spacing w:before="240" w:line="276" w:lineRule="auto"/>
        <w:rPr>
          <w:rFonts w:eastAsia="Calibri"/>
        </w:rPr>
      </w:pPr>
      <w:r w:rsidRPr="00A4268A">
        <w:rPr>
          <w:rFonts w:eastAsia="Calibri"/>
        </w:rPr>
        <w:t xml:space="preserve">Policies and the Code provided guidance to staff to ensure informed consent was gained as required. Residents, patients and whānau felt included when making decisions about care and treatment. </w:t>
      </w:r>
    </w:p>
    <w:p w14:paraId="3F760B16" w14:textId="77777777" w:rsidR="00C96BEF"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2E942EF3" w14:textId="77777777" w:rsidR="00C96BEF" w:rsidRPr="00A4268A" w:rsidRDefault="00C96BEF">
      <w:pPr>
        <w:spacing w:before="240" w:line="276" w:lineRule="auto"/>
        <w:rPr>
          <w:rFonts w:eastAsia="Calibri"/>
        </w:rPr>
      </w:pPr>
    </w:p>
    <w:p w14:paraId="05D9DF9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1341C292" w14:textId="77777777" w:rsidTr="00A4268A">
        <w:trPr>
          <w:cantSplit/>
        </w:trPr>
        <w:tc>
          <w:tcPr>
            <w:tcW w:w="10206" w:type="dxa"/>
            <w:vAlign w:val="center"/>
          </w:tcPr>
          <w:p w14:paraId="126390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0A5A72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E09A66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CD205E6"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ensuring compliance with legislative and contractual requirements, supporting quality and risk management systems, and reducing barriers to improve outcomes for Māori.</w:t>
      </w:r>
    </w:p>
    <w:p w14:paraId="00391E80" w14:textId="77777777" w:rsidR="00C96BEF" w:rsidRPr="00A4268A" w:rsidRDefault="00000000">
      <w:pPr>
        <w:spacing w:before="240" w:line="276" w:lineRule="auto"/>
        <w:rPr>
          <w:rFonts w:eastAsia="Calibri"/>
        </w:rPr>
      </w:pPr>
      <w:r w:rsidRPr="00A4268A">
        <w:rPr>
          <w:rFonts w:eastAsia="Calibri"/>
        </w:rPr>
        <w:t xml:space="preserve">Planning ensured the purpose, values, direction, scope and goals for the organisation were defined. Performance was monitored and reviewed at planned intervals. </w:t>
      </w:r>
    </w:p>
    <w:p w14:paraId="2A53D517" w14:textId="77777777" w:rsidR="00C96BEF" w:rsidRPr="00A4268A" w:rsidRDefault="00000000">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6D229CDC" w14:textId="77777777" w:rsidR="00C96BEF" w:rsidRPr="00A4268A" w:rsidRDefault="00000000">
      <w:pPr>
        <w:spacing w:before="240" w:line="276" w:lineRule="auto"/>
        <w:rPr>
          <w:rFonts w:eastAsia="Calibri"/>
        </w:rPr>
      </w:pPr>
      <w:r w:rsidRPr="00A4268A">
        <w:rPr>
          <w:rFonts w:eastAsia="Calibri"/>
        </w:rPr>
        <w:lastRenderedPageBreak/>
        <w:t xml:space="preserve">The quality and risk management systems were focused on improving service delivery and care using a risk-based approach. An integrated approach included collection and analysis of quality improvement data and identified trends that led to improvements. Actual and potential risks were identified and mitigated. </w:t>
      </w:r>
    </w:p>
    <w:p w14:paraId="63E8936A" w14:textId="77777777" w:rsidR="00C96BEF"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6C6C2E22" w14:textId="77777777" w:rsidR="00C96BEF"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and patients. Staff have the skills, attitudes, qualifications and experience to meet the needs of residents and patients. A systematic approach to identify and deliver ongoing learning and competencies supported safe, equitable service delivery. </w:t>
      </w:r>
    </w:p>
    <w:p w14:paraId="0D32CC62" w14:textId="77777777" w:rsidR="00C96BEF"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70D79328" w14:textId="77777777" w:rsidR="00C96BEF" w:rsidRPr="00A4268A" w:rsidRDefault="00C96BEF">
      <w:pPr>
        <w:spacing w:before="240" w:line="276" w:lineRule="auto"/>
        <w:rPr>
          <w:rFonts w:eastAsia="Calibri"/>
        </w:rPr>
      </w:pPr>
    </w:p>
    <w:p w14:paraId="1935514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5B6DF5DA" w14:textId="77777777" w:rsidTr="00A4268A">
        <w:trPr>
          <w:cantSplit/>
        </w:trPr>
        <w:tc>
          <w:tcPr>
            <w:tcW w:w="10206" w:type="dxa"/>
            <w:vAlign w:val="center"/>
          </w:tcPr>
          <w:p w14:paraId="2D7BF2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7100D1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DD264B4"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47D895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worked in partnership with the residents, patients and their whānau to assess, plan and evaluate care. Care plans were individualised, based on comprehensive risk-based assessments, and accommodated any new problems that arose. Files reviewed demonstrated that care met the needs of residents, patients and whānau, and was evaluated on a regular and timely basis. </w:t>
      </w:r>
    </w:p>
    <w:p w14:paraId="7F0A533F" w14:textId="77777777" w:rsidR="00C96BEF"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4A28A221" w14:textId="77777777" w:rsidR="00C96BEF" w:rsidRPr="00A4268A" w:rsidRDefault="00000000" w:rsidP="00621629">
      <w:pPr>
        <w:spacing w:before="240" w:line="276" w:lineRule="auto"/>
        <w:rPr>
          <w:rFonts w:eastAsia="Calibri"/>
        </w:rPr>
      </w:pPr>
      <w:r w:rsidRPr="00A4268A">
        <w:rPr>
          <w:rFonts w:eastAsia="Calibri"/>
        </w:rPr>
        <w:lastRenderedPageBreak/>
        <w:t xml:space="preserve">The food service met the nutritional and cultural needs of the residents and patients.  Food was safely managed, supported by an approved food control plan. </w:t>
      </w:r>
    </w:p>
    <w:p w14:paraId="13E0AAC7" w14:textId="77777777" w:rsidR="00C96BEF" w:rsidRPr="00A4268A" w:rsidRDefault="00000000" w:rsidP="00621629">
      <w:pPr>
        <w:spacing w:before="240" w:line="276" w:lineRule="auto"/>
        <w:rPr>
          <w:rFonts w:eastAsia="Calibri"/>
        </w:rPr>
      </w:pPr>
      <w:r w:rsidRPr="00A4268A">
        <w:rPr>
          <w:rFonts w:eastAsia="Calibri"/>
        </w:rPr>
        <w:t>Residents and patients were referred or transferred to other health services as required.</w:t>
      </w:r>
    </w:p>
    <w:bookmarkEnd w:id="22"/>
    <w:p w14:paraId="2D043F27" w14:textId="77777777" w:rsidR="00C96BEF" w:rsidRPr="00A4268A" w:rsidRDefault="00C96BEF" w:rsidP="00621629">
      <w:pPr>
        <w:spacing w:before="240" w:line="276" w:lineRule="auto"/>
        <w:rPr>
          <w:rFonts w:eastAsia="Calibri"/>
        </w:rPr>
      </w:pPr>
    </w:p>
    <w:p w14:paraId="16F7911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75FD0424" w14:textId="77777777" w:rsidTr="00A4268A">
        <w:trPr>
          <w:cantSplit/>
        </w:trPr>
        <w:tc>
          <w:tcPr>
            <w:tcW w:w="10206" w:type="dxa"/>
            <w:vAlign w:val="center"/>
          </w:tcPr>
          <w:p w14:paraId="3286C62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76B832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926A1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694C8CD"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patients and were culturally inclusive. A current building warrant of fitness and planned maintenance programme ensured safety. Electrical equipment was tested as required.</w:t>
      </w:r>
    </w:p>
    <w:bookmarkEnd w:id="25"/>
    <w:p w14:paraId="14E80D5C" w14:textId="77777777" w:rsidR="00C96BEF" w:rsidRPr="00A4268A" w:rsidRDefault="00C96BEF">
      <w:pPr>
        <w:spacing w:before="240" w:line="276" w:lineRule="auto"/>
        <w:rPr>
          <w:rFonts w:eastAsia="Calibri"/>
        </w:rPr>
      </w:pPr>
    </w:p>
    <w:p w14:paraId="25552E5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05DFE135" w14:textId="77777777" w:rsidTr="00A4268A">
        <w:trPr>
          <w:cantSplit/>
        </w:trPr>
        <w:tc>
          <w:tcPr>
            <w:tcW w:w="10206" w:type="dxa"/>
            <w:vAlign w:val="center"/>
          </w:tcPr>
          <w:p w14:paraId="4FDF37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158E58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A69549E"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8CF5D61"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and is linked with the quality improvement programme.</w:t>
      </w:r>
    </w:p>
    <w:p w14:paraId="463E5C1B" w14:textId="77777777" w:rsidR="00C96BEF" w:rsidRPr="00A4268A" w:rsidRDefault="00000000">
      <w:pPr>
        <w:spacing w:before="240" w:line="276" w:lineRule="auto"/>
        <w:rPr>
          <w:rFonts w:eastAsia="Calibri"/>
        </w:rPr>
      </w:pPr>
      <w:r w:rsidRPr="00A4268A">
        <w:rPr>
          <w:rFonts w:eastAsia="Calibri"/>
        </w:rPr>
        <w:lastRenderedPageBreak/>
        <w:t xml:space="preserve">Staff demonstrated good principles and practice around infection control supported by relevant IP education. </w:t>
      </w:r>
    </w:p>
    <w:p w14:paraId="61605A0A" w14:textId="77777777" w:rsidR="00C96BEF" w:rsidRPr="00A4268A" w:rsidRDefault="00000000">
      <w:pPr>
        <w:spacing w:before="240" w:line="276" w:lineRule="auto"/>
        <w:rPr>
          <w:rFonts w:eastAsia="Calibri"/>
        </w:rPr>
      </w:pPr>
      <w:r w:rsidRPr="00A4268A">
        <w:rPr>
          <w:rFonts w:eastAsia="Calibri"/>
        </w:rPr>
        <w:t xml:space="preserve">The ‘Surveillance of health care-associated infections’ described in policy is appropriate to the size and setting of the service, using standardised surveillance definitions.  </w:t>
      </w:r>
    </w:p>
    <w:bookmarkEnd w:id="28"/>
    <w:p w14:paraId="486B107E" w14:textId="77777777" w:rsidR="00C96BEF" w:rsidRPr="00A4268A" w:rsidRDefault="00C96BEF">
      <w:pPr>
        <w:spacing w:before="240" w:line="276" w:lineRule="auto"/>
        <w:rPr>
          <w:rFonts w:eastAsia="Calibri"/>
        </w:rPr>
      </w:pPr>
    </w:p>
    <w:p w14:paraId="4E6489F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6BEF" w14:paraId="7CE409C1" w14:textId="77777777" w:rsidTr="00A4268A">
        <w:trPr>
          <w:cantSplit/>
        </w:trPr>
        <w:tc>
          <w:tcPr>
            <w:tcW w:w="10206" w:type="dxa"/>
            <w:vAlign w:val="center"/>
          </w:tcPr>
          <w:p w14:paraId="020D9A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EEEFA8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0EB93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5739B5"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service’s aim is to provide a restraint-free environment. This was supported by the governing body and policies and procedures. There were no residents or patients using restraints at the time of audit. </w:t>
      </w:r>
    </w:p>
    <w:p w14:paraId="544DB3B0" w14:textId="77777777" w:rsidR="00C96BEF"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43F34619" w14:textId="77777777" w:rsidR="00C96BEF" w:rsidRPr="00A4268A" w:rsidRDefault="00C96BEF">
      <w:pPr>
        <w:spacing w:before="240" w:line="276" w:lineRule="auto"/>
        <w:rPr>
          <w:rFonts w:eastAsia="Calibri"/>
        </w:rPr>
      </w:pPr>
    </w:p>
    <w:p w14:paraId="66D4FAC8" w14:textId="77777777" w:rsidR="00000000" w:rsidRDefault="00000000" w:rsidP="000E6E02">
      <w:pPr>
        <w:pStyle w:val="Heading2"/>
        <w:spacing w:before="0"/>
        <w:rPr>
          <w:rFonts w:cs="Arial"/>
        </w:rPr>
      </w:pPr>
      <w:r>
        <w:rPr>
          <w:rFonts w:cs="Arial"/>
        </w:rPr>
        <w:lastRenderedPageBreak/>
        <w:t>Summary of attainment</w:t>
      </w:r>
    </w:p>
    <w:p w14:paraId="13A5B25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96BEF" w14:paraId="014B7B7F" w14:textId="77777777">
        <w:tc>
          <w:tcPr>
            <w:tcW w:w="1384" w:type="dxa"/>
            <w:vAlign w:val="center"/>
          </w:tcPr>
          <w:p w14:paraId="56B835E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F7FD5C" w14:textId="77777777" w:rsidR="00000000" w:rsidRDefault="00000000">
            <w:pPr>
              <w:keepNext/>
              <w:spacing w:before="60" w:after="60"/>
              <w:jc w:val="center"/>
              <w:rPr>
                <w:rFonts w:cs="Arial"/>
                <w:b/>
                <w:sz w:val="20"/>
                <w:szCs w:val="20"/>
              </w:rPr>
            </w:pPr>
            <w:r>
              <w:rPr>
                <w:rFonts w:cs="Arial"/>
                <w:b/>
                <w:sz w:val="20"/>
                <w:szCs w:val="20"/>
              </w:rPr>
              <w:t>Continuous Improvement</w:t>
            </w:r>
          </w:p>
          <w:p w14:paraId="0BBF9F9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15A56B8" w14:textId="77777777" w:rsidR="00000000" w:rsidRDefault="00000000">
            <w:pPr>
              <w:keepNext/>
              <w:spacing w:before="60" w:after="60"/>
              <w:jc w:val="center"/>
              <w:rPr>
                <w:rFonts w:cs="Arial"/>
                <w:b/>
                <w:sz w:val="20"/>
                <w:szCs w:val="20"/>
              </w:rPr>
            </w:pPr>
            <w:r>
              <w:rPr>
                <w:rFonts w:cs="Arial"/>
                <w:b/>
                <w:sz w:val="20"/>
                <w:szCs w:val="20"/>
              </w:rPr>
              <w:t>Fully Attained</w:t>
            </w:r>
          </w:p>
          <w:p w14:paraId="11BDBC2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6E78F1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C6A23C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EEC484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99D15A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A53421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71B313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93BE20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95BC2B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04AF1C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62B2C33" w14:textId="77777777" w:rsidR="00000000" w:rsidRDefault="00000000">
            <w:pPr>
              <w:keepNext/>
              <w:spacing w:before="60" w:after="60"/>
              <w:jc w:val="center"/>
              <w:rPr>
                <w:rFonts w:cs="Arial"/>
                <w:b/>
                <w:sz w:val="20"/>
                <w:szCs w:val="20"/>
              </w:rPr>
            </w:pPr>
            <w:r>
              <w:rPr>
                <w:rFonts w:cs="Arial"/>
                <w:b/>
                <w:sz w:val="20"/>
                <w:szCs w:val="20"/>
              </w:rPr>
              <w:t>(PA Critical)</w:t>
            </w:r>
          </w:p>
        </w:tc>
      </w:tr>
      <w:tr w:rsidR="00C96BEF" w14:paraId="4072B756" w14:textId="77777777">
        <w:tc>
          <w:tcPr>
            <w:tcW w:w="1384" w:type="dxa"/>
            <w:vAlign w:val="center"/>
          </w:tcPr>
          <w:p w14:paraId="47CD57E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B13B0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932CDF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3D13723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107AE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9478CC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8F0126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CFF7D3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96BEF" w14:paraId="7BC820D5" w14:textId="77777777">
        <w:tc>
          <w:tcPr>
            <w:tcW w:w="1384" w:type="dxa"/>
            <w:vAlign w:val="center"/>
          </w:tcPr>
          <w:p w14:paraId="0BF045B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BAF77C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925E7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4B3EC0E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7BA80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FE8DD6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3832E6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98322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A08D7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96BEF" w14:paraId="1B345C76" w14:textId="77777777">
        <w:tc>
          <w:tcPr>
            <w:tcW w:w="1384" w:type="dxa"/>
            <w:vAlign w:val="center"/>
          </w:tcPr>
          <w:p w14:paraId="755F81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FA7D2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39F32B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D69FE63" w14:textId="77777777" w:rsidR="00000000" w:rsidRDefault="00000000">
            <w:pPr>
              <w:keepNext/>
              <w:spacing w:before="60" w:after="60"/>
              <w:jc w:val="center"/>
              <w:rPr>
                <w:rFonts w:cs="Arial"/>
                <w:b/>
                <w:sz w:val="20"/>
                <w:szCs w:val="20"/>
              </w:rPr>
            </w:pPr>
            <w:r>
              <w:rPr>
                <w:rFonts w:cs="Arial"/>
                <w:b/>
                <w:sz w:val="20"/>
                <w:szCs w:val="20"/>
              </w:rPr>
              <w:t>Unattained Low Risk</w:t>
            </w:r>
          </w:p>
          <w:p w14:paraId="3650D64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63887F4" w14:textId="77777777" w:rsidR="00000000" w:rsidRDefault="00000000">
            <w:pPr>
              <w:keepNext/>
              <w:spacing w:before="60" w:after="60"/>
              <w:jc w:val="center"/>
              <w:rPr>
                <w:rFonts w:cs="Arial"/>
                <w:b/>
                <w:sz w:val="20"/>
                <w:szCs w:val="20"/>
              </w:rPr>
            </w:pPr>
            <w:r>
              <w:rPr>
                <w:rFonts w:cs="Arial"/>
                <w:b/>
                <w:sz w:val="20"/>
                <w:szCs w:val="20"/>
              </w:rPr>
              <w:t>Unattained Moderate Risk</w:t>
            </w:r>
          </w:p>
          <w:p w14:paraId="51C47DA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A151341" w14:textId="77777777" w:rsidR="00000000" w:rsidRDefault="00000000">
            <w:pPr>
              <w:keepNext/>
              <w:spacing w:before="60" w:after="60"/>
              <w:jc w:val="center"/>
              <w:rPr>
                <w:rFonts w:cs="Arial"/>
                <w:b/>
                <w:sz w:val="20"/>
                <w:szCs w:val="20"/>
              </w:rPr>
            </w:pPr>
            <w:r>
              <w:rPr>
                <w:rFonts w:cs="Arial"/>
                <w:b/>
                <w:sz w:val="20"/>
                <w:szCs w:val="20"/>
              </w:rPr>
              <w:t>Unattained High Risk</w:t>
            </w:r>
          </w:p>
          <w:p w14:paraId="1590AF8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AAAC540" w14:textId="77777777" w:rsidR="00000000" w:rsidRDefault="00000000">
            <w:pPr>
              <w:keepNext/>
              <w:spacing w:before="60" w:after="60"/>
              <w:jc w:val="center"/>
              <w:rPr>
                <w:rFonts w:cs="Arial"/>
                <w:b/>
                <w:sz w:val="20"/>
                <w:szCs w:val="20"/>
              </w:rPr>
            </w:pPr>
            <w:r>
              <w:rPr>
                <w:rFonts w:cs="Arial"/>
                <w:b/>
                <w:sz w:val="20"/>
                <w:szCs w:val="20"/>
              </w:rPr>
              <w:t>Unattained Critical Risk</w:t>
            </w:r>
          </w:p>
          <w:p w14:paraId="345E2814" w14:textId="77777777" w:rsidR="00000000" w:rsidRDefault="00000000">
            <w:pPr>
              <w:keepNext/>
              <w:spacing w:before="60" w:after="60"/>
              <w:jc w:val="center"/>
              <w:rPr>
                <w:rFonts w:cs="Arial"/>
                <w:b/>
                <w:sz w:val="20"/>
                <w:szCs w:val="20"/>
              </w:rPr>
            </w:pPr>
            <w:r>
              <w:rPr>
                <w:rFonts w:cs="Arial"/>
                <w:b/>
                <w:sz w:val="20"/>
                <w:szCs w:val="20"/>
              </w:rPr>
              <w:t>(UA Critical)</w:t>
            </w:r>
          </w:p>
        </w:tc>
      </w:tr>
      <w:tr w:rsidR="00C96BEF" w14:paraId="71E79863" w14:textId="77777777">
        <w:tc>
          <w:tcPr>
            <w:tcW w:w="1384" w:type="dxa"/>
            <w:vAlign w:val="center"/>
          </w:tcPr>
          <w:p w14:paraId="42CBE28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BD14D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D5CC8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71549D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6BF7AC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AD6EA4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96BEF" w14:paraId="0511ED79" w14:textId="77777777">
        <w:tc>
          <w:tcPr>
            <w:tcW w:w="1384" w:type="dxa"/>
            <w:vAlign w:val="center"/>
          </w:tcPr>
          <w:p w14:paraId="5CCDF6F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487417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E7116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93657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A8B09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18C793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BCFF5E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1A689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42A203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237D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76"/>
        <w:gridCol w:w="6882"/>
      </w:tblGrid>
      <w:tr w:rsidR="00C96BEF" w14:paraId="033920E1" w14:textId="77777777">
        <w:tc>
          <w:tcPr>
            <w:tcW w:w="0" w:type="auto"/>
          </w:tcPr>
          <w:p w14:paraId="3F98DF7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6C0AF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0AED2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96BEF" w14:paraId="5FDF8CD2" w14:textId="77777777">
        <w:tc>
          <w:tcPr>
            <w:tcW w:w="0" w:type="auto"/>
          </w:tcPr>
          <w:p w14:paraId="41AF09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300722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27E202" w14:textId="77777777" w:rsidR="00000000" w:rsidRPr="00BE00C7" w:rsidRDefault="00000000" w:rsidP="00BE00C7">
            <w:pPr>
              <w:pStyle w:val="OutcomeDescription"/>
              <w:spacing w:before="120" w:after="120"/>
              <w:rPr>
                <w:rFonts w:cs="Arial"/>
                <w:lang w:eastAsia="en-NZ"/>
              </w:rPr>
            </w:pPr>
          </w:p>
        </w:tc>
        <w:tc>
          <w:tcPr>
            <w:tcW w:w="0" w:type="auto"/>
          </w:tcPr>
          <w:p w14:paraId="5C166E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9CBD04" w14:textId="77777777" w:rsidR="00000000" w:rsidRPr="00BE00C7" w:rsidRDefault="00000000" w:rsidP="00BE00C7">
            <w:pPr>
              <w:pStyle w:val="OutcomeDescription"/>
              <w:spacing w:before="120" w:after="120"/>
              <w:rPr>
                <w:rFonts w:cs="Arial"/>
                <w:lang w:eastAsia="en-NZ"/>
              </w:rPr>
            </w:pPr>
            <w:r w:rsidRPr="00BE00C7">
              <w:rPr>
                <w:rFonts w:cs="Arial"/>
                <w:lang w:eastAsia="en-NZ"/>
              </w:rPr>
              <w:t>Akaroa Health has developed policies, procedures and processes to embed and enact Te Tiriti o Waitangi in all aspects of its work. A Māori health plan, developed in partnership with Ōnuku Rūnanga, was in place to ensure improved health outcomes for Māori and manu motuhake was respected. Akaroa Health has established strong connections with Ōnuku Rūnanga, with a representative from the rūnanga on their board and their clinical governance group.  Akaroa Health works closely with the Māori health navigator from the rūnanga, which has resulted in an increase in the number of Māori people accessing the health services provided. The partnership with Ōnuku Rūnanga has supported service integration, planning, equity approaches, and support for Māori. There were no Māori residents or patients receiving support at the facility at the time of audit.</w:t>
            </w:r>
          </w:p>
          <w:p w14:paraId="0F0C2476" w14:textId="77777777" w:rsidR="00000000" w:rsidRPr="00BE00C7" w:rsidRDefault="00000000" w:rsidP="00BE00C7">
            <w:pPr>
              <w:pStyle w:val="OutcomeDescription"/>
              <w:spacing w:before="120" w:after="120"/>
              <w:rPr>
                <w:rFonts w:cs="Arial"/>
                <w:lang w:eastAsia="en-NZ"/>
              </w:rPr>
            </w:pPr>
          </w:p>
        </w:tc>
      </w:tr>
      <w:tr w:rsidR="00C96BEF" w14:paraId="6728AF8E" w14:textId="77777777">
        <w:tc>
          <w:tcPr>
            <w:tcW w:w="0" w:type="auto"/>
          </w:tcPr>
          <w:p w14:paraId="1E2A38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4D387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51F54826" w14:textId="77777777" w:rsidR="00000000" w:rsidRPr="00BE00C7" w:rsidRDefault="00000000" w:rsidP="00BE00C7">
            <w:pPr>
              <w:pStyle w:val="OutcomeDescription"/>
              <w:spacing w:before="120" w:after="120"/>
              <w:rPr>
                <w:rFonts w:cs="Arial"/>
                <w:lang w:eastAsia="en-NZ"/>
              </w:rPr>
            </w:pPr>
          </w:p>
        </w:tc>
        <w:tc>
          <w:tcPr>
            <w:tcW w:w="0" w:type="auto"/>
          </w:tcPr>
          <w:p w14:paraId="49DDB7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CB8C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Akaroa Health provide services that are underpinned by Pacific worldviews and guided by a Pacific plan that is now in place. The service has an established link with the cultural advisor from Te Whatu Ora. There were no Pacific people being supported at the service on the day of the audit. Cultural training on how to support Pacific people has been provided to Akaroa Health staff. The two corrective actions from the previous audit raised under criteria 1.2.3 and 1.2.5, relating to support for Pacific people, </w:t>
            </w:r>
            <w:r w:rsidRPr="00BE00C7">
              <w:rPr>
                <w:rFonts w:cs="Arial"/>
                <w:lang w:eastAsia="en-NZ"/>
              </w:rPr>
              <w:lastRenderedPageBreak/>
              <w:t>have been closed.</w:t>
            </w:r>
          </w:p>
          <w:p w14:paraId="70D6452C" w14:textId="77777777" w:rsidR="00000000" w:rsidRPr="00BE00C7" w:rsidRDefault="00000000" w:rsidP="00BE00C7">
            <w:pPr>
              <w:pStyle w:val="OutcomeDescription"/>
              <w:spacing w:before="120" w:after="120"/>
              <w:rPr>
                <w:rFonts w:cs="Arial"/>
                <w:lang w:eastAsia="en-NZ"/>
              </w:rPr>
            </w:pPr>
          </w:p>
        </w:tc>
      </w:tr>
      <w:tr w:rsidR="00C96BEF" w14:paraId="55EBB82B" w14:textId="77777777">
        <w:tc>
          <w:tcPr>
            <w:tcW w:w="0" w:type="auto"/>
          </w:tcPr>
          <w:p w14:paraId="1EE3BD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1DAFC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90CAAC5" w14:textId="77777777" w:rsidR="00000000" w:rsidRPr="00BE00C7" w:rsidRDefault="00000000" w:rsidP="00BE00C7">
            <w:pPr>
              <w:pStyle w:val="OutcomeDescription"/>
              <w:spacing w:before="120" w:after="120"/>
              <w:rPr>
                <w:rFonts w:cs="Arial"/>
                <w:lang w:eastAsia="en-NZ"/>
              </w:rPr>
            </w:pPr>
          </w:p>
        </w:tc>
        <w:tc>
          <w:tcPr>
            <w:tcW w:w="0" w:type="auto"/>
          </w:tcPr>
          <w:p w14:paraId="260041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40D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and patients in accordance with their wishes.</w:t>
            </w:r>
          </w:p>
          <w:p w14:paraId="4C165B1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 patient, and whānau interviewed reported being made aware of the Code and the Nationwide Health and Disability Advocacy Service (Advocacy Service) and were provided with opportunities to discuss and clarify their rights.</w:t>
            </w:r>
          </w:p>
          <w:p w14:paraId="10B048F6" w14:textId="77777777" w:rsidR="00000000" w:rsidRPr="00BE00C7" w:rsidRDefault="00000000" w:rsidP="00BE00C7">
            <w:pPr>
              <w:pStyle w:val="OutcomeDescription"/>
              <w:spacing w:before="120" w:after="120"/>
              <w:rPr>
                <w:rFonts w:cs="Arial"/>
                <w:lang w:eastAsia="en-NZ"/>
              </w:rPr>
            </w:pPr>
          </w:p>
        </w:tc>
      </w:tr>
      <w:tr w:rsidR="00C96BEF" w14:paraId="0085A5DF" w14:textId="77777777">
        <w:tc>
          <w:tcPr>
            <w:tcW w:w="0" w:type="auto"/>
          </w:tcPr>
          <w:p w14:paraId="4F0529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40E6D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889C5FF" w14:textId="77777777" w:rsidR="00000000" w:rsidRPr="00BE00C7" w:rsidRDefault="00000000" w:rsidP="00BE00C7">
            <w:pPr>
              <w:pStyle w:val="OutcomeDescription"/>
              <w:spacing w:before="120" w:after="120"/>
              <w:rPr>
                <w:rFonts w:cs="Arial"/>
                <w:lang w:eastAsia="en-NZ"/>
              </w:rPr>
            </w:pPr>
          </w:p>
        </w:tc>
        <w:tc>
          <w:tcPr>
            <w:tcW w:w="0" w:type="auto"/>
          </w:tcPr>
          <w:p w14:paraId="287D8C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8C5A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patients receive services free from discrimination, coercion, harassment, exploitation, abuse, and neglect, supported by policies and staff education. There were no examples identified during the audit through staff, resident, patient or whānau interviews, or in documentation reviewed. </w:t>
            </w:r>
          </w:p>
          <w:p w14:paraId="6A84D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staff code of conduct in place that was known to staff, and professional boundaries were maintained.</w:t>
            </w:r>
          </w:p>
          <w:p w14:paraId="04C3EAD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patients reported that their property and finances were respected.</w:t>
            </w:r>
          </w:p>
          <w:p w14:paraId="6B143016" w14:textId="77777777" w:rsidR="00000000" w:rsidRPr="00BE00C7" w:rsidRDefault="00000000" w:rsidP="00BE00C7">
            <w:pPr>
              <w:pStyle w:val="OutcomeDescription"/>
              <w:spacing w:before="120" w:after="120"/>
              <w:rPr>
                <w:rFonts w:cs="Arial"/>
                <w:lang w:eastAsia="en-NZ"/>
              </w:rPr>
            </w:pPr>
          </w:p>
        </w:tc>
      </w:tr>
      <w:tr w:rsidR="00C96BEF" w14:paraId="582ABC7E" w14:textId="77777777">
        <w:tc>
          <w:tcPr>
            <w:tcW w:w="0" w:type="auto"/>
          </w:tcPr>
          <w:p w14:paraId="223902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01FD6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78118B" w14:textId="77777777" w:rsidR="00000000" w:rsidRPr="00BE00C7" w:rsidRDefault="00000000" w:rsidP="00BE00C7">
            <w:pPr>
              <w:pStyle w:val="OutcomeDescription"/>
              <w:spacing w:before="120" w:after="120"/>
              <w:rPr>
                <w:rFonts w:cs="Arial"/>
                <w:lang w:eastAsia="en-NZ"/>
              </w:rPr>
            </w:pPr>
          </w:p>
        </w:tc>
        <w:tc>
          <w:tcPr>
            <w:tcW w:w="0" w:type="auto"/>
          </w:tcPr>
          <w:p w14:paraId="7945E9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2B6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patients and/or their legal representative are provided with the information necessary to make informed decisions in line with the Code. Those interviewed, and where appropriate their whānau, felt empowered to actively participate in decision-making. </w:t>
            </w:r>
          </w:p>
          <w:p w14:paraId="3E6C2C84"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the establishment and documentation of Enduring Power of Attorney (EPOA) requirements, and processes for residents unable to consent were recorded, as relevant, in the resident’s file.</w:t>
            </w:r>
          </w:p>
          <w:p w14:paraId="56F499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staff interviewed understood the principles and practice of </w:t>
            </w:r>
            <w:r w:rsidRPr="00BE00C7">
              <w:rPr>
                <w:rFonts w:cs="Arial"/>
                <w:lang w:eastAsia="en-NZ"/>
              </w:rPr>
              <w:lastRenderedPageBreak/>
              <w:t xml:space="preserve">informed consent, supported by policies in accordance with the Code.  </w:t>
            </w:r>
          </w:p>
          <w:p w14:paraId="00B26DCB" w14:textId="77777777" w:rsidR="00000000" w:rsidRPr="00BE00C7" w:rsidRDefault="00000000" w:rsidP="00BE00C7">
            <w:pPr>
              <w:pStyle w:val="OutcomeDescription"/>
              <w:spacing w:before="120" w:after="120"/>
              <w:rPr>
                <w:rFonts w:cs="Arial"/>
                <w:lang w:eastAsia="en-NZ"/>
              </w:rPr>
            </w:pPr>
          </w:p>
        </w:tc>
      </w:tr>
      <w:tr w:rsidR="00C96BEF" w14:paraId="4B0A27BF" w14:textId="77777777">
        <w:tc>
          <w:tcPr>
            <w:tcW w:w="0" w:type="auto"/>
          </w:tcPr>
          <w:p w14:paraId="7A8E0D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695E5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FA0048F" w14:textId="77777777" w:rsidR="00000000" w:rsidRPr="00BE00C7" w:rsidRDefault="00000000" w:rsidP="00BE00C7">
            <w:pPr>
              <w:pStyle w:val="OutcomeDescription"/>
              <w:spacing w:before="120" w:after="120"/>
              <w:rPr>
                <w:rFonts w:cs="Arial"/>
                <w:lang w:eastAsia="en-NZ"/>
              </w:rPr>
            </w:pPr>
          </w:p>
        </w:tc>
        <w:tc>
          <w:tcPr>
            <w:tcW w:w="0" w:type="auto"/>
          </w:tcPr>
          <w:p w14:paraId="28DBC1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79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met the requirements of the Code. Residents, patients and whānau understood their right to make a complaint and knew how to do so. </w:t>
            </w:r>
          </w:p>
          <w:p w14:paraId="00562648"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sighted showed that five complaints had been received by the service over the past year: three related to the primary care practice, one to aged residential care, and one concerning staff. A review of the processes used to manage these complaints showed that complaints were managed well, including acknowledgment of the complaint and complainants being informed of findings following investigation.</w:t>
            </w:r>
          </w:p>
          <w:p w14:paraId="04073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assured the process worked equitably for Māori by having a copy of the Code available in te reo Māori and using their established connections with Ōnuku Marae to provide cultural support and guidance, as required. </w:t>
            </w:r>
          </w:p>
          <w:p w14:paraId="23A5FD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31F2CF5E" w14:textId="77777777" w:rsidR="00000000" w:rsidRPr="00BE00C7" w:rsidRDefault="00000000" w:rsidP="00BE00C7">
            <w:pPr>
              <w:pStyle w:val="OutcomeDescription"/>
              <w:spacing w:before="120" w:after="120"/>
              <w:rPr>
                <w:rFonts w:cs="Arial"/>
                <w:lang w:eastAsia="en-NZ"/>
              </w:rPr>
            </w:pPr>
          </w:p>
        </w:tc>
      </w:tr>
      <w:tr w:rsidR="00C96BEF" w14:paraId="4FBAD399" w14:textId="77777777">
        <w:tc>
          <w:tcPr>
            <w:tcW w:w="0" w:type="auto"/>
          </w:tcPr>
          <w:p w14:paraId="5FA39D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2D91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w:t>
            </w:r>
            <w:r w:rsidRPr="00BE00C7">
              <w:rPr>
                <w:rFonts w:cs="Arial"/>
                <w:lang w:eastAsia="en-NZ"/>
              </w:rPr>
              <w:lastRenderedPageBreak/>
              <w:t>sensitive to the cultural diversity of communities we serve.</w:t>
            </w:r>
          </w:p>
          <w:p w14:paraId="7CA9077A" w14:textId="77777777" w:rsidR="00000000" w:rsidRPr="00BE00C7" w:rsidRDefault="00000000" w:rsidP="00BE00C7">
            <w:pPr>
              <w:pStyle w:val="OutcomeDescription"/>
              <w:spacing w:before="120" w:after="120"/>
              <w:rPr>
                <w:rFonts w:cs="Arial"/>
                <w:lang w:eastAsia="en-NZ"/>
              </w:rPr>
            </w:pPr>
          </w:p>
        </w:tc>
        <w:tc>
          <w:tcPr>
            <w:tcW w:w="0" w:type="auto"/>
          </w:tcPr>
          <w:p w14:paraId="7B90E1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1D9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0A0A00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 commitment to the quality and risk </w:t>
            </w:r>
            <w:r w:rsidRPr="00BE00C7">
              <w:rPr>
                <w:rFonts w:cs="Arial"/>
                <w:lang w:eastAsia="en-NZ"/>
              </w:rPr>
              <w:lastRenderedPageBreak/>
              <w:t xml:space="preserve">management system was evident. Members of the governance group interviewed felt well informed on progress and risks. This was confirmed in a sample of reports to the board of directors. </w:t>
            </w:r>
          </w:p>
          <w:p w14:paraId="3CD115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is appropriate to the size and complexity of the organisation and includes board, management, nursing, medical and cultural representatives. The clinical governance group (CGG) meets every two to three months to monitor patient and resident safety, as well as clinical indicators and measures. Reporting from the CGG is provided through meeting minutes to the board, and to staff via the general manager’s weekly email update.</w:t>
            </w:r>
          </w:p>
          <w:p w14:paraId="3C44F6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held contracts with Health New Zealand – Te Whatu Ora Waitaha Canterbury to provide rest home and hospital services, including respite care under the age-related residential care agreement. At the time of audit, three residents were receiving hospital-level care services and five rest home care under the age-related residential care agreement funded under Te Whatu Ora Waitaha. One person was receiving short-term care (following discharge from the district hospital) in one of the four flexi beds, which are funded via the Waitaha Primary Health Organisation and support the general practice that operates from the same building as the care facility. These beds may be used, for example, for respite care, post-operative care, acute/observation patients, and palliative care patients.</w:t>
            </w:r>
          </w:p>
          <w:p w14:paraId="3CA98E09" w14:textId="77777777" w:rsidR="00000000" w:rsidRPr="00BE00C7" w:rsidRDefault="00000000" w:rsidP="00BE00C7">
            <w:pPr>
              <w:pStyle w:val="OutcomeDescription"/>
              <w:spacing w:before="120" w:after="120"/>
              <w:rPr>
                <w:rFonts w:cs="Arial"/>
                <w:lang w:eastAsia="en-NZ"/>
              </w:rPr>
            </w:pPr>
          </w:p>
        </w:tc>
      </w:tr>
      <w:tr w:rsidR="00C96BEF" w14:paraId="3D240F2D" w14:textId="77777777">
        <w:tc>
          <w:tcPr>
            <w:tcW w:w="0" w:type="auto"/>
          </w:tcPr>
          <w:p w14:paraId="4D5476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5C08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1C0E589" w14:textId="77777777" w:rsidR="00000000" w:rsidRPr="00BE00C7" w:rsidRDefault="00000000" w:rsidP="00BE00C7">
            <w:pPr>
              <w:pStyle w:val="OutcomeDescription"/>
              <w:spacing w:before="120" w:after="120"/>
              <w:rPr>
                <w:rFonts w:cs="Arial"/>
                <w:lang w:eastAsia="en-NZ"/>
              </w:rPr>
            </w:pPr>
          </w:p>
        </w:tc>
        <w:tc>
          <w:tcPr>
            <w:tcW w:w="0" w:type="auto"/>
          </w:tcPr>
          <w:p w14:paraId="50328A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ED4AD4" w14:textId="77777777" w:rsidR="00000000" w:rsidRPr="00BE00C7" w:rsidRDefault="00000000" w:rsidP="00BE00C7">
            <w:pPr>
              <w:pStyle w:val="OutcomeDescription"/>
              <w:spacing w:before="120" w:after="120"/>
              <w:rPr>
                <w:rFonts w:cs="Arial"/>
                <w:lang w:eastAsia="en-NZ"/>
              </w:rPr>
            </w:pPr>
            <w:r w:rsidRPr="00BE00C7">
              <w:rPr>
                <w:rFonts w:cs="Arial"/>
                <w:lang w:eastAsia="en-NZ"/>
              </w:rPr>
              <w:t>Akaroa Health used an electronic quality and risk management system that reflected the principles of continuous quality improvement. This included the management of incidents and complaints, audit activities, a regular patient satisfaction survey, monitoring of outcomes, policies and procedures, and clinical incidents including infections, falls and pressure ulcers.</w:t>
            </w:r>
          </w:p>
          <w:p w14:paraId="535C819A"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1EE4E1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4DBC8A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described the processes for the identification, documentation, monitoring, review and reporting of risks, including health </w:t>
            </w:r>
            <w:r w:rsidRPr="00BE00C7">
              <w:rPr>
                <w:rFonts w:cs="Arial"/>
                <w:lang w:eastAsia="en-NZ"/>
              </w:rPr>
              <w:lastRenderedPageBreak/>
              <w:t xml:space="preserve">and safety risks, and development of mitigation strategies. A review of the risk register showed that it was comprehensive and was being frequently reviewed and updated and reported through to the board. </w:t>
            </w:r>
          </w:p>
          <w:p w14:paraId="5522F9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The general manager understood and has complied with essential notification reporting requirements. </w:t>
            </w:r>
          </w:p>
          <w:p w14:paraId="39DA08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police investigations, coroner’s inquests or issues-based audits since the previous audit.</w:t>
            </w:r>
          </w:p>
          <w:p w14:paraId="7C78B0D0" w14:textId="77777777" w:rsidR="00000000" w:rsidRPr="00BE00C7" w:rsidRDefault="00000000" w:rsidP="00BE00C7">
            <w:pPr>
              <w:pStyle w:val="OutcomeDescription"/>
              <w:spacing w:before="120" w:after="120"/>
              <w:rPr>
                <w:rFonts w:cs="Arial"/>
                <w:lang w:eastAsia="en-NZ"/>
              </w:rPr>
            </w:pPr>
          </w:p>
        </w:tc>
      </w:tr>
      <w:tr w:rsidR="00C96BEF" w14:paraId="283B0D60" w14:textId="77777777">
        <w:tc>
          <w:tcPr>
            <w:tcW w:w="0" w:type="auto"/>
          </w:tcPr>
          <w:p w14:paraId="2B6715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CB77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450AE42" w14:textId="77777777" w:rsidR="00000000" w:rsidRPr="00BE00C7" w:rsidRDefault="00000000" w:rsidP="00BE00C7">
            <w:pPr>
              <w:pStyle w:val="OutcomeDescription"/>
              <w:spacing w:before="120" w:after="120"/>
              <w:rPr>
                <w:rFonts w:cs="Arial"/>
                <w:lang w:eastAsia="en-NZ"/>
              </w:rPr>
            </w:pPr>
          </w:p>
        </w:tc>
        <w:tc>
          <w:tcPr>
            <w:tcW w:w="0" w:type="auto"/>
          </w:tcPr>
          <w:p w14:paraId="7639CF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EA8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and patients. A multidisciplinary team (MDT) approach ensured all aspects of service delivery were met. Those providing care reported there were adequate staff to complete the work allocated to them. Residents, patients and whānau interviewed supported this. At least one staff member on duty had a current first aid certificate and there was 24/7 RN coverage in the facility. </w:t>
            </w:r>
          </w:p>
          <w:p w14:paraId="1A852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ensured services were delivered to meet the needs of patients and residents. There were credentialing processes in place to validate qualifications and ensure practicing certificates were within scope and current.  </w:t>
            </w:r>
          </w:p>
          <w:p w14:paraId="014615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and included mandatory training requirements for staff. Training was delivered through regular planned study days, or external training providers.  Related competencies were assessed and supported equitable service delivery. Records reviewed demonstrated completion of the required training and competency assessments. Staff felt well supported with development opportunities.  </w:t>
            </w:r>
          </w:p>
          <w:p w14:paraId="78B0E3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w:t>
            </w:r>
            <w:r w:rsidRPr="00BE00C7">
              <w:rPr>
                <w:rFonts w:cs="Arial"/>
                <w:lang w:eastAsia="en-NZ"/>
              </w:rPr>
              <w:lastRenderedPageBreak/>
              <w:t>Qualification Authority education programme to meet the requirements of the provider’s agreement with Te Whatu Ora.</w:t>
            </w:r>
          </w:p>
          <w:p w14:paraId="351349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described a range of supports that were available to staff following difficult or stressful situations, including a debrief, external counselling, or taking time off work. Staff reported feeling appreciated, well supported, and safe in the workplace.</w:t>
            </w:r>
          </w:p>
          <w:p w14:paraId="3FF80094" w14:textId="77777777" w:rsidR="00000000" w:rsidRPr="00BE00C7" w:rsidRDefault="00000000" w:rsidP="00BE00C7">
            <w:pPr>
              <w:pStyle w:val="OutcomeDescription"/>
              <w:spacing w:before="120" w:after="120"/>
              <w:rPr>
                <w:rFonts w:cs="Arial"/>
                <w:lang w:eastAsia="en-NZ"/>
              </w:rPr>
            </w:pPr>
          </w:p>
        </w:tc>
      </w:tr>
      <w:tr w:rsidR="00C96BEF" w14:paraId="467C630B" w14:textId="77777777">
        <w:tc>
          <w:tcPr>
            <w:tcW w:w="0" w:type="auto"/>
          </w:tcPr>
          <w:p w14:paraId="7C7CED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F9DCE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3FA9964" w14:textId="77777777" w:rsidR="00000000" w:rsidRPr="00BE00C7" w:rsidRDefault="00000000" w:rsidP="00BE00C7">
            <w:pPr>
              <w:pStyle w:val="OutcomeDescription"/>
              <w:spacing w:before="120" w:after="120"/>
              <w:rPr>
                <w:rFonts w:cs="Arial"/>
                <w:lang w:eastAsia="en-NZ"/>
              </w:rPr>
            </w:pPr>
          </w:p>
        </w:tc>
        <w:tc>
          <w:tcPr>
            <w:tcW w:w="0" w:type="auto"/>
          </w:tcPr>
          <w:p w14:paraId="7FDB68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40C7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including evidence of qualifications and registration. A review of staff records showed that each person had a signed position description on their file. The corrective action from the previous audit relating to criterion 2.4.2 has been closed. </w:t>
            </w:r>
          </w:p>
          <w:p w14:paraId="132222C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w:t>
            </w:r>
          </w:p>
          <w:p w14:paraId="1F9C33D0" w14:textId="77777777" w:rsidR="00000000" w:rsidRPr="00BE00C7" w:rsidRDefault="00000000" w:rsidP="00BE00C7">
            <w:pPr>
              <w:pStyle w:val="OutcomeDescription"/>
              <w:spacing w:before="120" w:after="120"/>
              <w:rPr>
                <w:rFonts w:cs="Arial"/>
                <w:lang w:eastAsia="en-NZ"/>
              </w:rPr>
            </w:pPr>
          </w:p>
        </w:tc>
      </w:tr>
      <w:tr w:rsidR="00C96BEF" w14:paraId="1385B72D" w14:textId="77777777">
        <w:tc>
          <w:tcPr>
            <w:tcW w:w="0" w:type="auto"/>
          </w:tcPr>
          <w:p w14:paraId="2CF064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D4B8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A481AF" w14:textId="77777777" w:rsidR="00000000" w:rsidRPr="00BE00C7" w:rsidRDefault="00000000" w:rsidP="00BE00C7">
            <w:pPr>
              <w:pStyle w:val="OutcomeDescription"/>
              <w:spacing w:before="120" w:after="120"/>
              <w:rPr>
                <w:rFonts w:cs="Arial"/>
                <w:lang w:eastAsia="en-NZ"/>
              </w:rPr>
            </w:pPr>
          </w:p>
        </w:tc>
        <w:tc>
          <w:tcPr>
            <w:tcW w:w="0" w:type="auto"/>
          </w:tcPr>
          <w:p w14:paraId="660FFC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750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Akaroa Health is an integrated health practice that provides a range of health services from one building. These services include age-related residential care at rest home- and hospital-level care, as well as inpatient primary health care services. The multidisciplinary team works in partnership with the resident or patient and their whānau to support wellbeing and ensure continuity of care. </w:t>
            </w:r>
          </w:p>
          <w:p w14:paraId="60D7F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resident/patient files were reviewed: five age-related residential care, (three rest home- and two hospital-level care) and one primary health care inpatient file. The files evidenced that a care plan was developed by suitably qualified staff following a comprehensive assessment, including consideration of the person’s lived experience, cultural needs, values and beliefs, and which considered wider service integration, where required. Early warning signs and risks, with a focus on prevention or escalation for </w:t>
            </w:r>
            <w:r w:rsidRPr="00BE00C7">
              <w:rPr>
                <w:rFonts w:cs="Arial"/>
                <w:lang w:eastAsia="en-NZ"/>
              </w:rPr>
              <w:lastRenderedPageBreak/>
              <w:t xml:space="preserve">appropriate interventions, were recorded.  </w:t>
            </w:r>
          </w:p>
          <w:p w14:paraId="58750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Short-term care plans were developed, when necessary, and examples were sighted for infections and wound care. These were reviewed weekly or earlier if clinically indicated.  Where progress was different to that expected, changes were made to the care plan in collaboration with the resident or patient and their whānau or EPOA. Residents, patients and whānau interviewed confirmed active involvement in the process. </w:t>
            </w:r>
          </w:p>
          <w:p w14:paraId="1CA1C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medical assessment, interRAI assessments, initial care planning, long-term care planning and evaluation or review met contractual and policy requirements. This was verified by sampling residents’ and patient records, and from interviews with clinical staff, residents, a primary health care patient, and whānau. </w:t>
            </w:r>
          </w:p>
          <w:p w14:paraId="05A8FBEA" w14:textId="5AC61D53"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was interviewed and stated that the care was good, and they were contacted appropriately.</w:t>
            </w:r>
          </w:p>
          <w:p w14:paraId="66778DBF" w14:textId="77777777" w:rsidR="00000000" w:rsidRPr="00BE00C7" w:rsidRDefault="00000000" w:rsidP="008A7694">
            <w:pPr>
              <w:pStyle w:val="OutcomeDescription"/>
              <w:spacing w:before="120" w:after="120"/>
              <w:rPr>
                <w:rFonts w:cs="Arial"/>
                <w:lang w:eastAsia="en-NZ"/>
              </w:rPr>
            </w:pPr>
          </w:p>
        </w:tc>
      </w:tr>
      <w:tr w:rsidR="00C96BEF" w14:paraId="49BB92EC" w14:textId="77777777">
        <w:tc>
          <w:tcPr>
            <w:tcW w:w="0" w:type="auto"/>
          </w:tcPr>
          <w:p w14:paraId="0BD0E4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7CF9B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81B41E" w14:textId="77777777" w:rsidR="00000000" w:rsidRPr="00BE00C7" w:rsidRDefault="00000000" w:rsidP="00BE00C7">
            <w:pPr>
              <w:pStyle w:val="OutcomeDescription"/>
              <w:spacing w:before="120" w:after="120"/>
              <w:rPr>
                <w:rFonts w:cs="Arial"/>
                <w:lang w:eastAsia="en-NZ"/>
              </w:rPr>
            </w:pPr>
          </w:p>
        </w:tc>
        <w:tc>
          <w:tcPr>
            <w:tcW w:w="0" w:type="auto"/>
          </w:tcPr>
          <w:p w14:paraId="64E7AC6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6CDCC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in the aged residential care facility and the National Medication Chart (paper) in the primary health care beds was observed on the day of audit. </w:t>
            </w:r>
          </w:p>
          <w:p w14:paraId="402C1A1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safely managed and all staff who administer medicines were competent to perform the function they managed. However, the effectiveness of as-required medications was not recorded; refer criterion 3.4.3.</w:t>
            </w:r>
          </w:p>
          <w:p w14:paraId="76F247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completed. Medicines stored were within the recommended temperature range. </w:t>
            </w:r>
          </w:p>
          <w:p w14:paraId="479E098F"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Medicine-related allergies or sensitivities were recorded, and any adverse events responded to appropriately. The required three-</w:t>
            </w:r>
            <w:r w:rsidRPr="00BE00C7">
              <w:rPr>
                <w:rFonts w:cs="Arial"/>
                <w:lang w:eastAsia="en-NZ"/>
              </w:rPr>
              <w:lastRenderedPageBreak/>
              <w:t xml:space="preserve">monthly GP review was consistently recorded on the medicine chart for aged residential care residents. </w:t>
            </w:r>
          </w:p>
          <w:p w14:paraId="14E18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in the aged residential care beds. Those in place for primary health were current and complied with guidelines. </w:t>
            </w:r>
          </w:p>
          <w:p w14:paraId="2A5644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residents were self-administering medications at the time of audit. The registered nurse described how this would be safely managed should the need arise.  </w:t>
            </w:r>
          </w:p>
          <w:p w14:paraId="4A9E2490" w14:textId="77777777" w:rsidR="00000000" w:rsidRPr="00BE00C7" w:rsidRDefault="00000000" w:rsidP="00BE00C7">
            <w:pPr>
              <w:pStyle w:val="OutcomeDescription"/>
              <w:spacing w:before="120" w:after="120"/>
              <w:rPr>
                <w:rFonts w:cs="Arial"/>
                <w:lang w:eastAsia="en-NZ"/>
              </w:rPr>
            </w:pPr>
            <w:r w:rsidRPr="00BE00C7">
              <w:rPr>
                <w:rFonts w:cs="Arial"/>
                <w:lang w:eastAsia="en-NZ"/>
              </w:rPr>
              <w:t>Blood transfusions were administered, in the primary health care beds, in a safe manner, meeting legislative requirements and safe practice guidelines.</w:t>
            </w:r>
          </w:p>
          <w:p w14:paraId="2FED8F91" w14:textId="77777777" w:rsidR="00000000" w:rsidRPr="00BE00C7" w:rsidRDefault="00000000" w:rsidP="00BE00C7">
            <w:pPr>
              <w:pStyle w:val="OutcomeDescription"/>
              <w:spacing w:before="120" w:after="120"/>
              <w:rPr>
                <w:rFonts w:cs="Arial"/>
                <w:lang w:eastAsia="en-NZ"/>
              </w:rPr>
            </w:pPr>
            <w:r w:rsidRPr="00BE00C7">
              <w:rPr>
                <w:rFonts w:cs="Arial"/>
                <w:lang w:eastAsia="en-NZ"/>
              </w:rPr>
              <w:t>Plasma was not administered at Akaroa Health.</w:t>
            </w:r>
          </w:p>
          <w:p w14:paraId="47A96CB1" w14:textId="77777777" w:rsidR="00000000" w:rsidRPr="00BE00C7" w:rsidRDefault="00000000" w:rsidP="00BE00C7">
            <w:pPr>
              <w:pStyle w:val="OutcomeDescription"/>
              <w:spacing w:before="120" w:after="120"/>
              <w:rPr>
                <w:rFonts w:cs="Arial"/>
                <w:lang w:eastAsia="en-NZ"/>
              </w:rPr>
            </w:pPr>
          </w:p>
        </w:tc>
      </w:tr>
      <w:tr w:rsidR="00C96BEF" w14:paraId="0F48C54E" w14:textId="77777777">
        <w:tc>
          <w:tcPr>
            <w:tcW w:w="0" w:type="auto"/>
          </w:tcPr>
          <w:p w14:paraId="3C0052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36FD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4D4DF5D" w14:textId="77777777" w:rsidR="00000000" w:rsidRPr="00BE00C7" w:rsidRDefault="00000000" w:rsidP="00BE00C7">
            <w:pPr>
              <w:pStyle w:val="OutcomeDescription"/>
              <w:spacing w:before="120" w:after="120"/>
              <w:rPr>
                <w:rFonts w:cs="Arial"/>
                <w:lang w:eastAsia="en-NZ"/>
              </w:rPr>
            </w:pPr>
          </w:p>
        </w:tc>
        <w:tc>
          <w:tcPr>
            <w:tcW w:w="0" w:type="auto"/>
          </w:tcPr>
          <w:p w14:paraId="1589C9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0EAC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developed in line with recognised nutritional guidelines for people using the services, taking into consideration the personal food preferences, any special diets, allergies and intolerances and modified texture requirements of residents. Evidence of resident and patient satisfaction with meals was verified from resident, patient and whānau interviews. </w:t>
            </w:r>
          </w:p>
          <w:p w14:paraId="68049E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w:t>
            </w:r>
          </w:p>
          <w:p w14:paraId="14475306" w14:textId="77777777" w:rsidR="00000000" w:rsidRPr="00BE00C7" w:rsidRDefault="00000000" w:rsidP="00BE00C7">
            <w:pPr>
              <w:pStyle w:val="OutcomeDescription"/>
              <w:spacing w:before="120" w:after="120"/>
              <w:rPr>
                <w:rFonts w:cs="Arial"/>
                <w:lang w:eastAsia="en-NZ"/>
              </w:rPr>
            </w:pPr>
          </w:p>
        </w:tc>
      </w:tr>
      <w:tr w:rsidR="00C96BEF" w14:paraId="5B555F92" w14:textId="77777777">
        <w:tc>
          <w:tcPr>
            <w:tcW w:w="0" w:type="auto"/>
          </w:tcPr>
          <w:p w14:paraId="75C5F6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6957E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700FAB86" w14:textId="77777777" w:rsidR="00000000" w:rsidRPr="00BE00C7" w:rsidRDefault="00000000" w:rsidP="00BE00C7">
            <w:pPr>
              <w:pStyle w:val="OutcomeDescription"/>
              <w:spacing w:before="120" w:after="120"/>
              <w:rPr>
                <w:rFonts w:cs="Arial"/>
                <w:lang w:eastAsia="en-NZ"/>
              </w:rPr>
            </w:pPr>
          </w:p>
        </w:tc>
        <w:tc>
          <w:tcPr>
            <w:tcW w:w="0" w:type="auto"/>
          </w:tcPr>
          <w:p w14:paraId="243438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6C4EC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Akaroa Health was planned and managed safely with coordination between services and in collaboration with the resident, patient and whānau. Risks and current support needs were identified and managed.  Residents and patients interviewed were very happy with the communication from staff during transfers.</w:t>
            </w:r>
          </w:p>
          <w:p w14:paraId="1016F22D" w14:textId="77777777" w:rsidR="00000000" w:rsidRPr="00BE00C7" w:rsidRDefault="00000000" w:rsidP="00BE00C7">
            <w:pPr>
              <w:pStyle w:val="OutcomeDescription"/>
              <w:spacing w:before="120" w:after="120"/>
              <w:rPr>
                <w:rFonts w:cs="Arial"/>
                <w:lang w:eastAsia="en-NZ"/>
              </w:rPr>
            </w:pPr>
          </w:p>
        </w:tc>
      </w:tr>
      <w:tr w:rsidR="00C96BEF" w14:paraId="2292BD1D" w14:textId="77777777">
        <w:tc>
          <w:tcPr>
            <w:tcW w:w="0" w:type="auto"/>
          </w:tcPr>
          <w:p w14:paraId="75404F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F4493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D68571" w14:textId="77777777" w:rsidR="00000000" w:rsidRPr="00BE00C7" w:rsidRDefault="00000000" w:rsidP="00BE00C7">
            <w:pPr>
              <w:pStyle w:val="OutcomeDescription"/>
              <w:spacing w:before="120" w:after="120"/>
              <w:rPr>
                <w:rFonts w:cs="Arial"/>
                <w:lang w:eastAsia="en-NZ"/>
              </w:rPr>
            </w:pPr>
          </w:p>
        </w:tc>
        <w:tc>
          <w:tcPr>
            <w:tcW w:w="0" w:type="auto"/>
          </w:tcPr>
          <w:p w14:paraId="74CA29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A316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were fit for purpose, inclusive of peoples’ cultures, and complied with relevant legislation. This included a current building warrant of fitness, food control plan, and electrical and biomedical testing.  </w:t>
            </w:r>
          </w:p>
          <w:p w14:paraId="2DABD45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patients and whānau were happy with the environment, including heating and ventilation, natural light, privacy, and maintenance.</w:t>
            </w:r>
          </w:p>
          <w:p w14:paraId="33FD96E6" w14:textId="77777777" w:rsidR="00000000" w:rsidRPr="00BE00C7" w:rsidRDefault="00000000" w:rsidP="00BE00C7">
            <w:pPr>
              <w:pStyle w:val="OutcomeDescription"/>
              <w:spacing w:before="120" w:after="120"/>
              <w:rPr>
                <w:rFonts w:cs="Arial"/>
                <w:lang w:eastAsia="en-NZ"/>
              </w:rPr>
            </w:pPr>
          </w:p>
        </w:tc>
      </w:tr>
      <w:tr w:rsidR="00C96BEF" w14:paraId="4304B00E" w14:textId="77777777">
        <w:tc>
          <w:tcPr>
            <w:tcW w:w="0" w:type="auto"/>
          </w:tcPr>
          <w:p w14:paraId="726DC6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87506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C94BF2C" w14:textId="77777777" w:rsidR="00000000" w:rsidRPr="00BE00C7" w:rsidRDefault="00000000" w:rsidP="00BE00C7">
            <w:pPr>
              <w:pStyle w:val="OutcomeDescription"/>
              <w:spacing w:before="120" w:after="120"/>
              <w:rPr>
                <w:rFonts w:cs="Arial"/>
                <w:lang w:eastAsia="en-NZ"/>
              </w:rPr>
            </w:pPr>
          </w:p>
        </w:tc>
        <w:tc>
          <w:tcPr>
            <w:tcW w:w="0" w:type="auto"/>
          </w:tcPr>
          <w:p w14:paraId="3176DD1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0BA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and they had undertaken education relevant to the role. The corrective action raised under criterion 5.2.1 from the last audit is now closed.</w:t>
            </w:r>
          </w:p>
          <w:p w14:paraId="31EFE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an infection prevention and antimicrobial stewardship programme developed by those with IP expertise and linked to the quality improvement programme. However, the service was unable to evidence that this had been approved by the governing body and annual review had not occurred; refer criterion 5.2.2.</w:t>
            </w:r>
          </w:p>
          <w:p w14:paraId="5C77B2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patients and their whānau were educated about infection prevention in a manner that met their needs.</w:t>
            </w:r>
          </w:p>
          <w:p w14:paraId="76F57E8C" w14:textId="77777777" w:rsidR="00000000" w:rsidRPr="00BE00C7" w:rsidRDefault="00000000" w:rsidP="00BE00C7">
            <w:pPr>
              <w:pStyle w:val="OutcomeDescription"/>
              <w:spacing w:before="120" w:after="120"/>
              <w:rPr>
                <w:rFonts w:cs="Arial"/>
                <w:lang w:eastAsia="en-NZ"/>
              </w:rPr>
            </w:pPr>
          </w:p>
        </w:tc>
      </w:tr>
      <w:tr w:rsidR="00C96BEF" w14:paraId="726B7D38" w14:textId="77777777">
        <w:tc>
          <w:tcPr>
            <w:tcW w:w="0" w:type="auto"/>
          </w:tcPr>
          <w:p w14:paraId="25E2D1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9990D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9E62E2" w14:textId="77777777" w:rsidR="00000000" w:rsidRPr="00BE00C7" w:rsidRDefault="00000000" w:rsidP="00BE00C7">
            <w:pPr>
              <w:pStyle w:val="OutcomeDescription"/>
              <w:spacing w:before="120" w:after="120"/>
              <w:rPr>
                <w:rFonts w:cs="Arial"/>
                <w:lang w:eastAsia="en-NZ"/>
              </w:rPr>
            </w:pPr>
          </w:p>
        </w:tc>
        <w:tc>
          <w:tcPr>
            <w:tcW w:w="0" w:type="auto"/>
          </w:tcPr>
          <w:p w14:paraId="0A4464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CBD1D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policy in place describing the surveillance of health care-associated infections (HAIs) that is appropriate to that recommended for the type of services offered and is in line with risks and priorities defined in the infection control programme. </w:t>
            </w:r>
          </w:p>
          <w:p w14:paraId="7E107F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number of infections was collated monthly. However, the data had not been analysed to identify any trends, possible causative factors, and required actions. Surveillance data sighted did not include ethnicity data; refer criterion 5.4.3.  </w:t>
            </w:r>
          </w:p>
          <w:p w14:paraId="5A019E53"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the surveillance programme were shared with staff and reported to the governing body.</w:t>
            </w:r>
          </w:p>
          <w:p w14:paraId="0B23AB33" w14:textId="77777777" w:rsidR="00000000" w:rsidRPr="00BE00C7" w:rsidRDefault="00000000" w:rsidP="00BE00C7">
            <w:pPr>
              <w:pStyle w:val="OutcomeDescription"/>
              <w:spacing w:before="120" w:after="120"/>
              <w:rPr>
                <w:rFonts w:cs="Arial"/>
                <w:lang w:eastAsia="en-NZ"/>
              </w:rPr>
            </w:pPr>
          </w:p>
        </w:tc>
      </w:tr>
      <w:tr w:rsidR="00C96BEF" w14:paraId="6F95B56D" w14:textId="77777777">
        <w:tc>
          <w:tcPr>
            <w:tcW w:w="0" w:type="auto"/>
          </w:tcPr>
          <w:p w14:paraId="20AFC8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2A40E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D33752" w14:textId="77777777" w:rsidR="00000000" w:rsidRPr="00BE00C7" w:rsidRDefault="00000000" w:rsidP="00BE00C7">
            <w:pPr>
              <w:pStyle w:val="OutcomeDescription"/>
              <w:spacing w:before="120" w:after="120"/>
              <w:rPr>
                <w:rFonts w:cs="Arial"/>
                <w:lang w:eastAsia="en-NZ"/>
              </w:rPr>
            </w:pPr>
          </w:p>
        </w:tc>
        <w:tc>
          <w:tcPr>
            <w:tcW w:w="0" w:type="auto"/>
          </w:tcPr>
          <w:p w14:paraId="53FE1B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5FD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through documented policy and regular reporting requirements. The general manager is responsible for restraint use at the operational level, and reports any restraint use through to the board, as part of their monthly board report. At the time of the audit, there was no restraint being used, and this has been the case for many years. </w:t>
            </w:r>
          </w:p>
          <w:p w14:paraId="36E29B8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and de-escalation techniques.</w:t>
            </w:r>
          </w:p>
          <w:p w14:paraId="2E759303" w14:textId="77777777" w:rsidR="00000000" w:rsidRPr="00BE00C7" w:rsidRDefault="00000000" w:rsidP="00BE00C7">
            <w:pPr>
              <w:pStyle w:val="OutcomeDescription"/>
              <w:spacing w:before="120" w:after="120"/>
              <w:rPr>
                <w:rFonts w:cs="Arial"/>
                <w:lang w:eastAsia="en-NZ"/>
              </w:rPr>
            </w:pPr>
          </w:p>
        </w:tc>
      </w:tr>
    </w:tbl>
    <w:p w14:paraId="5D5E008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A47CEB3" w14:textId="77777777" w:rsidR="00000000" w:rsidRDefault="00000000">
      <w:pPr>
        <w:pStyle w:val="Heading1"/>
        <w:rPr>
          <w:rFonts w:cs="Arial"/>
        </w:rPr>
      </w:pPr>
      <w:r>
        <w:rPr>
          <w:rFonts w:cs="Arial"/>
        </w:rPr>
        <w:lastRenderedPageBreak/>
        <w:t>Specific results for criterion where corrective actions are required</w:t>
      </w:r>
    </w:p>
    <w:p w14:paraId="2FD1B30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ACE9D5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375EA9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329"/>
        <w:gridCol w:w="4569"/>
        <w:gridCol w:w="2813"/>
        <w:gridCol w:w="2191"/>
      </w:tblGrid>
      <w:tr w:rsidR="00C96BEF" w14:paraId="6FDBEBE4" w14:textId="77777777">
        <w:tc>
          <w:tcPr>
            <w:tcW w:w="0" w:type="auto"/>
          </w:tcPr>
          <w:p w14:paraId="5DB6801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D5D0A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6CE0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CDE590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90B41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96BEF" w14:paraId="4F4FAF3F" w14:textId="77777777">
        <w:tc>
          <w:tcPr>
            <w:tcW w:w="0" w:type="auto"/>
          </w:tcPr>
          <w:p w14:paraId="62F56C5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7C4AD9D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5E94E85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A1878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nine medication charts, including both electronic and paper-based, evidenced the administration of as-required medications was recorded consistently on the medication chart. However, the effectiveness of these medications was not recorded in either medication charts or progress notes. Interview with two registered nurses confirmed this information was handed over verbally but not recorded in the residents’ records.</w:t>
            </w:r>
          </w:p>
          <w:p w14:paraId="7CD8210C" w14:textId="77777777" w:rsidR="00000000" w:rsidRPr="00BE00C7" w:rsidRDefault="00000000" w:rsidP="00BE00C7">
            <w:pPr>
              <w:pStyle w:val="OutcomeDescription"/>
              <w:spacing w:before="120" w:after="120"/>
              <w:rPr>
                <w:rFonts w:cs="Arial"/>
                <w:lang w:eastAsia="en-NZ"/>
              </w:rPr>
            </w:pPr>
          </w:p>
        </w:tc>
        <w:tc>
          <w:tcPr>
            <w:tcW w:w="0" w:type="auto"/>
          </w:tcPr>
          <w:p w14:paraId="0A78CA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as-required medication was not recorded.</w:t>
            </w:r>
          </w:p>
          <w:p w14:paraId="5701A93F" w14:textId="77777777" w:rsidR="00000000" w:rsidRPr="00BE00C7" w:rsidRDefault="00000000" w:rsidP="00BE00C7">
            <w:pPr>
              <w:pStyle w:val="OutcomeDescription"/>
              <w:spacing w:before="120" w:after="120"/>
              <w:rPr>
                <w:rFonts w:cs="Arial"/>
                <w:lang w:eastAsia="en-NZ"/>
              </w:rPr>
            </w:pPr>
          </w:p>
        </w:tc>
        <w:tc>
          <w:tcPr>
            <w:tcW w:w="0" w:type="auto"/>
          </w:tcPr>
          <w:p w14:paraId="75C6C94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effectiveness of as-required medication is recorded.</w:t>
            </w:r>
          </w:p>
          <w:p w14:paraId="66247824" w14:textId="77777777" w:rsidR="00000000" w:rsidRPr="00BE00C7" w:rsidRDefault="00000000" w:rsidP="00BE00C7">
            <w:pPr>
              <w:pStyle w:val="OutcomeDescription"/>
              <w:spacing w:before="120" w:after="120"/>
              <w:rPr>
                <w:rFonts w:cs="Arial"/>
                <w:lang w:eastAsia="en-NZ"/>
              </w:rPr>
            </w:pPr>
          </w:p>
          <w:p w14:paraId="2021E4B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96BEF" w14:paraId="614C217F" w14:textId="77777777">
        <w:tc>
          <w:tcPr>
            <w:tcW w:w="0" w:type="auto"/>
          </w:tcPr>
          <w:p w14:paraId="3F02E64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6D48AB7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r>
            <w:r w:rsidRPr="00BE00C7">
              <w:rPr>
                <w:rFonts w:cs="Arial"/>
                <w:lang w:eastAsia="en-NZ"/>
              </w:rPr>
              <w:lastRenderedPageBreak/>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17E81D74" w14:textId="77777777" w:rsidR="00000000" w:rsidRPr="00BE00C7" w:rsidRDefault="00000000" w:rsidP="00BE00C7">
            <w:pPr>
              <w:pStyle w:val="OutcomeDescription"/>
              <w:spacing w:before="120" w:after="120"/>
              <w:rPr>
                <w:rFonts w:cs="Arial"/>
                <w:lang w:eastAsia="en-NZ"/>
              </w:rPr>
            </w:pPr>
          </w:p>
        </w:tc>
        <w:tc>
          <w:tcPr>
            <w:tcW w:w="0" w:type="auto"/>
          </w:tcPr>
          <w:p w14:paraId="3EBE97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C3F1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Akaroa Health had an infection prevention and antimicrobial stewardship programme developed by those with IP expertise and linked to the quality improvement programme. However, the service was unable to evidence that this had been approved by the governing body and the </w:t>
            </w:r>
            <w:r w:rsidRPr="00BE00C7">
              <w:rPr>
                <w:rFonts w:cs="Arial"/>
                <w:lang w:eastAsia="en-NZ"/>
              </w:rPr>
              <w:lastRenderedPageBreak/>
              <w:t>programme had not been reviewed and reported on annually.</w:t>
            </w:r>
          </w:p>
          <w:p w14:paraId="6814076C" w14:textId="77777777" w:rsidR="00000000" w:rsidRPr="00BE00C7" w:rsidRDefault="00000000" w:rsidP="00BE00C7">
            <w:pPr>
              <w:pStyle w:val="OutcomeDescription"/>
              <w:spacing w:before="120" w:after="120"/>
              <w:rPr>
                <w:rFonts w:cs="Arial"/>
                <w:lang w:eastAsia="en-NZ"/>
              </w:rPr>
            </w:pPr>
          </w:p>
        </w:tc>
        <w:tc>
          <w:tcPr>
            <w:tcW w:w="0" w:type="auto"/>
          </w:tcPr>
          <w:p w14:paraId="636DB1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prevention and antimicrobial stewardship programme had not been approved by the governing body and had not been reviewed and reported on </w:t>
            </w:r>
            <w:r w:rsidRPr="00BE00C7">
              <w:rPr>
                <w:rFonts w:cs="Arial"/>
                <w:lang w:eastAsia="en-NZ"/>
              </w:rPr>
              <w:lastRenderedPageBreak/>
              <w:t>annually.</w:t>
            </w:r>
          </w:p>
          <w:p w14:paraId="02349C45" w14:textId="77777777" w:rsidR="00000000" w:rsidRPr="00BE00C7" w:rsidRDefault="00000000" w:rsidP="00BE00C7">
            <w:pPr>
              <w:pStyle w:val="OutcomeDescription"/>
              <w:spacing w:before="120" w:after="120"/>
              <w:rPr>
                <w:rFonts w:cs="Arial"/>
                <w:lang w:eastAsia="en-NZ"/>
              </w:rPr>
            </w:pPr>
          </w:p>
        </w:tc>
        <w:tc>
          <w:tcPr>
            <w:tcW w:w="0" w:type="auto"/>
          </w:tcPr>
          <w:p w14:paraId="375BBE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the IP programme is approved by the governing body and is reviewed and reported on annually.</w:t>
            </w:r>
          </w:p>
          <w:p w14:paraId="559ED6D9" w14:textId="77777777" w:rsidR="00000000" w:rsidRPr="00BE00C7" w:rsidRDefault="00000000" w:rsidP="00BE00C7">
            <w:pPr>
              <w:pStyle w:val="OutcomeDescription"/>
              <w:spacing w:before="120" w:after="120"/>
              <w:rPr>
                <w:rFonts w:cs="Arial"/>
                <w:lang w:eastAsia="en-NZ"/>
              </w:rPr>
            </w:pPr>
          </w:p>
          <w:p w14:paraId="49A530C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C96BEF" w14:paraId="27808401" w14:textId="77777777">
        <w:tc>
          <w:tcPr>
            <w:tcW w:w="0" w:type="auto"/>
          </w:tcPr>
          <w:p w14:paraId="40ADE69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6A75214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2A8B620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3BDB2A"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and analysis required are described in policy. Infections are reported using an electronic system and the number of infections was collated monthly, reported to governance and shared with staff. However, no analysis of data to identify any trends, possible causative factors, and required actions had occurred. Surveillance data sighted did not include ethnicity data.</w:t>
            </w:r>
          </w:p>
          <w:p w14:paraId="5353BE70" w14:textId="77777777" w:rsidR="00000000" w:rsidRPr="00BE00C7" w:rsidRDefault="00000000" w:rsidP="00BE00C7">
            <w:pPr>
              <w:pStyle w:val="OutcomeDescription"/>
              <w:spacing w:before="120" w:after="120"/>
              <w:rPr>
                <w:rFonts w:cs="Arial"/>
                <w:lang w:eastAsia="en-NZ"/>
              </w:rPr>
            </w:pPr>
          </w:p>
        </w:tc>
        <w:tc>
          <w:tcPr>
            <w:tcW w:w="0" w:type="auto"/>
          </w:tcPr>
          <w:p w14:paraId="4EBDA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 analysis of infection surveillance data to identify any trends, possible causative factors, and required actions had occurred. Surveillance data did not include ethnicity data.  </w:t>
            </w:r>
          </w:p>
          <w:p w14:paraId="5C1F7E6A" w14:textId="77777777" w:rsidR="00000000" w:rsidRPr="00BE00C7" w:rsidRDefault="00000000" w:rsidP="00BE00C7">
            <w:pPr>
              <w:pStyle w:val="OutcomeDescription"/>
              <w:spacing w:before="120" w:after="120"/>
              <w:rPr>
                <w:rFonts w:cs="Arial"/>
                <w:lang w:eastAsia="en-NZ"/>
              </w:rPr>
            </w:pPr>
          </w:p>
        </w:tc>
        <w:tc>
          <w:tcPr>
            <w:tcW w:w="0" w:type="auto"/>
          </w:tcPr>
          <w:p w14:paraId="3F41841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analysis of infection surveillance data occurs and that data includes ethnicity.</w:t>
            </w:r>
          </w:p>
          <w:p w14:paraId="4F747F07" w14:textId="77777777" w:rsidR="00000000" w:rsidRPr="00BE00C7" w:rsidRDefault="00000000" w:rsidP="00BE00C7">
            <w:pPr>
              <w:pStyle w:val="OutcomeDescription"/>
              <w:spacing w:before="120" w:after="120"/>
              <w:rPr>
                <w:rFonts w:cs="Arial"/>
                <w:lang w:eastAsia="en-NZ"/>
              </w:rPr>
            </w:pPr>
          </w:p>
          <w:p w14:paraId="433A1D3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854E1D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B69003F" w14:textId="77777777" w:rsidR="00000000" w:rsidRDefault="00000000">
      <w:pPr>
        <w:pStyle w:val="Heading1"/>
        <w:rPr>
          <w:rFonts w:cs="Arial"/>
        </w:rPr>
      </w:pPr>
      <w:r>
        <w:rPr>
          <w:rFonts w:cs="Arial"/>
        </w:rPr>
        <w:lastRenderedPageBreak/>
        <w:t>Specific results for criterion where a continuous improvement has been recorded</w:t>
      </w:r>
    </w:p>
    <w:p w14:paraId="463B567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D71DEE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827BB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96BEF" w14:paraId="06B6FB3A" w14:textId="77777777">
        <w:tc>
          <w:tcPr>
            <w:tcW w:w="0" w:type="auto"/>
          </w:tcPr>
          <w:p w14:paraId="5CD231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4D0974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148ED1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828F" w14:textId="77777777" w:rsidR="00EE7868" w:rsidRDefault="00EE7868">
      <w:r>
        <w:separator/>
      </w:r>
    </w:p>
  </w:endnote>
  <w:endnote w:type="continuationSeparator" w:id="0">
    <w:p w14:paraId="199D4D56" w14:textId="77777777" w:rsidR="00EE7868" w:rsidRDefault="00E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370" w14:textId="77777777" w:rsidR="00000000" w:rsidRDefault="00000000">
    <w:pPr>
      <w:pStyle w:val="Footer"/>
    </w:pPr>
  </w:p>
  <w:p w14:paraId="187E6F9B" w14:textId="77777777" w:rsidR="00000000" w:rsidRDefault="00000000"/>
  <w:p w14:paraId="458C3E76"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D1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Akaroa Health Limited - Akaroa Residential Care Centre</w:t>
    </w:r>
    <w:bookmarkEnd w:id="59"/>
    <w:r>
      <w:rPr>
        <w:rFonts w:cs="Arial"/>
        <w:sz w:val="16"/>
        <w:szCs w:val="20"/>
      </w:rPr>
      <w:tab/>
      <w:t xml:space="preserve">Date of Audit: </w:t>
    </w:r>
    <w:bookmarkStart w:id="60" w:name="AuditStartDate1"/>
    <w:r>
      <w:rPr>
        <w:rFonts w:cs="Arial"/>
        <w:sz w:val="16"/>
        <w:szCs w:val="20"/>
      </w:rPr>
      <w:t>17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F4D13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944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AF1F" w14:textId="77777777" w:rsidR="00EE7868" w:rsidRDefault="00EE7868">
      <w:r>
        <w:separator/>
      </w:r>
    </w:p>
  </w:footnote>
  <w:footnote w:type="continuationSeparator" w:id="0">
    <w:p w14:paraId="0DD0E0DD" w14:textId="77777777" w:rsidR="00EE7868" w:rsidRDefault="00E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1590" w14:textId="77777777" w:rsidR="00000000" w:rsidRDefault="00000000">
    <w:pPr>
      <w:pStyle w:val="Header"/>
    </w:pPr>
  </w:p>
  <w:p w14:paraId="15F92C8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62A2" w14:textId="77777777" w:rsidR="00000000" w:rsidRDefault="00000000">
    <w:pPr>
      <w:pStyle w:val="Header"/>
    </w:pPr>
  </w:p>
  <w:p w14:paraId="35E0CED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70F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B72FB9E">
      <w:start w:val="1"/>
      <w:numFmt w:val="decimal"/>
      <w:lvlText w:val="%1."/>
      <w:lvlJc w:val="left"/>
      <w:pPr>
        <w:ind w:left="360" w:hanging="360"/>
      </w:pPr>
    </w:lvl>
    <w:lvl w:ilvl="1" w:tplc="98929EE6" w:tentative="1">
      <w:start w:val="1"/>
      <w:numFmt w:val="lowerLetter"/>
      <w:lvlText w:val="%2."/>
      <w:lvlJc w:val="left"/>
      <w:pPr>
        <w:ind w:left="1080" w:hanging="360"/>
      </w:pPr>
    </w:lvl>
    <w:lvl w:ilvl="2" w:tplc="87BE1F06" w:tentative="1">
      <w:start w:val="1"/>
      <w:numFmt w:val="lowerRoman"/>
      <w:lvlText w:val="%3."/>
      <w:lvlJc w:val="right"/>
      <w:pPr>
        <w:ind w:left="1800" w:hanging="180"/>
      </w:pPr>
    </w:lvl>
    <w:lvl w:ilvl="3" w:tplc="7E3EB4D8" w:tentative="1">
      <w:start w:val="1"/>
      <w:numFmt w:val="decimal"/>
      <w:lvlText w:val="%4."/>
      <w:lvlJc w:val="left"/>
      <w:pPr>
        <w:ind w:left="2520" w:hanging="360"/>
      </w:pPr>
    </w:lvl>
    <w:lvl w:ilvl="4" w:tplc="631E156A" w:tentative="1">
      <w:start w:val="1"/>
      <w:numFmt w:val="lowerLetter"/>
      <w:lvlText w:val="%5."/>
      <w:lvlJc w:val="left"/>
      <w:pPr>
        <w:ind w:left="3240" w:hanging="360"/>
      </w:pPr>
    </w:lvl>
    <w:lvl w:ilvl="5" w:tplc="CC324A3C" w:tentative="1">
      <w:start w:val="1"/>
      <w:numFmt w:val="lowerRoman"/>
      <w:lvlText w:val="%6."/>
      <w:lvlJc w:val="right"/>
      <w:pPr>
        <w:ind w:left="3960" w:hanging="180"/>
      </w:pPr>
    </w:lvl>
    <w:lvl w:ilvl="6" w:tplc="4406EA14" w:tentative="1">
      <w:start w:val="1"/>
      <w:numFmt w:val="decimal"/>
      <w:lvlText w:val="%7."/>
      <w:lvlJc w:val="left"/>
      <w:pPr>
        <w:ind w:left="4680" w:hanging="360"/>
      </w:pPr>
    </w:lvl>
    <w:lvl w:ilvl="7" w:tplc="A15235E0" w:tentative="1">
      <w:start w:val="1"/>
      <w:numFmt w:val="lowerLetter"/>
      <w:lvlText w:val="%8."/>
      <w:lvlJc w:val="left"/>
      <w:pPr>
        <w:ind w:left="5400" w:hanging="360"/>
      </w:pPr>
    </w:lvl>
    <w:lvl w:ilvl="8" w:tplc="4296C8F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F188296">
      <w:start w:val="1"/>
      <w:numFmt w:val="bullet"/>
      <w:lvlText w:val=""/>
      <w:lvlJc w:val="left"/>
      <w:pPr>
        <w:ind w:left="720" w:hanging="360"/>
      </w:pPr>
      <w:rPr>
        <w:rFonts w:ascii="Symbol" w:hAnsi="Symbol" w:hint="default"/>
      </w:rPr>
    </w:lvl>
    <w:lvl w:ilvl="1" w:tplc="1436A1FC" w:tentative="1">
      <w:start w:val="1"/>
      <w:numFmt w:val="bullet"/>
      <w:lvlText w:val="o"/>
      <w:lvlJc w:val="left"/>
      <w:pPr>
        <w:ind w:left="1440" w:hanging="360"/>
      </w:pPr>
      <w:rPr>
        <w:rFonts w:ascii="Courier New" w:hAnsi="Courier New" w:cs="Courier New" w:hint="default"/>
      </w:rPr>
    </w:lvl>
    <w:lvl w:ilvl="2" w:tplc="B9602B26" w:tentative="1">
      <w:start w:val="1"/>
      <w:numFmt w:val="bullet"/>
      <w:lvlText w:val=""/>
      <w:lvlJc w:val="left"/>
      <w:pPr>
        <w:ind w:left="2160" w:hanging="360"/>
      </w:pPr>
      <w:rPr>
        <w:rFonts w:ascii="Wingdings" w:hAnsi="Wingdings" w:hint="default"/>
      </w:rPr>
    </w:lvl>
    <w:lvl w:ilvl="3" w:tplc="B066AF28" w:tentative="1">
      <w:start w:val="1"/>
      <w:numFmt w:val="bullet"/>
      <w:lvlText w:val=""/>
      <w:lvlJc w:val="left"/>
      <w:pPr>
        <w:ind w:left="2880" w:hanging="360"/>
      </w:pPr>
      <w:rPr>
        <w:rFonts w:ascii="Symbol" w:hAnsi="Symbol" w:hint="default"/>
      </w:rPr>
    </w:lvl>
    <w:lvl w:ilvl="4" w:tplc="0D98F47C" w:tentative="1">
      <w:start w:val="1"/>
      <w:numFmt w:val="bullet"/>
      <w:lvlText w:val="o"/>
      <w:lvlJc w:val="left"/>
      <w:pPr>
        <w:ind w:left="3600" w:hanging="360"/>
      </w:pPr>
      <w:rPr>
        <w:rFonts w:ascii="Courier New" w:hAnsi="Courier New" w:cs="Courier New" w:hint="default"/>
      </w:rPr>
    </w:lvl>
    <w:lvl w:ilvl="5" w:tplc="C9626E20" w:tentative="1">
      <w:start w:val="1"/>
      <w:numFmt w:val="bullet"/>
      <w:lvlText w:val=""/>
      <w:lvlJc w:val="left"/>
      <w:pPr>
        <w:ind w:left="4320" w:hanging="360"/>
      </w:pPr>
      <w:rPr>
        <w:rFonts w:ascii="Wingdings" w:hAnsi="Wingdings" w:hint="default"/>
      </w:rPr>
    </w:lvl>
    <w:lvl w:ilvl="6" w:tplc="63F4094E" w:tentative="1">
      <w:start w:val="1"/>
      <w:numFmt w:val="bullet"/>
      <w:lvlText w:val=""/>
      <w:lvlJc w:val="left"/>
      <w:pPr>
        <w:ind w:left="5040" w:hanging="360"/>
      </w:pPr>
      <w:rPr>
        <w:rFonts w:ascii="Symbol" w:hAnsi="Symbol" w:hint="default"/>
      </w:rPr>
    </w:lvl>
    <w:lvl w:ilvl="7" w:tplc="6AB879F0" w:tentative="1">
      <w:start w:val="1"/>
      <w:numFmt w:val="bullet"/>
      <w:lvlText w:val="o"/>
      <w:lvlJc w:val="left"/>
      <w:pPr>
        <w:ind w:left="5760" w:hanging="360"/>
      </w:pPr>
      <w:rPr>
        <w:rFonts w:ascii="Courier New" w:hAnsi="Courier New" w:cs="Courier New" w:hint="default"/>
      </w:rPr>
    </w:lvl>
    <w:lvl w:ilvl="8" w:tplc="64EC47E2" w:tentative="1">
      <w:start w:val="1"/>
      <w:numFmt w:val="bullet"/>
      <w:lvlText w:val=""/>
      <w:lvlJc w:val="left"/>
      <w:pPr>
        <w:ind w:left="6480" w:hanging="360"/>
      </w:pPr>
      <w:rPr>
        <w:rFonts w:ascii="Wingdings" w:hAnsi="Wingdings" w:hint="default"/>
      </w:rPr>
    </w:lvl>
  </w:abstractNum>
  <w:num w:numId="1" w16cid:durableId="1552770916">
    <w:abstractNumId w:val="1"/>
  </w:num>
  <w:num w:numId="2" w16cid:durableId="113595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6BEF"/>
    <w:rsid w:val="008A7694"/>
    <w:rsid w:val="00C96BEF"/>
    <w:rsid w:val="00EE78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D271"/>
  <w15:docId w15:val="{B48DE092-664E-45D3-9061-383A4230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6416</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2025-09-04T04:43:00Z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