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2CD3" w14:textId="77777777" w:rsidR="00000000" w:rsidRDefault="00000000">
      <w:pPr>
        <w:pStyle w:val="Heading1"/>
        <w:rPr>
          <w:rFonts w:cs="Arial"/>
        </w:rPr>
      </w:pPr>
      <w:bookmarkStart w:id="0" w:name="PRMS_RIName"/>
      <w:r>
        <w:rPr>
          <w:rFonts w:cs="Arial"/>
        </w:rPr>
        <w:t>Oceania Care Company Limited - Meadowbank Village - Care Centre</w:t>
      </w:r>
      <w:bookmarkEnd w:id="0"/>
    </w:p>
    <w:p w14:paraId="72EA8C04" w14:textId="77777777" w:rsidR="00000000" w:rsidRDefault="00000000">
      <w:pPr>
        <w:pStyle w:val="Heading2"/>
        <w:spacing w:after="0"/>
        <w:rPr>
          <w:rFonts w:cs="Arial"/>
        </w:rPr>
      </w:pPr>
      <w:r>
        <w:rPr>
          <w:rFonts w:cs="Arial"/>
        </w:rPr>
        <w:t>Introduction</w:t>
      </w:r>
    </w:p>
    <w:p w14:paraId="2B0A6EE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A4DCB6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5819B7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836FF8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0F58DD8" w14:textId="77777777" w:rsidR="00000000" w:rsidRDefault="00000000">
      <w:pPr>
        <w:spacing w:before="240" w:after="240"/>
        <w:rPr>
          <w:rFonts w:cs="Arial"/>
          <w:lang w:eastAsia="en-NZ"/>
        </w:rPr>
      </w:pPr>
      <w:r>
        <w:rPr>
          <w:rFonts w:cs="Arial"/>
          <w:lang w:eastAsia="en-NZ"/>
        </w:rPr>
        <w:t>The specifics of this audit included:</w:t>
      </w:r>
    </w:p>
    <w:p w14:paraId="174F937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2D97A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4C3C54E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Meadowbank Village - Care Centre</w:t>
      </w:r>
      <w:bookmarkEnd w:id="5"/>
    </w:p>
    <w:p w14:paraId="4192707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9F289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July 2025</w:t>
      </w:r>
      <w:bookmarkEnd w:id="7"/>
      <w:r w:rsidRPr="009418D4">
        <w:rPr>
          <w:rFonts w:cs="Arial"/>
        </w:rPr>
        <w:tab/>
        <w:t xml:space="preserve">End date: </w:t>
      </w:r>
      <w:bookmarkStart w:id="8" w:name="AuditEndDate"/>
      <w:r>
        <w:rPr>
          <w:rFonts w:cs="Arial"/>
        </w:rPr>
        <w:t>4 July 2025</w:t>
      </w:r>
      <w:bookmarkEnd w:id="8"/>
    </w:p>
    <w:p w14:paraId="5897E3D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60CD24C" w14:textId="77777777" w:rsidR="00CB2AB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64</w:t>
      </w:r>
      <w:bookmarkEnd w:id="10"/>
    </w:p>
    <w:p w14:paraId="44EC9EF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49BAFD7" w14:textId="77777777" w:rsidR="00000000" w:rsidRDefault="00000000">
      <w:pPr>
        <w:pStyle w:val="Heading1"/>
        <w:rPr>
          <w:rFonts w:cs="Arial"/>
        </w:rPr>
      </w:pPr>
      <w:r>
        <w:rPr>
          <w:rFonts w:cs="Arial"/>
        </w:rPr>
        <w:lastRenderedPageBreak/>
        <w:t>Executive summary of the audit</w:t>
      </w:r>
    </w:p>
    <w:p w14:paraId="23B5AED6" w14:textId="77777777" w:rsidR="00000000" w:rsidRDefault="00000000">
      <w:pPr>
        <w:pStyle w:val="Heading2"/>
        <w:rPr>
          <w:rFonts w:cs="Arial"/>
        </w:rPr>
      </w:pPr>
      <w:r>
        <w:rPr>
          <w:rFonts w:cs="Arial"/>
        </w:rPr>
        <w:t>Introduction</w:t>
      </w:r>
    </w:p>
    <w:p w14:paraId="0C01188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116527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065DF1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2C62F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4DDE0C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F04B82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318F70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FC87E2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99BD4F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B2AB0" w14:paraId="67747365" w14:textId="77777777">
        <w:trPr>
          <w:cantSplit/>
          <w:tblHeader/>
        </w:trPr>
        <w:tc>
          <w:tcPr>
            <w:tcW w:w="1260" w:type="dxa"/>
            <w:tcBorders>
              <w:bottom w:val="single" w:sz="4" w:space="0" w:color="000000"/>
            </w:tcBorders>
            <w:vAlign w:val="center"/>
          </w:tcPr>
          <w:p w14:paraId="5A45CFC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422E5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CF96A6B" w14:textId="77777777" w:rsidR="00000000" w:rsidRDefault="00000000">
            <w:pPr>
              <w:spacing w:before="60" w:after="60"/>
              <w:rPr>
                <w:rFonts w:eastAsia="Calibri"/>
                <w:b/>
                <w:szCs w:val="24"/>
              </w:rPr>
            </w:pPr>
            <w:r>
              <w:rPr>
                <w:rFonts w:eastAsia="Calibri"/>
                <w:b/>
                <w:szCs w:val="24"/>
              </w:rPr>
              <w:t>Definition</w:t>
            </w:r>
          </w:p>
        </w:tc>
      </w:tr>
      <w:tr w:rsidR="00CB2AB0" w14:paraId="7FC78579" w14:textId="77777777">
        <w:trPr>
          <w:cantSplit/>
          <w:trHeight w:val="964"/>
        </w:trPr>
        <w:tc>
          <w:tcPr>
            <w:tcW w:w="1260" w:type="dxa"/>
            <w:tcBorders>
              <w:bottom w:val="single" w:sz="4" w:space="0" w:color="000000"/>
            </w:tcBorders>
            <w:shd w:val="clear" w:color="0066FF" w:fill="0000FF"/>
            <w:vAlign w:val="center"/>
          </w:tcPr>
          <w:p w14:paraId="797BD27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E45105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A90CAF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B2AB0" w14:paraId="1E4A4836" w14:textId="77777777">
        <w:trPr>
          <w:cantSplit/>
          <w:trHeight w:val="964"/>
        </w:trPr>
        <w:tc>
          <w:tcPr>
            <w:tcW w:w="1260" w:type="dxa"/>
            <w:shd w:val="clear" w:color="33CC33" w:fill="00FF00"/>
            <w:vAlign w:val="center"/>
          </w:tcPr>
          <w:p w14:paraId="24587D0D" w14:textId="77777777" w:rsidR="00000000" w:rsidRDefault="00000000">
            <w:pPr>
              <w:spacing w:before="60" w:after="60"/>
              <w:rPr>
                <w:rFonts w:eastAsia="Calibri"/>
                <w:szCs w:val="24"/>
              </w:rPr>
            </w:pPr>
          </w:p>
        </w:tc>
        <w:tc>
          <w:tcPr>
            <w:tcW w:w="7095" w:type="dxa"/>
            <w:shd w:val="clear" w:color="auto" w:fill="auto"/>
            <w:vAlign w:val="center"/>
          </w:tcPr>
          <w:p w14:paraId="71C22C9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134B68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B2AB0" w14:paraId="02A6DF84" w14:textId="77777777">
        <w:trPr>
          <w:cantSplit/>
          <w:trHeight w:val="964"/>
        </w:trPr>
        <w:tc>
          <w:tcPr>
            <w:tcW w:w="1260" w:type="dxa"/>
            <w:tcBorders>
              <w:bottom w:val="single" w:sz="4" w:space="0" w:color="000000"/>
            </w:tcBorders>
            <w:shd w:val="clear" w:color="auto" w:fill="FFFF00"/>
            <w:vAlign w:val="center"/>
          </w:tcPr>
          <w:p w14:paraId="22C0EED3" w14:textId="77777777" w:rsidR="00000000" w:rsidRDefault="00000000">
            <w:pPr>
              <w:spacing w:before="60" w:after="60"/>
              <w:rPr>
                <w:rFonts w:eastAsia="Calibri"/>
                <w:szCs w:val="24"/>
              </w:rPr>
            </w:pPr>
          </w:p>
        </w:tc>
        <w:tc>
          <w:tcPr>
            <w:tcW w:w="7095" w:type="dxa"/>
            <w:shd w:val="clear" w:color="auto" w:fill="auto"/>
            <w:vAlign w:val="center"/>
          </w:tcPr>
          <w:p w14:paraId="5E96D8C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068EF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B2AB0" w14:paraId="6FBD7E21" w14:textId="77777777">
        <w:trPr>
          <w:cantSplit/>
          <w:trHeight w:val="964"/>
        </w:trPr>
        <w:tc>
          <w:tcPr>
            <w:tcW w:w="1260" w:type="dxa"/>
            <w:tcBorders>
              <w:bottom w:val="single" w:sz="4" w:space="0" w:color="000000"/>
            </w:tcBorders>
            <w:shd w:val="clear" w:color="auto" w:fill="FFC800"/>
            <w:vAlign w:val="center"/>
          </w:tcPr>
          <w:p w14:paraId="56D9794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0DBC8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A0793C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B2AB0" w14:paraId="6761CA29" w14:textId="77777777">
        <w:trPr>
          <w:cantSplit/>
          <w:trHeight w:val="964"/>
        </w:trPr>
        <w:tc>
          <w:tcPr>
            <w:tcW w:w="1260" w:type="dxa"/>
            <w:shd w:val="clear" w:color="auto" w:fill="FF0000"/>
            <w:vAlign w:val="center"/>
          </w:tcPr>
          <w:p w14:paraId="539C9858" w14:textId="77777777" w:rsidR="00000000" w:rsidRDefault="00000000">
            <w:pPr>
              <w:spacing w:before="60" w:after="60"/>
              <w:rPr>
                <w:rFonts w:eastAsia="Calibri"/>
                <w:szCs w:val="24"/>
              </w:rPr>
            </w:pPr>
          </w:p>
        </w:tc>
        <w:tc>
          <w:tcPr>
            <w:tcW w:w="7095" w:type="dxa"/>
            <w:shd w:val="clear" w:color="auto" w:fill="auto"/>
            <w:vAlign w:val="center"/>
          </w:tcPr>
          <w:p w14:paraId="398D589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E8C4C8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D957A5C" w14:textId="77777777" w:rsidR="00000000" w:rsidRDefault="00000000">
      <w:pPr>
        <w:pStyle w:val="Heading2"/>
        <w:spacing w:after="0"/>
        <w:rPr>
          <w:rFonts w:cs="Arial"/>
        </w:rPr>
      </w:pPr>
      <w:r>
        <w:rPr>
          <w:rFonts w:cs="Arial"/>
        </w:rPr>
        <w:t>General overview of the audit</w:t>
      </w:r>
    </w:p>
    <w:p w14:paraId="5A83F1BD" w14:textId="77777777" w:rsidR="00000000" w:rsidRDefault="00000000">
      <w:pPr>
        <w:spacing w:before="240" w:line="276" w:lineRule="auto"/>
        <w:rPr>
          <w:rFonts w:eastAsia="Calibri"/>
        </w:rPr>
      </w:pPr>
      <w:bookmarkStart w:id="13" w:name="GeneralOverview"/>
      <w:r w:rsidRPr="00A4268A">
        <w:rPr>
          <w:rFonts w:eastAsia="Calibri"/>
        </w:rPr>
        <w:t>Oceania Care Group – Meadowbank Village – Care Centre (Meadowbank) provides age-related residential care at hospital and rest home level in care suites for up to 84 residents. In addition to this there are twenty-one dementia care beds in the Orakei facility a new building that officially opened 4 June 2025. The total beds are 105 beds. No changes have occurred to the original facility; however, recent changes to the clinical manager (CM) role and the business and care manager (BCM) role have occurred. Both were present at audit and involved in the audit process. The CM changed roles to be the quality business partner on 23 June 2025. A new clinical manager has been appointed and was orientating to the role. The BCM has moved to the role of regional operations manager. The regional clinical quality manager has moved to the national clinical quality manager role and was also present at the audit.</w:t>
      </w:r>
    </w:p>
    <w:p w14:paraId="12DDC318" w14:textId="77777777" w:rsidR="00CB2AB0" w:rsidRPr="00A4268A" w:rsidRDefault="00000000">
      <w:pPr>
        <w:spacing w:before="240" w:line="276" w:lineRule="auto"/>
        <w:rPr>
          <w:rFonts w:eastAsia="Calibri"/>
        </w:rPr>
      </w:pPr>
      <w:r w:rsidRPr="00A4268A">
        <w:rPr>
          <w:rFonts w:eastAsia="Calibri"/>
        </w:rPr>
        <w:t xml:space="preserve">This certification audit process against the Ngā Paerewa Health and Disability Services Standard NZS 8134:2021 and the provider’s contract with Health New Zealand – Te Whatu Ora Te Toka Tumai Auckland included review of policies and procedures, review of resident and staff files, observations, and interviews with residents, family members, members of the governance group, managers, staff, and a nurse practitioner.  </w:t>
      </w:r>
    </w:p>
    <w:p w14:paraId="6092249E" w14:textId="77777777" w:rsidR="00CB2AB0" w:rsidRPr="00A4268A" w:rsidRDefault="00000000">
      <w:pPr>
        <w:spacing w:before="240" w:line="276" w:lineRule="auto"/>
        <w:rPr>
          <w:rFonts w:eastAsia="Calibri"/>
        </w:rPr>
      </w:pPr>
      <w:r w:rsidRPr="00A4268A">
        <w:rPr>
          <w:rFonts w:eastAsia="Calibri"/>
        </w:rPr>
        <w:t>There were no areas requiring improvement identified at this audit.</w:t>
      </w:r>
    </w:p>
    <w:bookmarkEnd w:id="13"/>
    <w:p w14:paraId="6193A461" w14:textId="77777777" w:rsidR="00CB2AB0" w:rsidRPr="00A4268A" w:rsidRDefault="00CB2AB0">
      <w:pPr>
        <w:spacing w:before="240" w:line="276" w:lineRule="auto"/>
        <w:rPr>
          <w:rFonts w:eastAsia="Calibri"/>
        </w:rPr>
      </w:pPr>
    </w:p>
    <w:p w14:paraId="7815F50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AB0" w14:paraId="7D88EE02" w14:textId="77777777" w:rsidTr="00A4268A">
        <w:trPr>
          <w:cantSplit/>
        </w:trPr>
        <w:tc>
          <w:tcPr>
            <w:tcW w:w="10206" w:type="dxa"/>
            <w:vAlign w:val="center"/>
          </w:tcPr>
          <w:p w14:paraId="7D66EF6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0FC249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415197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7EA4E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91FB67F" w14:textId="77777777" w:rsidR="00000000" w:rsidRDefault="00000000">
      <w:pPr>
        <w:spacing w:before="240" w:line="276" w:lineRule="auto"/>
        <w:rPr>
          <w:rFonts w:eastAsia="Calibri"/>
        </w:rPr>
      </w:pPr>
      <w:bookmarkStart w:id="16" w:name="ConsumerRights"/>
      <w:r w:rsidRPr="00A4268A">
        <w:rPr>
          <w:rFonts w:eastAsia="Calibri"/>
        </w:rPr>
        <w:t xml:space="preserve">Meadowbank Village Care Centre works collaboratively to support and encourage a Māori world view of health in service delivery. Māori were provided with equitable and effective services based on Te Tiriti o Waitangi and the principles of mana motuhake. </w:t>
      </w:r>
    </w:p>
    <w:p w14:paraId="20A8CBAE" w14:textId="77777777" w:rsidR="00CB2AB0" w:rsidRPr="00A4268A" w:rsidRDefault="00000000">
      <w:pPr>
        <w:spacing w:before="240" w:line="276" w:lineRule="auto"/>
        <w:rPr>
          <w:rFonts w:eastAsia="Calibri"/>
        </w:rPr>
      </w:pPr>
      <w:r w:rsidRPr="00A4268A">
        <w:rPr>
          <w:rFonts w:eastAsia="Calibri"/>
        </w:rPr>
        <w:t xml:space="preserve">Pacific peoples were provided with services that recognised their worldviews and were culturally safe.  </w:t>
      </w:r>
    </w:p>
    <w:p w14:paraId="069A85C4" w14:textId="77777777" w:rsidR="00CB2AB0"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710A627A" w14:textId="77777777" w:rsidR="00CB2AB0"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The one resident in the dementia service had an activated enduring power of attorney (EPOA) in place. Advance directives were followed wherever possible. </w:t>
      </w:r>
    </w:p>
    <w:p w14:paraId="3670DDF4" w14:textId="77777777" w:rsidR="00CB2AB0"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22FFA864" w14:textId="77777777" w:rsidR="00CB2AB0" w:rsidRPr="00A4268A" w:rsidRDefault="00CB2AB0">
      <w:pPr>
        <w:spacing w:before="240" w:line="276" w:lineRule="auto"/>
        <w:rPr>
          <w:rFonts w:eastAsia="Calibri"/>
        </w:rPr>
      </w:pPr>
    </w:p>
    <w:p w14:paraId="44EBDA7F"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AB0" w14:paraId="695EC3B8" w14:textId="77777777" w:rsidTr="00A4268A">
        <w:trPr>
          <w:cantSplit/>
        </w:trPr>
        <w:tc>
          <w:tcPr>
            <w:tcW w:w="10206" w:type="dxa"/>
            <w:vAlign w:val="center"/>
          </w:tcPr>
          <w:p w14:paraId="272A0FA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3A676F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2FD08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387688B"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included supporting meaningful inclusion of Māori in governance groups, honouring Te Tiriti and reducing barriers to improve outcomes for Māori and people with disabilities.</w:t>
      </w:r>
    </w:p>
    <w:p w14:paraId="2CC2A29F" w14:textId="77777777" w:rsidR="00CB2AB0" w:rsidRPr="00A4268A" w:rsidRDefault="00000000">
      <w:pPr>
        <w:spacing w:before="240" w:line="276" w:lineRule="auto"/>
        <w:rPr>
          <w:rFonts w:eastAsia="Calibri"/>
        </w:rPr>
      </w:pPr>
      <w:r w:rsidRPr="00A4268A">
        <w:rPr>
          <w:rFonts w:eastAsia="Calibri"/>
        </w:rPr>
        <w:t xml:space="preserve">Planning ensured the purpose, values, direction, scope and goals for the organisation were defined. Performance was monitored and reviewed at planned intervals.  </w:t>
      </w:r>
    </w:p>
    <w:p w14:paraId="41E566A2" w14:textId="77777777" w:rsidR="00CB2AB0"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Residents and whānau provided regular feedback and staff were involved in quality activities.  An integrated approach included collection and analysis of quality improvement data, identified trends and led to improvements. Actual and potential risks were identified and mitigated.  </w:t>
      </w:r>
    </w:p>
    <w:p w14:paraId="189F2986" w14:textId="77777777" w:rsidR="00CB2AB0"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2D08B6E6" w14:textId="77777777" w:rsidR="00CB2AB0"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equitable service delivery. </w:t>
      </w:r>
    </w:p>
    <w:p w14:paraId="425D5864" w14:textId="77777777" w:rsidR="00CB2AB0"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1214CF12" w14:textId="77777777" w:rsidR="00CB2AB0" w:rsidRPr="00A4268A" w:rsidRDefault="00CB2AB0">
      <w:pPr>
        <w:spacing w:before="240" w:line="276" w:lineRule="auto"/>
        <w:rPr>
          <w:rFonts w:eastAsia="Calibri"/>
        </w:rPr>
      </w:pPr>
    </w:p>
    <w:p w14:paraId="435897BE"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AB0" w14:paraId="530B89B1" w14:textId="77777777" w:rsidTr="00A4268A">
        <w:trPr>
          <w:cantSplit/>
        </w:trPr>
        <w:tc>
          <w:tcPr>
            <w:tcW w:w="10206" w:type="dxa"/>
            <w:vAlign w:val="center"/>
          </w:tcPr>
          <w:p w14:paraId="38C2225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AAB9CE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AE053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CAE1C7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provided to the potential resident and whānau.  </w:t>
      </w:r>
    </w:p>
    <w:p w14:paraId="3E8636C1" w14:textId="77777777" w:rsidR="00CB2AB0" w:rsidRPr="00A4268A" w:rsidRDefault="00000000" w:rsidP="00621629">
      <w:pPr>
        <w:spacing w:before="240" w:line="276" w:lineRule="auto"/>
        <w:rPr>
          <w:rFonts w:eastAsia="Calibri"/>
        </w:rPr>
      </w:pPr>
      <w:r w:rsidRPr="00A4268A">
        <w:rPr>
          <w:rFonts w:eastAsia="Calibri"/>
        </w:rPr>
        <w:t xml:space="preserve">The service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3DEF4EF9" w14:textId="77777777" w:rsidR="00CB2AB0"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participated in meaningful community and social activities suitable to their age and stage of life.</w:t>
      </w:r>
    </w:p>
    <w:p w14:paraId="20B57D87" w14:textId="77777777" w:rsidR="00CB2AB0"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6D9D5A10" w14:textId="77777777" w:rsidR="00CB2AB0"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48951697" w14:textId="77777777" w:rsidR="00CB2AB0"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1A908596" w14:textId="77777777" w:rsidR="00CB2AB0" w:rsidRPr="00A4268A" w:rsidRDefault="00CB2AB0" w:rsidP="00621629">
      <w:pPr>
        <w:spacing w:before="240" w:line="276" w:lineRule="auto"/>
        <w:rPr>
          <w:rFonts w:eastAsia="Calibri"/>
        </w:rPr>
      </w:pPr>
    </w:p>
    <w:p w14:paraId="3561801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AB0" w14:paraId="6D6F5DB3" w14:textId="77777777" w:rsidTr="00A4268A">
        <w:trPr>
          <w:cantSplit/>
        </w:trPr>
        <w:tc>
          <w:tcPr>
            <w:tcW w:w="10206" w:type="dxa"/>
            <w:vAlign w:val="center"/>
          </w:tcPr>
          <w:p w14:paraId="787BDFD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34689F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427297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46A8C31"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well maintained. There was a current building warrant of fitness displayed in the main building.  The new building ‘Orakei’ had a current certificate of public use displayed. Electrical equipment was tested as required. External areas are accessible, safe, and provide shade and seating, and meet the needs of people with disabilities. </w:t>
      </w:r>
    </w:p>
    <w:p w14:paraId="669130DB" w14:textId="77777777" w:rsidR="00CB2AB0"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6B0C2177" w14:textId="77777777" w:rsidR="00CB2AB0" w:rsidRPr="00A4268A" w:rsidRDefault="00CB2AB0">
      <w:pPr>
        <w:spacing w:before="240" w:line="276" w:lineRule="auto"/>
        <w:rPr>
          <w:rFonts w:eastAsia="Calibri"/>
        </w:rPr>
      </w:pPr>
    </w:p>
    <w:p w14:paraId="4B6CBF4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AB0" w14:paraId="4CABB60F" w14:textId="77777777" w:rsidTr="00A4268A">
        <w:trPr>
          <w:cantSplit/>
        </w:trPr>
        <w:tc>
          <w:tcPr>
            <w:tcW w:w="10206" w:type="dxa"/>
            <w:vAlign w:val="center"/>
          </w:tcPr>
          <w:p w14:paraId="25F1DF2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0BB4E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2745C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274391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were appropriate to the size and complexity of the service.  An experienced and trained infection control coordinator led the programme. </w:t>
      </w:r>
    </w:p>
    <w:p w14:paraId="6FBEE073" w14:textId="77777777" w:rsidR="00CB2AB0" w:rsidRPr="00A4268A" w:rsidRDefault="00000000">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08B58581" w14:textId="77777777" w:rsidR="00CB2AB0"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 response plan.</w:t>
      </w:r>
    </w:p>
    <w:p w14:paraId="36CF64BB" w14:textId="77777777" w:rsidR="00CB2AB0" w:rsidRPr="00A4268A" w:rsidRDefault="00000000">
      <w:pPr>
        <w:spacing w:before="240" w:line="276" w:lineRule="auto"/>
        <w:rPr>
          <w:rFonts w:eastAsia="Calibri"/>
        </w:rPr>
      </w:pPr>
      <w:r w:rsidRPr="00A4268A">
        <w:rPr>
          <w:rFonts w:eastAsia="Calibri"/>
        </w:rPr>
        <w:lastRenderedPageBreak/>
        <w:t>The service promoted responsible prescribing of antimicrobials.  Infection surveillance was undertaken, with follow-up action taken as required.</w:t>
      </w:r>
    </w:p>
    <w:p w14:paraId="4D581C9F" w14:textId="77777777" w:rsidR="00CB2AB0"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in all areas of service delivery.  There were safe and effective laundry and cleaning services.</w:t>
      </w:r>
    </w:p>
    <w:bookmarkEnd w:id="28"/>
    <w:p w14:paraId="484ECC90" w14:textId="77777777" w:rsidR="00CB2AB0" w:rsidRPr="00A4268A" w:rsidRDefault="00CB2AB0">
      <w:pPr>
        <w:spacing w:before="240" w:line="276" w:lineRule="auto"/>
        <w:rPr>
          <w:rFonts w:eastAsia="Calibri"/>
        </w:rPr>
      </w:pPr>
    </w:p>
    <w:p w14:paraId="120A911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AB0" w14:paraId="015306DC" w14:textId="77777777" w:rsidTr="00A4268A">
        <w:trPr>
          <w:cantSplit/>
        </w:trPr>
        <w:tc>
          <w:tcPr>
            <w:tcW w:w="10206" w:type="dxa"/>
            <w:vAlign w:val="center"/>
          </w:tcPr>
          <w:p w14:paraId="3A6E1F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DC7485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12E893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93ACD68"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was one resident using a restraint at the time of audit.  </w:t>
      </w:r>
    </w:p>
    <w:p w14:paraId="0FE7046C" w14:textId="77777777" w:rsidR="00CB2AB0"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occurred for any restraint used.  Staff demonstrated a sound knowledge and understanding of providing the least restrictive practice, de-escalation techniques and alternative interventions.  </w:t>
      </w:r>
    </w:p>
    <w:bookmarkEnd w:id="31"/>
    <w:p w14:paraId="2CA168EB" w14:textId="77777777" w:rsidR="00CB2AB0" w:rsidRPr="00A4268A" w:rsidRDefault="00CB2AB0">
      <w:pPr>
        <w:spacing w:before="240" w:line="276" w:lineRule="auto"/>
        <w:rPr>
          <w:rFonts w:eastAsia="Calibri"/>
        </w:rPr>
      </w:pPr>
    </w:p>
    <w:p w14:paraId="4742D65D" w14:textId="77777777" w:rsidR="00000000" w:rsidRDefault="00000000" w:rsidP="000E6E02">
      <w:pPr>
        <w:pStyle w:val="Heading2"/>
        <w:spacing w:before="0"/>
        <w:rPr>
          <w:rFonts w:cs="Arial"/>
        </w:rPr>
      </w:pPr>
      <w:r>
        <w:rPr>
          <w:rFonts w:cs="Arial"/>
        </w:rPr>
        <w:lastRenderedPageBreak/>
        <w:t>Summary of attainment</w:t>
      </w:r>
    </w:p>
    <w:p w14:paraId="6A26833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B2AB0" w14:paraId="3D4ED4F7" w14:textId="77777777">
        <w:tc>
          <w:tcPr>
            <w:tcW w:w="1384" w:type="dxa"/>
            <w:vAlign w:val="center"/>
          </w:tcPr>
          <w:p w14:paraId="62843E6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65BC1F4" w14:textId="77777777" w:rsidR="00000000" w:rsidRDefault="00000000">
            <w:pPr>
              <w:keepNext/>
              <w:spacing w:before="60" w:after="60"/>
              <w:jc w:val="center"/>
              <w:rPr>
                <w:rFonts w:cs="Arial"/>
                <w:b/>
                <w:sz w:val="20"/>
                <w:szCs w:val="20"/>
              </w:rPr>
            </w:pPr>
            <w:r>
              <w:rPr>
                <w:rFonts w:cs="Arial"/>
                <w:b/>
                <w:sz w:val="20"/>
                <w:szCs w:val="20"/>
              </w:rPr>
              <w:t>Continuous Improvement</w:t>
            </w:r>
          </w:p>
          <w:p w14:paraId="092C65C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748C58E" w14:textId="77777777" w:rsidR="00000000" w:rsidRDefault="00000000">
            <w:pPr>
              <w:keepNext/>
              <w:spacing w:before="60" w:after="60"/>
              <w:jc w:val="center"/>
              <w:rPr>
                <w:rFonts w:cs="Arial"/>
                <w:b/>
                <w:sz w:val="20"/>
                <w:szCs w:val="20"/>
              </w:rPr>
            </w:pPr>
            <w:r>
              <w:rPr>
                <w:rFonts w:cs="Arial"/>
                <w:b/>
                <w:sz w:val="20"/>
                <w:szCs w:val="20"/>
              </w:rPr>
              <w:t>Fully Attained</w:t>
            </w:r>
          </w:p>
          <w:p w14:paraId="0DCF98A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01FFDC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656D31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EC1A0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BB04D9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59EB1F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41F1FF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919ED2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2AC6B8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BA5086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53F6D3F" w14:textId="77777777" w:rsidR="00000000" w:rsidRDefault="00000000">
            <w:pPr>
              <w:keepNext/>
              <w:spacing w:before="60" w:after="60"/>
              <w:jc w:val="center"/>
              <w:rPr>
                <w:rFonts w:cs="Arial"/>
                <w:b/>
                <w:sz w:val="20"/>
                <w:szCs w:val="20"/>
              </w:rPr>
            </w:pPr>
            <w:r>
              <w:rPr>
                <w:rFonts w:cs="Arial"/>
                <w:b/>
                <w:sz w:val="20"/>
                <w:szCs w:val="20"/>
              </w:rPr>
              <w:t>(PA Critical)</w:t>
            </w:r>
          </w:p>
        </w:tc>
      </w:tr>
      <w:tr w:rsidR="00CB2AB0" w14:paraId="5B339CD7" w14:textId="77777777">
        <w:tc>
          <w:tcPr>
            <w:tcW w:w="1384" w:type="dxa"/>
            <w:vAlign w:val="center"/>
          </w:tcPr>
          <w:p w14:paraId="144CE1B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7C2F7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35464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15D653D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5BE3A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23886F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D9F2FD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EFA163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B2AB0" w14:paraId="565B49B5" w14:textId="77777777">
        <w:tc>
          <w:tcPr>
            <w:tcW w:w="1384" w:type="dxa"/>
            <w:vAlign w:val="center"/>
          </w:tcPr>
          <w:p w14:paraId="6614C1F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562F79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0C1AFF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2188EC4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CDD2D3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C1BAE7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D01F95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C8686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727875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B2AB0" w14:paraId="64610C2D" w14:textId="77777777">
        <w:tc>
          <w:tcPr>
            <w:tcW w:w="1384" w:type="dxa"/>
            <w:vAlign w:val="center"/>
          </w:tcPr>
          <w:p w14:paraId="1280AFC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DE38F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E021C4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2043F0A" w14:textId="77777777" w:rsidR="00000000" w:rsidRDefault="00000000">
            <w:pPr>
              <w:keepNext/>
              <w:spacing w:before="60" w:after="60"/>
              <w:jc w:val="center"/>
              <w:rPr>
                <w:rFonts w:cs="Arial"/>
                <w:b/>
                <w:sz w:val="20"/>
                <w:szCs w:val="20"/>
              </w:rPr>
            </w:pPr>
            <w:r>
              <w:rPr>
                <w:rFonts w:cs="Arial"/>
                <w:b/>
                <w:sz w:val="20"/>
                <w:szCs w:val="20"/>
              </w:rPr>
              <w:t>Unattained Low Risk</w:t>
            </w:r>
          </w:p>
          <w:p w14:paraId="37F33BA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944210E" w14:textId="77777777" w:rsidR="00000000" w:rsidRDefault="00000000">
            <w:pPr>
              <w:keepNext/>
              <w:spacing w:before="60" w:after="60"/>
              <w:jc w:val="center"/>
              <w:rPr>
                <w:rFonts w:cs="Arial"/>
                <w:b/>
                <w:sz w:val="20"/>
                <w:szCs w:val="20"/>
              </w:rPr>
            </w:pPr>
            <w:r>
              <w:rPr>
                <w:rFonts w:cs="Arial"/>
                <w:b/>
                <w:sz w:val="20"/>
                <w:szCs w:val="20"/>
              </w:rPr>
              <w:t>Unattained Moderate Risk</w:t>
            </w:r>
          </w:p>
          <w:p w14:paraId="15B4D01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49F7FBB" w14:textId="77777777" w:rsidR="00000000" w:rsidRDefault="00000000">
            <w:pPr>
              <w:keepNext/>
              <w:spacing w:before="60" w:after="60"/>
              <w:jc w:val="center"/>
              <w:rPr>
                <w:rFonts w:cs="Arial"/>
                <w:b/>
                <w:sz w:val="20"/>
                <w:szCs w:val="20"/>
              </w:rPr>
            </w:pPr>
            <w:r>
              <w:rPr>
                <w:rFonts w:cs="Arial"/>
                <w:b/>
                <w:sz w:val="20"/>
                <w:szCs w:val="20"/>
              </w:rPr>
              <w:t>Unattained High Risk</w:t>
            </w:r>
          </w:p>
          <w:p w14:paraId="05F41B6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0CCED0F" w14:textId="77777777" w:rsidR="00000000" w:rsidRDefault="00000000">
            <w:pPr>
              <w:keepNext/>
              <w:spacing w:before="60" w:after="60"/>
              <w:jc w:val="center"/>
              <w:rPr>
                <w:rFonts w:cs="Arial"/>
                <w:b/>
                <w:sz w:val="20"/>
                <w:szCs w:val="20"/>
              </w:rPr>
            </w:pPr>
            <w:r>
              <w:rPr>
                <w:rFonts w:cs="Arial"/>
                <w:b/>
                <w:sz w:val="20"/>
                <w:szCs w:val="20"/>
              </w:rPr>
              <w:t>Unattained Critical Risk</w:t>
            </w:r>
          </w:p>
          <w:p w14:paraId="50AEFE5D" w14:textId="77777777" w:rsidR="00000000" w:rsidRDefault="00000000">
            <w:pPr>
              <w:keepNext/>
              <w:spacing w:before="60" w:after="60"/>
              <w:jc w:val="center"/>
              <w:rPr>
                <w:rFonts w:cs="Arial"/>
                <w:b/>
                <w:sz w:val="20"/>
                <w:szCs w:val="20"/>
              </w:rPr>
            </w:pPr>
            <w:r>
              <w:rPr>
                <w:rFonts w:cs="Arial"/>
                <w:b/>
                <w:sz w:val="20"/>
                <w:szCs w:val="20"/>
              </w:rPr>
              <w:t>(UA Critical)</w:t>
            </w:r>
          </w:p>
        </w:tc>
      </w:tr>
      <w:tr w:rsidR="00CB2AB0" w14:paraId="0C4E9AB4" w14:textId="77777777">
        <w:tc>
          <w:tcPr>
            <w:tcW w:w="1384" w:type="dxa"/>
            <w:vAlign w:val="center"/>
          </w:tcPr>
          <w:p w14:paraId="7A1D103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803B6B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18669A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C90AC6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5319DE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B83047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B2AB0" w14:paraId="0FD4FB94" w14:textId="77777777">
        <w:tc>
          <w:tcPr>
            <w:tcW w:w="1384" w:type="dxa"/>
            <w:vAlign w:val="center"/>
          </w:tcPr>
          <w:p w14:paraId="3E91A69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4B08EF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46AC9E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FD10AD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198FAF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4DFFC0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C41E7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6D213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447AAC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C6F835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CB2AB0" w14:paraId="05AAFBE3" w14:textId="77777777">
        <w:tc>
          <w:tcPr>
            <w:tcW w:w="0" w:type="auto"/>
          </w:tcPr>
          <w:p w14:paraId="7D0E5B6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AD62E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C79BA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B2AB0" w14:paraId="63282F30" w14:textId="77777777">
        <w:tc>
          <w:tcPr>
            <w:tcW w:w="0" w:type="auto"/>
          </w:tcPr>
          <w:p w14:paraId="0B8DD9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BD0950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BF1B136" w14:textId="77777777" w:rsidR="00000000" w:rsidRPr="00BE00C7" w:rsidRDefault="00000000" w:rsidP="00BE00C7">
            <w:pPr>
              <w:pStyle w:val="OutcomeDescription"/>
              <w:spacing w:before="120" w:after="120"/>
              <w:rPr>
                <w:rFonts w:cs="Arial"/>
                <w:lang w:eastAsia="en-NZ"/>
              </w:rPr>
            </w:pPr>
          </w:p>
        </w:tc>
        <w:tc>
          <w:tcPr>
            <w:tcW w:w="0" w:type="auto"/>
          </w:tcPr>
          <w:p w14:paraId="322861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1E04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Mana motuhake was respected.  Partnerships have been established with a Māori health advisor from a local iwi and Māori organisation to support service integration, planning, equity approaches and support for Māori. A Māori health plan has been developed with input from cultural advisers/local iwi and is used for residents who identify as Māori.  There were no residents on the days of audit who identified as Māori. </w:t>
            </w:r>
          </w:p>
          <w:p w14:paraId="64A1A75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and respected the rights of Māori residents when admitted to the service, ensuring they felt culturally safe. Te Whare Tapa Whā is the model of care used when Māori residents are admitted to this service. Training is provided to all staff on cultural safety and tikanga practices.</w:t>
            </w:r>
          </w:p>
          <w:p w14:paraId="289D495D"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was documented on recruitment and trended.</w:t>
            </w:r>
          </w:p>
          <w:p w14:paraId="35143453" w14:textId="77777777" w:rsidR="00000000" w:rsidRPr="00BE00C7" w:rsidRDefault="00000000" w:rsidP="00BE00C7">
            <w:pPr>
              <w:pStyle w:val="OutcomeDescription"/>
              <w:spacing w:before="120" w:after="120"/>
              <w:rPr>
                <w:rFonts w:cs="Arial"/>
                <w:lang w:eastAsia="en-NZ"/>
              </w:rPr>
            </w:pPr>
          </w:p>
        </w:tc>
      </w:tr>
      <w:tr w:rsidR="00CB2AB0" w14:paraId="267BAB12" w14:textId="77777777">
        <w:tc>
          <w:tcPr>
            <w:tcW w:w="0" w:type="auto"/>
          </w:tcPr>
          <w:p w14:paraId="17A738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53DCD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0394CF" w14:textId="77777777" w:rsidR="00000000" w:rsidRPr="00BE00C7" w:rsidRDefault="00000000" w:rsidP="00BE00C7">
            <w:pPr>
              <w:pStyle w:val="OutcomeDescription"/>
              <w:spacing w:before="120" w:after="120"/>
              <w:rPr>
                <w:rFonts w:cs="Arial"/>
                <w:lang w:eastAsia="en-NZ"/>
              </w:rPr>
            </w:pPr>
          </w:p>
        </w:tc>
        <w:tc>
          <w:tcPr>
            <w:tcW w:w="0" w:type="auto"/>
          </w:tcPr>
          <w:p w14:paraId="377082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5D3FA7" w14:textId="77777777" w:rsidR="00000000" w:rsidRPr="00BE00C7" w:rsidRDefault="00000000" w:rsidP="00BE00C7">
            <w:pPr>
              <w:pStyle w:val="OutcomeDescription"/>
              <w:spacing w:before="120" w:after="120"/>
              <w:rPr>
                <w:rFonts w:cs="Arial"/>
                <w:lang w:eastAsia="en-NZ"/>
              </w:rPr>
            </w:pPr>
            <w:r w:rsidRPr="00BE00C7">
              <w:rPr>
                <w:rFonts w:cs="Arial"/>
                <w:lang w:eastAsia="en-NZ"/>
              </w:rPr>
              <w:t>Meadowbank has identified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7E5FE8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Pacific people who were residents at this care centre on the day of the audit. A Pacific model of care has been adopted. The ‘Fonofale’ model of care is used for Pacific people admitted to this service.</w:t>
            </w:r>
          </w:p>
          <w:p w14:paraId="40682416"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with 10 Pacific staff currently employed across roles.</w:t>
            </w:r>
          </w:p>
          <w:p w14:paraId="763D3DE0" w14:textId="77777777" w:rsidR="00000000" w:rsidRPr="00BE00C7" w:rsidRDefault="00000000" w:rsidP="00BE00C7">
            <w:pPr>
              <w:pStyle w:val="OutcomeDescription"/>
              <w:spacing w:before="120" w:after="120"/>
              <w:rPr>
                <w:rFonts w:cs="Arial"/>
                <w:lang w:eastAsia="en-NZ"/>
              </w:rPr>
            </w:pPr>
          </w:p>
        </w:tc>
      </w:tr>
      <w:tr w:rsidR="00CB2AB0" w14:paraId="5167C90B" w14:textId="77777777">
        <w:tc>
          <w:tcPr>
            <w:tcW w:w="0" w:type="auto"/>
          </w:tcPr>
          <w:p w14:paraId="715E8C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335AF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DA2A6AB" w14:textId="77777777" w:rsidR="00000000" w:rsidRPr="00BE00C7" w:rsidRDefault="00000000" w:rsidP="00BE00C7">
            <w:pPr>
              <w:pStyle w:val="OutcomeDescription"/>
              <w:spacing w:before="120" w:after="120"/>
              <w:rPr>
                <w:rFonts w:cs="Arial"/>
                <w:lang w:eastAsia="en-NZ"/>
              </w:rPr>
            </w:pPr>
          </w:p>
        </w:tc>
        <w:tc>
          <w:tcPr>
            <w:tcW w:w="0" w:type="auto"/>
          </w:tcPr>
          <w:p w14:paraId="73E0C7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611A2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and advocacy services were posted around the facility.</w:t>
            </w:r>
          </w:p>
          <w:p w14:paraId="5535C1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0A41E3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Māori at the time of the audit. Interviewed staff provided examples of how Māori mana motuhake could be observed if any residents who identified as Māori were admitted.</w:t>
            </w:r>
          </w:p>
          <w:p w14:paraId="1CB11B0F" w14:textId="77777777" w:rsidR="00000000" w:rsidRPr="00BE00C7" w:rsidRDefault="00000000" w:rsidP="00BE00C7">
            <w:pPr>
              <w:pStyle w:val="OutcomeDescription"/>
              <w:spacing w:before="120" w:after="120"/>
              <w:rPr>
                <w:rFonts w:cs="Arial"/>
                <w:lang w:eastAsia="en-NZ"/>
              </w:rPr>
            </w:pPr>
          </w:p>
        </w:tc>
      </w:tr>
      <w:tr w:rsidR="00CB2AB0" w14:paraId="590BD3A0" w14:textId="77777777">
        <w:tc>
          <w:tcPr>
            <w:tcW w:w="0" w:type="auto"/>
          </w:tcPr>
          <w:p w14:paraId="159886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76C14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285DF07E" w14:textId="77777777" w:rsidR="00000000" w:rsidRPr="00BE00C7" w:rsidRDefault="00000000" w:rsidP="00BE00C7">
            <w:pPr>
              <w:pStyle w:val="OutcomeDescription"/>
              <w:spacing w:before="120" w:after="120"/>
              <w:rPr>
                <w:rFonts w:cs="Arial"/>
                <w:lang w:eastAsia="en-NZ"/>
              </w:rPr>
            </w:pPr>
          </w:p>
        </w:tc>
        <w:tc>
          <w:tcPr>
            <w:tcW w:w="0" w:type="auto"/>
          </w:tcPr>
          <w:p w14:paraId="36DFE8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DD5D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3559D7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were observed to maintain privacy throughout the audit.  Most residents had a private room, except for two couples who shared a room with their partner with their consent. </w:t>
            </w:r>
          </w:p>
          <w:p w14:paraId="529C64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information in te reo posted around the service and locations labelled in English and te reo. Staff have undertaken training in Te Tiriti o Waitangi and understood the principles and how to apply these in their daily work. </w:t>
            </w:r>
          </w:p>
          <w:p w14:paraId="54C9F9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636C9E90" w14:textId="77777777" w:rsidR="00000000" w:rsidRPr="00BE00C7" w:rsidRDefault="00000000" w:rsidP="00BE00C7">
            <w:pPr>
              <w:pStyle w:val="OutcomeDescription"/>
              <w:spacing w:before="120" w:after="120"/>
              <w:rPr>
                <w:rFonts w:cs="Arial"/>
                <w:lang w:eastAsia="en-NZ"/>
              </w:rPr>
            </w:pPr>
          </w:p>
        </w:tc>
      </w:tr>
      <w:tr w:rsidR="00CB2AB0" w14:paraId="1DC67C65" w14:textId="77777777">
        <w:tc>
          <w:tcPr>
            <w:tcW w:w="0" w:type="auto"/>
          </w:tcPr>
          <w:p w14:paraId="35C28E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3EB05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A35A6F1" w14:textId="77777777" w:rsidR="00000000" w:rsidRPr="00BE00C7" w:rsidRDefault="00000000" w:rsidP="00BE00C7">
            <w:pPr>
              <w:pStyle w:val="OutcomeDescription"/>
              <w:spacing w:before="120" w:after="120"/>
              <w:rPr>
                <w:rFonts w:cs="Arial"/>
                <w:lang w:eastAsia="en-NZ"/>
              </w:rPr>
            </w:pPr>
          </w:p>
        </w:tc>
        <w:tc>
          <w:tcPr>
            <w:tcW w:w="0" w:type="auto"/>
          </w:tcPr>
          <w:p w14:paraId="27524F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22C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  </w:t>
            </w:r>
          </w:p>
          <w:p w14:paraId="690C2EF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Residents’ cash was stored safely in the administrator’s office.</w:t>
            </w:r>
          </w:p>
          <w:p w14:paraId="1372E325"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as verified by residents in interviews.  Staff interviewed felt comfortable in raising any concerns in relation to institutional and systemic racism, and that any concerns would be acted upon. A strengths-based and holistic model of care was evident and included use of Te Whare Tapa Whā model when required.</w:t>
            </w:r>
          </w:p>
          <w:p w14:paraId="3980D05E" w14:textId="77777777" w:rsidR="00000000" w:rsidRPr="00BE00C7" w:rsidRDefault="00000000" w:rsidP="00BE00C7">
            <w:pPr>
              <w:pStyle w:val="OutcomeDescription"/>
              <w:spacing w:before="120" w:after="120"/>
              <w:rPr>
                <w:rFonts w:cs="Arial"/>
                <w:lang w:eastAsia="en-NZ"/>
              </w:rPr>
            </w:pPr>
          </w:p>
        </w:tc>
      </w:tr>
      <w:tr w:rsidR="00CB2AB0" w14:paraId="2D71B478" w14:textId="77777777">
        <w:tc>
          <w:tcPr>
            <w:tcW w:w="0" w:type="auto"/>
          </w:tcPr>
          <w:p w14:paraId="629EE4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4BBF8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3A4359CF" w14:textId="77777777" w:rsidR="00000000" w:rsidRPr="00BE00C7" w:rsidRDefault="00000000" w:rsidP="00BE00C7">
            <w:pPr>
              <w:pStyle w:val="OutcomeDescription"/>
              <w:spacing w:before="120" w:after="120"/>
              <w:rPr>
                <w:rFonts w:cs="Arial"/>
                <w:lang w:eastAsia="en-NZ"/>
              </w:rPr>
            </w:pPr>
          </w:p>
        </w:tc>
        <w:tc>
          <w:tcPr>
            <w:tcW w:w="0" w:type="auto"/>
          </w:tcPr>
          <w:p w14:paraId="44D935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E7B2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 </w:t>
            </w:r>
          </w:p>
          <w:p w14:paraId="62C010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Examples of open communication were evident following adverse events and during management of any complaints. </w:t>
            </w:r>
          </w:p>
          <w:p w14:paraId="7D4753D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3468A43E" w14:textId="77777777" w:rsidR="00000000" w:rsidRPr="00BE00C7" w:rsidRDefault="00000000" w:rsidP="00BE00C7">
            <w:pPr>
              <w:pStyle w:val="OutcomeDescription"/>
              <w:spacing w:before="120" w:after="120"/>
              <w:rPr>
                <w:rFonts w:cs="Arial"/>
                <w:lang w:eastAsia="en-NZ"/>
              </w:rPr>
            </w:pPr>
          </w:p>
        </w:tc>
      </w:tr>
      <w:tr w:rsidR="00CB2AB0" w14:paraId="45B10C6D" w14:textId="77777777">
        <w:tc>
          <w:tcPr>
            <w:tcW w:w="0" w:type="auto"/>
          </w:tcPr>
          <w:p w14:paraId="7E2520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15074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69532F3" w14:textId="77777777" w:rsidR="00000000" w:rsidRPr="00BE00C7" w:rsidRDefault="00000000" w:rsidP="00BE00C7">
            <w:pPr>
              <w:pStyle w:val="OutcomeDescription"/>
              <w:spacing w:before="120" w:after="120"/>
              <w:rPr>
                <w:rFonts w:cs="Arial"/>
                <w:lang w:eastAsia="en-NZ"/>
              </w:rPr>
            </w:pPr>
          </w:p>
        </w:tc>
        <w:tc>
          <w:tcPr>
            <w:tcW w:w="0" w:type="auto"/>
          </w:tcPr>
          <w:p w14:paraId="14D05E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C1A1B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 Signed admission agreements were available in records reviewed.</w:t>
            </w:r>
          </w:p>
          <w:p w14:paraId="57664B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0A6707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2D9B9BB4" w14:textId="77777777" w:rsidR="00000000" w:rsidRPr="00BE00C7" w:rsidRDefault="00000000" w:rsidP="00BE00C7">
            <w:pPr>
              <w:pStyle w:val="OutcomeDescription"/>
              <w:spacing w:before="120" w:after="120"/>
              <w:rPr>
                <w:rFonts w:cs="Arial"/>
                <w:lang w:eastAsia="en-NZ"/>
              </w:rPr>
            </w:pPr>
          </w:p>
        </w:tc>
      </w:tr>
      <w:tr w:rsidR="00CB2AB0" w14:paraId="64A5478D" w14:textId="77777777">
        <w:tc>
          <w:tcPr>
            <w:tcW w:w="0" w:type="auto"/>
          </w:tcPr>
          <w:p w14:paraId="343688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B289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042D3BF" w14:textId="77777777" w:rsidR="00000000" w:rsidRPr="00BE00C7" w:rsidRDefault="00000000" w:rsidP="00BE00C7">
            <w:pPr>
              <w:pStyle w:val="OutcomeDescription"/>
              <w:spacing w:before="120" w:after="120"/>
              <w:rPr>
                <w:rFonts w:cs="Arial"/>
                <w:lang w:eastAsia="en-NZ"/>
              </w:rPr>
            </w:pPr>
          </w:p>
        </w:tc>
        <w:tc>
          <w:tcPr>
            <w:tcW w:w="0" w:type="auto"/>
          </w:tcPr>
          <w:p w14:paraId="2EC22D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57E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w:t>
            </w:r>
          </w:p>
          <w:p w14:paraId="49FFE3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78B6A0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assured the process worked equitably for Māori by having an interpreter service available, a Māori advocate can be arranged if needed, and the complaints process can be translated into te reo Māori if required.</w:t>
            </w:r>
          </w:p>
          <w:p w14:paraId="113CDC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Health and Disability Commissioner (HDC) complaints received from external sources since the previous audit.  One complaint was from a family member received on 1 January 2025. The complaint was investigated and was closed out on 23 </w:t>
            </w:r>
            <w:r w:rsidRPr="00BE00C7">
              <w:rPr>
                <w:rFonts w:cs="Arial"/>
                <w:lang w:eastAsia="en-NZ"/>
              </w:rPr>
              <w:lastRenderedPageBreak/>
              <w:t>January 2025. The second complaint was brought to the BCM’s attention by HDC on 25 November 2025; however, the complaint was not required to be investigated at this time.</w:t>
            </w:r>
          </w:p>
          <w:p w14:paraId="66DEA523"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New Zealand Te Whatu Ora requested follow-up against aspects of a complaint received in November 2024. Each aspect of the complaint was reviewed and had been managed appropriately by staff and management.</w:t>
            </w:r>
          </w:p>
          <w:p w14:paraId="06722941" w14:textId="77777777" w:rsidR="00000000" w:rsidRPr="00BE00C7" w:rsidRDefault="00000000" w:rsidP="00BE00C7">
            <w:pPr>
              <w:pStyle w:val="OutcomeDescription"/>
              <w:spacing w:before="120" w:after="120"/>
              <w:rPr>
                <w:rFonts w:cs="Arial"/>
                <w:lang w:eastAsia="en-NZ"/>
              </w:rPr>
            </w:pPr>
          </w:p>
        </w:tc>
      </w:tr>
      <w:tr w:rsidR="00CB2AB0" w14:paraId="6111BE4E" w14:textId="77777777">
        <w:tc>
          <w:tcPr>
            <w:tcW w:w="0" w:type="auto"/>
          </w:tcPr>
          <w:p w14:paraId="33B6DB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900E1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1CA1AB7" w14:textId="77777777" w:rsidR="00000000" w:rsidRPr="00BE00C7" w:rsidRDefault="00000000" w:rsidP="00BE00C7">
            <w:pPr>
              <w:pStyle w:val="OutcomeDescription"/>
              <w:spacing w:before="120" w:after="120"/>
              <w:rPr>
                <w:rFonts w:cs="Arial"/>
                <w:lang w:eastAsia="en-NZ"/>
              </w:rPr>
            </w:pPr>
          </w:p>
        </w:tc>
        <w:tc>
          <w:tcPr>
            <w:tcW w:w="0" w:type="auto"/>
          </w:tcPr>
          <w:p w14:paraId="416FA2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C8D8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 served, with meaningful Māori representation on governance groups. The governance group demonstrated expertise in Te Tiriti, health equity, and cultural safety. Since the last audit, a new chief executive officer (CEO) has been appointed. </w:t>
            </w:r>
          </w:p>
          <w:p w14:paraId="1E2499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structure, including clinical governance, was appropriate to the size and complexity of the organisation, and there was an experienced and suitably qualified person managing the service. The BCM is currently staying in this position until a replacement BCM is appointed. The regional clinical quality manager was interviewed at audit and explained the clinical and care directorate confirmed a new structure changed on 19 May 2025 for the organisation.   A copy of the new structure was reviewed. </w:t>
            </w:r>
          </w:p>
          <w:p w14:paraId="7D22C3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2025-2026 business plan included the strengths, weaknesses, opportunities, goals, vision and values of the service and these were defined, and monitoring and reviewing of performance occurred through regular reporting at planned intervals. A continuous improvement plan was sighted. A focus on identifying barriers to access, improving outcomes and achieving equity for Māori and tāngata whaikaha was evident in plans and monitoring documentation reviewed. </w:t>
            </w:r>
          </w:p>
          <w:p w14:paraId="39B8E8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commitment to the quality and risk management system was evident through the business plan, strategic plan, risk register, </w:t>
            </w:r>
            <w:r w:rsidRPr="00BE00C7">
              <w:rPr>
                <w:rFonts w:cs="Arial"/>
                <w:lang w:eastAsia="en-NZ"/>
              </w:rPr>
              <w:lastRenderedPageBreak/>
              <w:t xml:space="preserve">improving services, reporting, policy, processes, and through feedback mechanisms, and purchasing of equipment.  </w:t>
            </w:r>
          </w:p>
          <w:p w14:paraId="05B413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governance group interviewed felt well informed on progress and risks. This was confirmed in a sample of reports reviewed. Monthly clinical KPIs were sent by the clinical manager directly to the clinical governance committee to be analysed and results were benchmarked against the other ARC services in the Oceania Group.  </w:t>
            </w:r>
          </w:p>
          <w:p w14:paraId="686AA2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was overseen by the leadership team and governance group, with external advice sought as required.  </w:t>
            </w:r>
          </w:p>
          <w:p w14:paraId="5DE928EC"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annual surveys. The last was completed mid-2024. A new process is being developed and implemented currently.</w:t>
            </w:r>
          </w:p>
          <w:p w14:paraId="54D3BB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Te Toka Tumai Auckland for providing rest home and hospital-level care for up to 84 residents. These beds are managed as dual-purpose beds. On the day of the audit, 64 beds were occupied.  Forty residents were receiving hospital-level care, and 23 residents were receiving rest home-level care. This included two respite care residents, both assessed as requiring rest home-level care. One resident was receiving dementia level care in the Orakei facility. The total beds at this aged residential care service are 105.</w:t>
            </w:r>
          </w:p>
          <w:p w14:paraId="59CB2330" w14:textId="77777777" w:rsidR="00000000" w:rsidRPr="00BE00C7" w:rsidRDefault="00000000" w:rsidP="00BE00C7">
            <w:pPr>
              <w:pStyle w:val="OutcomeDescription"/>
              <w:spacing w:before="120" w:after="120"/>
              <w:rPr>
                <w:rFonts w:cs="Arial"/>
                <w:lang w:eastAsia="en-NZ"/>
              </w:rPr>
            </w:pPr>
          </w:p>
        </w:tc>
      </w:tr>
      <w:tr w:rsidR="00CB2AB0" w14:paraId="001C9A45" w14:textId="77777777">
        <w:tc>
          <w:tcPr>
            <w:tcW w:w="0" w:type="auto"/>
          </w:tcPr>
          <w:p w14:paraId="00BE96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9995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6105E43D" w14:textId="77777777" w:rsidR="00000000" w:rsidRPr="00BE00C7" w:rsidRDefault="00000000" w:rsidP="00BE00C7">
            <w:pPr>
              <w:pStyle w:val="OutcomeDescription"/>
              <w:spacing w:before="120" w:after="120"/>
              <w:rPr>
                <w:rFonts w:cs="Arial"/>
                <w:lang w:eastAsia="en-NZ"/>
              </w:rPr>
            </w:pPr>
          </w:p>
        </w:tc>
        <w:tc>
          <w:tcPr>
            <w:tcW w:w="0" w:type="auto"/>
          </w:tcPr>
          <w:p w14:paraId="3A11F0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485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included management of incidents and complaints, audit activities, a regular patient satisfaction survey, monitoring of outcomes, policies and procedures, clinical incidents including infections, falls and restraint management. </w:t>
            </w:r>
          </w:p>
          <w:p w14:paraId="3B36F7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contributed to quality improvement through meetings and surveys.  Resident and staff surveys were completed twice yearly in May and November.  Results were </w:t>
            </w:r>
            <w:r w:rsidRPr="00BE00C7">
              <w:rPr>
                <w:rFonts w:cs="Arial"/>
                <w:lang w:eastAsia="en-NZ"/>
              </w:rPr>
              <w:lastRenderedPageBreak/>
              <w:t>communicated to staff and used for quality improvements. Resident meetings were held monthly.</w:t>
            </w:r>
          </w:p>
          <w:p w14:paraId="46B91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was responsible for quality management. The quality performance system in place provided benchmarking nationally. The system was well embedded into the organisation and was used across all sites. A sample of quality and risk-related meeting minutes were reviewed and confirmed there was regular review and analysis of quality indicators, and that related information was reported and discussed. In addition to this, there were registered nurse (RN) meetings held monthly, and quarterly health care assistant meetings. </w:t>
            </w:r>
          </w:p>
          <w:p w14:paraId="466042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worked to address these. Delivering high-quality care to Māori residents was supported through relevant training, tikanga policies, and access to cultural support roles internally and externally. </w:t>
            </w:r>
          </w:p>
          <w:p w14:paraId="75F0B699"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2E9A0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662D76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described the processes for the identification, documentation, monitoring, review and reporting of risks, including health and safety risks, and development of mitigation strategies. </w:t>
            </w:r>
          </w:p>
          <w:p w14:paraId="792790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line with the National Adverse Events Policy. A sample of incidents forms reviewed showed these were fully completed; incidents were investigated, action plans developed, and actions followed up in a timely manner.  </w:t>
            </w:r>
          </w:p>
          <w:p w14:paraId="7DD59D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and CM understood and have complied with essential notification reporting requirements.</w:t>
            </w:r>
          </w:p>
          <w:p w14:paraId="07165DE4" w14:textId="77777777" w:rsidR="00000000" w:rsidRPr="00BE00C7" w:rsidRDefault="00000000" w:rsidP="00BE00C7">
            <w:pPr>
              <w:pStyle w:val="OutcomeDescription"/>
              <w:spacing w:before="120" w:after="120"/>
              <w:rPr>
                <w:rFonts w:cs="Arial"/>
                <w:lang w:eastAsia="en-NZ"/>
              </w:rPr>
            </w:pPr>
          </w:p>
        </w:tc>
      </w:tr>
      <w:tr w:rsidR="00CB2AB0" w14:paraId="51B9E5D2" w14:textId="77777777">
        <w:tc>
          <w:tcPr>
            <w:tcW w:w="0" w:type="auto"/>
          </w:tcPr>
          <w:p w14:paraId="645703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92E86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DCFB3B" w14:textId="77777777" w:rsidR="00000000" w:rsidRPr="00BE00C7" w:rsidRDefault="00000000" w:rsidP="00BE00C7">
            <w:pPr>
              <w:pStyle w:val="OutcomeDescription"/>
              <w:spacing w:before="120" w:after="120"/>
              <w:rPr>
                <w:rFonts w:cs="Arial"/>
                <w:lang w:eastAsia="en-NZ"/>
              </w:rPr>
            </w:pPr>
          </w:p>
        </w:tc>
        <w:tc>
          <w:tcPr>
            <w:tcW w:w="0" w:type="auto"/>
          </w:tcPr>
          <w:p w14:paraId="209ECC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17D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documented and implemented process for determining staffing levels and skill mixes to provide culturally and clinically safe care, 24 hours a day, seven days a week (24/7). The facility adjusted staffing levels to meet the changing needs of residents.  A multidisciplinary team (MDT) approach ensured that all aspects of service delivery were met.  Those providing care reported there were adequate staff to complete the work allocated to them.  Residents and whānau interviewed supported this. At least one staff member on duty had a current first aid certificate, and there was 24/7 RN coverage at all times. In the Orakei facility on the day of the audit there was twenty four hour registered nurse cover, and one care partner each shift. </w:t>
            </w:r>
          </w:p>
          <w:p w14:paraId="37C31E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537D977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on an annual basis,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w:t>
            </w:r>
          </w:p>
          <w:p w14:paraId="142778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 staff were expected to commence a New Zealand Qualification Authority education programme to meet the requirements of the provider’s agreement with Health New Zealand – Te Whatu Ora Te Toka Tumai Auckland if they had not already achieved qualifications. There were 31 health care assistants (HCAs) employed at this service. Twenty-eight (28) HCAs have completed Level 4, one Level 3 and two have completed Level 2. The model of care adopted for Orakei utilises care partners (all of which have trained to NZQA level 3 and level 4, and have completed additional dementia care training. </w:t>
            </w:r>
          </w:p>
          <w:p w14:paraId="4943FE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5087A64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7F03D972" w14:textId="77777777" w:rsidR="00000000" w:rsidRPr="00BE00C7" w:rsidRDefault="00000000" w:rsidP="00BE00C7">
            <w:pPr>
              <w:pStyle w:val="OutcomeDescription"/>
              <w:spacing w:before="120" w:after="120"/>
              <w:rPr>
                <w:rFonts w:cs="Arial"/>
                <w:lang w:eastAsia="en-NZ"/>
              </w:rPr>
            </w:pPr>
          </w:p>
        </w:tc>
      </w:tr>
      <w:tr w:rsidR="00CB2AB0" w14:paraId="4B2ADDCB" w14:textId="77777777">
        <w:tc>
          <w:tcPr>
            <w:tcW w:w="0" w:type="auto"/>
          </w:tcPr>
          <w:p w14:paraId="63B289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4ECF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1869D9A" w14:textId="77777777" w:rsidR="00000000" w:rsidRPr="00BE00C7" w:rsidRDefault="00000000" w:rsidP="00BE00C7">
            <w:pPr>
              <w:pStyle w:val="OutcomeDescription"/>
              <w:spacing w:before="120" w:after="120"/>
              <w:rPr>
                <w:rFonts w:cs="Arial"/>
                <w:lang w:eastAsia="en-NZ"/>
              </w:rPr>
            </w:pPr>
          </w:p>
        </w:tc>
        <w:tc>
          <w:tcPr>
            <w:tcW w:w="0" w:type="auto"/>
          </w:tcPr>
          <w:p w14:paraId="7458E4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3A4EA3"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were being consistently implemented.  Job descriptions were documented for each role. Professional qualifications and annual practicing certificates of all employed and contracted health professionals were validated, and records were maintained annually by the CM.</w:t>
            </w:r>
          </w:p>
          <w:p w14:paraId="04E78A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occurred three months following appointment and yearly thereafter, as confirmed in records reviewed. </w:t>
            </w:r>
          </w:p>
          <w:p w14:paraId="41C393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was reviewed and discussed at regular intervals.  </w:t>
            </w:r>
          </w:p>
          <w:p w14:paraId="06F745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5733CB66"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w:t>
            </w:r>
          </w:p>
          <w:p w14:paraId="790EE317" w14:textId="77777777" w:rsidR="00000000" w:rsidRPr="00BE00C7" w:rsidRDefault="00000000" w:rsidP="00BE00C7">
            <w:pPr>
              <w:pStyle w:val="OutcomeDescription"/>
              <w:spacing w:before="120" w:after="120"/>
              <w:rPr>
                <w:rFonts w:cs="Arial"/>
                <w:lang w:eastAsia="en-NZ"/>
              </w:rPr>
            </w:pPr>
          </w:p>
        </w:tc>
      </w:tr>
      <w:tr w:rsidR="00CB2AB0" w14:paraId="18969251" w14:textId="77777777">
        <w:tc>
          <w:tcPr>
            <w:tcW w:w="0" w:type="auto"/>
          </w:tcPr>
          <w:p w14:paraId="468B99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47C50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0182757" w14:textId="77777777" w:rsidR="00000000" w:rsidRPr="00BE00C7" w:rsidRDefault="00000000" w:rsidP="00BE00C7">
            <w:pPr>
              <w:pStyle w:val="OutcomeDescription"/>
              <w:spacing w:before="120" w:after="120"/>
              <w:rPr>
                <w:rFonts w:cs="Arial"/>
                <w:lang w:eastAsia="en-NZ"/>
              </w:rPr>
            </w:pPr>
          </w:p>
        </w:tc>
        <w:tc>
          <w:tcPr>
            <w:tcW w:w="0" w:type="auto"/>
          </w:tcPr>
          <w:p w14:paraId="19AA10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AB8B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was accessible for all those who needed it.  The service uses an electronic information management system. Staff had individual passwords to access the electronic system. The service is not responsible for issuing National Health Index numbers (NHIs).</w:t>
            </w:r>
          </w:p>
          <w:p w14:paraId="2F6C1EAA"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61E13AB8" w14:textId="77777777" w:rsidR="00000000" w:rsidRPr="00BE00C7" w:rsidRDefault="00000000" w:rsidP="00BE00C7">
            <w:pPr>
              <w:pStyle w:val="OutcomeDescription"/>
              <w:spacing w:before="120" w:after="120"/>
              <w:rPr>
                <w:rFonts w:cs="Arial"/>
                <w:lang w:eastAsia="en-NZ"/>
              </w:rPr>
            </w:pPr>
          </w:p>
        </w:tc>
      </w:tr>
      <w:tr w:rsidR="00CB2AB0" w14:paraId="298A5CC2" w14:textId="77777777">
        <w:tc>
          <w:tcPr>
            <w:tcW w:w="0" w:type="auto"/>
          </w:tcPr>
          <w:p w14:paraId="6377EF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B2696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26D8224" w14:textId="77777777" w:rsidR="00000000" w:rsidRPr="00BE00C7" w:rsidRDefault="00000000" w:rsidP="00BE00C7">
            <w:pPr>
              <w:pStyle w:val="OutcomeDescription"/>
              <w:spacing w:before="120" w:after="120"/>
              <w:rPr>
                <w:rFonts w:cs="Arial"/>
                <w:lang w:eastAsia="en-NZ"/>
              </w:rPr>
            </w:pPr>
          </w:p>
        </w:tc>
        <w:tc>
          <w:tcPr>
            <w:tcW w:w="0" w:type="auto"/>
          </w:tcPr>
          <w:p w14:paraId="1E268F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523A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entered the service when their required level of care had been assessed and confirmed by the local Needs Assessment and Service Coordination (NASC) agency. Files reviewed met contractual requirements.  Residents entered the service based on documented entry criteria available to the community and understood by staff.  The entry process met the needs of residents.  Whānau and residents interviewed were satisfied with the admission process and the information that had been made available to them on admission.  </w:t>
            </w:r>
          </w:p>
          <w:p w14:paraId="159B3F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Related data was documented and analysed, including decline rates for Māori. </w:t>
            </w:r>
          </w:p>
          <w:p w14:paraId="7FEB8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Support was available when required for Māori and their whānau who may enter the service.</w:t>
            </w:r>
          </w:p>
          <w:p w14:paraId="0A7E4785" w14:textId="77777777" w:rsidR="00000000" w:rsidRPr="00BE00C7" w:rsidRDefault="00000000" w:rsidP="00BE00C7">
            <w:pPr>
              <w:pStyle w:val="OutcomeDescription"/>
              <w:spacing w:before="120" w:after="120"/>
              <w:rPr>
                <w:rFonts w:cs="Arial"/>
                <w:lang w:eastAsia="en-NZ"/>
              </w:rPr>
            </w:pPr>
          </w:p>
        </w:tc>
      </w:tr>
      <w:tr w:rsidR="00CB2AB0" w14:paraId="2BAD213A" w14:textId="77777777">
        <w:tc>
          <w:tcPr>
            <w:tcW w:w="0" w:type="auto"/>
          </w:tcPr>
          <w:p w14:paraId="3C1555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96E52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65E82C" w14:textId="77777777" w:rsidR="00000000" w:rsidRPr="00BE00C7" w:rsidRDefault="00000000" w:rsidP="00BE00C7">
            <w:pPr>
              <w:pStyle w:val="OutcomeDescription"/>
              <w:spacing w:before="120" w:after="120"/>
              <w:rPr>
                <w:rFonts w:cs="Arial"/>
                <w:lang w:eastAsia="en-NZ"/>
              </w:rPr>
            </w:pPr>
          </w:p>
        </w:tc>
        <w:tc>
          <w:tcPr>
            <w:tcW w:w="0" w:type="auto"/>
          </w:tcPr>
          <w:p w14:paraId="3888C4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E5D2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A care plan, based on the provider’s model of care,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18DAF705"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nurse practitioner (NP) assessment, initial care plan, long-term care plan and review timeframes met contractual and policy requirements.  Staff understood how to support Māori and whānau to identify their own pae ora outcomes in their care plan when required.</w:t>
            </w:r>
          </w:p>
          <w:p w14:paraId="234331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w:t>
            </w:r>
            <w:r w:rsidRPr="00BE00C7">
              <w:rPr>
                <w:rFonts w:cs="Arial"/>
                <w:lang w:eastAsia="en-NZ"/>
              </w:rPr>
              <w:lastRenderedPageBreak/>
              <w:t>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63D23F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the assessment and care planning process.  Examples of choices and control over service delivery were discussed with staff and tāngata whaikaha/whānau.  Tāngata whaikaha/whānau could independently access information. </w:t>
            </w:r>
          </w:p>
          <w:p w14:paraId="13D077F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The NP expressed satisfaction with the care being provided to residents.</w:t>
            </w:r>
          </w:p>
          <w:p w14:paraId="69F65F26" w14:textId="77777777" w:rsidR="00000000" w:rsidRPr="00BE00C7" w:rsidRDefault="00000000" w:rsidP="00B36DDE">
            <w:pPr>
              <w:pStyle w:val="OutcomeDescription"/>
              <w:spacing w:before="120" w:after="120"/>
              <w:rPr>
                <w:rFonts w:cs="Arial"/>
                <w:lang w:eastAsia="en-NZ"/>
              </w:rPr>
            </w:pPr>
          </w:p>
        </w:tc>
      </w:tr>
      <w:tr w:rsidR="00CB2AB0" w14:paraId="5FAE298C" w14:textId="77777777">
        <w:tc>
          <w:tcPr>
            <w:tcW w:w="0" w:type="auto"/>
          </w:tcPr>
          <w:p w14:paraId="2BE081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ED672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3EC1F1B" w14:textId="77777777" w:rsidR="00000000" w:rsidRPr="00BE00C7" w:rsidRDefault="00000000" w:rsidP="00BE00C7">
            <w:pPr>
              <w:pStyle w:val="OutcomeDescription"/>
              <w:spacing w:before="120" w:after="120"/>
              <w:rPr>
                <w:rFonts w:cs="Arial"/>
                <w:lang w:eastAsia="en-NZ"/>
              </w:rPr>
            </w:pPr>
          </w:p>
        </w:tc>
        <w:tc>
          <w:tcPr>
            <w:tcW w:w="0" w:type="auto"/>
          </w:tcPr>
          <w:p w14:paraId="747249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8A80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was overseen by a registered diversional therapist (DT), who was supported by an activities assistant. The programme supported residents to maintain and develop their interests and was suitable for their age and stage of life. All residents were given a copy of the weekly activities calendar, and the calendar was also posted on the noticeboards around the facility.</w:t>
            </w:r>
          </w:p>
          <w:p w14:paraId="5F72A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Activities on the schedule included talks from St Johns ambulance services, van outings, multicultural days, residents’ art garden series exhibition, church sessions, board games, live external entertainment, themed quiz, social awareness programmes, Matariki and Waitangi celebrations. Community Initiatives and opportunities for Māori and whānau to participate in te ao Māori would be facilitated as required. </w:t>
            </w:r>
          </w:p>
          <w:p w14:paraId="4D5C90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Feedback on the programme was provided through the annual satisfaction surveys and in three-monthly residents’ meetings.  Residents interviewed confirmed they found the programme met their needs.</w:t>
            </w:r>
          </w:p>
          <w:p w14:paraId="7324A3D5" w14:textId="77777777" w:rsidR="00000000" w:rsidRPr="00BE00C7" w:rsidRDefault="00000000" w:rsidP="00BE00C7">
            <w:pPr>
              <w:pStyle w:val="OutcomeDescription"/>
              <w:spacing w:before="120" w:after="120"/>
              <w:rPr>
                <w:rFonts w:cs="Arial"/>
                <w:lang w:eastAsia="en-NZ"/>
              </w:rPr>
            </w:pPr>
          </w:p>
        </w:tc>
      </w:tr>
      <w:tr w:rsidR="00CB2AB0" w14:paraId="1169EB01" w14:textId="77777777">
        <w:tc>
          <w:tcPr>
            <w:tcW w:w="0" w:type="auto"/>
          </w:tcPr>
          <w:p w14:paraId="377CD3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AD52C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F20735D" w14:textId="77777777" w:rsidR="00000000" w:rsidRPr="00BE00C7" w:rsidRDefault="00000000" w:rsidP="00BE00C7">
            <w:pPr>
              <w:pStyle w:val="OutcomeDescription"/>
              <w:spacing w:before="120" w:after="120"/>
              <w:rPr>
                <w:rFonts w:cs="Arial"/>
                <w:lang w:eastAsia="en-NZ"/>
              </w:rPr>
            </w:pPr>
          </w:p>
        </w:tc>
        <w:tc>
          <w:tcPr>
            <w:tcW w:w="0" w:type="auto"/>
          </w:tcPr>
          <w:p w14:paraId="4AF6BA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63B3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days of audit.  All staff who administered medicines were competent to perform the function they managed. Current medication administration competencies were available in the reviewed staff records.</w:t>
            </w:r>
          </w:p>
          <w:p w14:paraId="69E04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5C16D0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724E7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nurse practitioner (NP) review was consistently recorded on the medicine chart.  Standing orders were not used. </w:t>
            </w:r>
          </w:p>
          <w:p w14:paraId="473ACB6D"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and their whānau were supported to understand their medications.</w:t>
            </w:r>
          </w:p>
          <w:p w14:paraId="359ADF01" w14:textId="77777777" w:rsidR="00000000" w:rsidRPr="00BE00C7" w:rsidRDefault="00000000" w:rsidP="00BE00C7">
            <w:pPr>
              <w:pStyle w:val="OutcomeDescription"/>
              <w:spacing w:before="120" w:after="120"/>
              <w:rPr>
                <w:rFonts w:cs="Arial"/>
                <w:lang w:eastAsia="en-NZ"/>
              </w:rPr>
            </w:pPr>
          </w:p>
        </w:tc>
      </w:tr>
      <w:tr w:rsidR="00CB2AB0" w14:paraId="33C3D86E" w14:textId="77777777">
        <w:tc>
          <w:tcPr>
            <w:tcW w:w="0" w:type="auto"/>
          </w:tcPr>
          <w:p w14:paraId="27693D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B62DA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6A52BA1F" w14:textId="77777777" w:rsidR="00000000" w:rsidRPr="00BE00C7" w:rsidRDefault="00000000" w:rsidP="00BE00C7">
            <w:pPr>
              <w:pStyle w:val="OutcomeDescription"/>
              <w:spacing w:before="120" w:after="120"/>
              <w:rPr>
                <w:rFonts w:cs="Arial"/>
                <w:lang w:eastAsia="en-NZ"/>
              </w:rPr>
            </w:pPr>
          </w:p>
        </w:tc>
        <w:tc>
          <w:tcPr>
            <w:tcW w:w="0" w:type="auto"/>
          </w:tcPr>
          <w:p w14:paraId="02BB1B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2CB1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people using the services.  The menu was reviewed by the organisation’s qualified dietitian on 31 March 2025.  Recommendations made at that time had been implemented. </w:t>
            </w:r>
          </w:p>
          <w:p w14:paraId="509D26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operated with an approved food safety plan and registration that will expire on 28 March 2026.</w:t>
            </w:r>
          </w:p>
          <w:p w14:paraId="37D86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and modified texture requirements were accommodated in the daily meal plan.  The residents were provided with three menu options to choose from for lunch and dinner. The chef stated that menu options that were culturally specific to te ao Māori would be provided when required. </w:t>
            </w:r>
          </w:p>
          <w:p w14:paraId="03BB2FBB"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 in the dining room on the first floor.</w:t>
            </w:r>
          </w:p>
          <w:p w14:paraId="3F22C3F1" w14:textId="77777777" w:rsidR="00000000" w:rsidRPr="00BE00C7" w:rsidRDefault="00000000" w:rsidP="00BE00C7">
            <w:pPr>
              <w:pStyle w:val="OutcomeDescription"/>
              <w:spacing w:before="120" w:after="120"/>
              <w:rPr>
                <w:rFonts w:cs="Arial"/>
                <w:lang w:eastAsia="en-NZ"/>
              </w:rPr>
            </w:pPr>
          </w:p>
        </w:tc>
      </w:tr>
      <w:tr w:rsidR="00CB2AB0" w14:paraId="0C8669AE" w14:textId="77777777">
        <w:tc>
          <w:tcPr>
            <w:tcW w:w="0" w:type="auto"/>
          </w:tcPr>
          <w:p w14:paraId="7B52D2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368D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9C5ECC" w14:textId="77777777" w:rsidR="00000000" w:rsidRPr="00BE00C7" w:rsidRDefault="00000000" w:rsidP="00BE00C7">
            <w:pPr>
              <w:pStyle w:val="OutcomeDescription"/>
              <w:spacing w:before="120" w:after="120"/>
              <w:rPr>
                <w:rFonts w:cs="Arial"/>
                <w:lang w:eastAsia="en-NZ"/>
              </w:rPr>
            </w:pPr>
          </w:p>
        </w:tc>
        <w:tc>
          <w:tcPr>
            <w:tcW w:w="0" w:type="auto"/>
          </w:tcPr>
          <w:p w14:paraId="01EDA5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F8E6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policies were available to guide staff practice. 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w:t>
            </w:r>
          </w:p>
          <w:p w14:paraId="2BC054EA" w14:textId="77777777" w:rsidR="00000000" w:rsidRPr="00BE00C7" w:rsidRDefault="00000000" w:rsidP="00BE00C7">
            <w:pPr>
              <w:pStyle w:val="OutcomeDescription"/>
              <w:spacing w:before="120" w:after="120"/>
              <w:rPr>
                <w:rFonts w:cs="Arial"/>
                <w:lang w:eastAsia="en-NZ"/>
              </w:rPr>
            </w:pPr>
          </w:p>
        </w:tc>
      </w:tr>
      <w:tr w:rsidR="00CB2AB0" w14:paraId="3A416A2F" w14:textId="77777777">
        <w:tc>
          <w:tcPr>
            <w:tcW w:w="0" w:type="auto"/>
          </w:tcPr>
          <w:p w14:paraId="1B90F5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3243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0B04FD9" w14:textId="77777777" w:rsidR="00000000" w:rsidRPr="00BE00C7" w:rsidRDefault="00000000" w:rsidP="00BE00C7">
            <w:pPr>
              <w:pStyle w:val="OutcomeDescription"/>
              <w:spacing w:before="120" w:after="120"/>
              <w:rPr>
                <w:rFonts w:cs="Arial"/>
                <w:lang w:eastAsia="en-NZ"/>
              </w:rPr>
            </w:pPr>
          </w:p>
        </w:tc>
        <w:tc>
          <w:tcPr>
            <w:tcW w:w="0" w:type="auto"/>
          </w:tcPr>
          <w:p w14:paraId="46F410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25E7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physical environment and facilities (internal and external) were fit for their purpose, well maintained, and that they met legislative requirements.  The service has 65 care suites in the main building under Occupation Right Agreements (ORAs); two of these were being used by couples. All care suites are dual purpose, providing rest home and hospital-level care services. In Orakei there are forty </w:t>
            </w:r>
            <w:r w:rsidRPr="00BE00C7">
              <w:rPr>
                <w:rFonts w:cs="Arial"/>
                <w:lang w:eastAsia="en-NZ"/>
              </w:rPr>
              <w:lastRenderedPageBreak/>
              <w:t xml:space="preserve">ORA beds, The first floor has 19 dual purpose beds and the ground floor 21 dementia level care beds in this secure dementia care service. One bed only is occupied in the dementia care service. The total beds for the site is now 105. </w:t>
            </w:r>
          </w:p>
          <w:p w14:paraId="752960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were well maintained by a contracted service provider. </w:t>
            </w:r>
          </w:p>
          <w:p w14:paraId="4F72A0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All care suites were fitted with ceiling hoists. There are adequate numbers of accessible bathroom and toilet facilities throughout the facility.   The facility has a current building warrant of fitness (BWOF) that expires on 23 May 2026. Orakei has a certificate of public use (CPU) dated 15 April 2025.</w:t>
            </w:r>
          </w:p>
          <w:p w14:paraId="7B84A2EB" w14:textId="77777777" w:rsidR="00000000" w:rsidRPr="00BE00C7" w:rsidRDefault="00000000" w:rsidP="00BE00C7">
            <w:pPr>
              <w:pStyle w:val="OutcomeDescription"/>
              <w:spacing w:before="120" w:after="120"/>
              <w:rPr>
                <w:rFonts w:cs="Arial"/>
                <w:lang w:eastAsia="en-NZ"/>
              </w:rPr>
            </w:pPr>
            <w:r w:rsidRPr="00BE00C7">
              <w:rPr>
                <w:rFonts w:cs="Arial"/>
                <w:lang w:eastAsia="en-NZ"/>
              </w:rPr>
              <w:t>Equipment tagging and testing was current, as confirmed in records dated July 2025. The maintenance manager was interviewed. Inventories of all resources and equipment were maintained and were reviewed. Calibration of all medical equipment was completed by a contracted service provider on 16 December 2024. Hot water checks were completed by the maintenance team monthly and recorded appropriately. Any variances in temperatures was reported to the contracted service providers as needed.</w:t>
            </w:r>
          </w:p>
          <w:p w14:paraId="2A6B0F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Care staff interviewed indicated that they had adequate equipment for safe delivery of care to residents. Care staff reported that they respected the residents’ spiritual and cultural requirements. </w:t>
            </w:r>
          </w:p>
          <w:p w14:paraId="684629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A process was in place to ensure consultation or co-design with Māori occurred when a new building was in the design process.</w:t>
            </w:r>
          </w:p>
          <w:p w14:paraId="66B148C4" w14:textId="77777777" w:rsidR="00000000" w:rsidRPr="00BE00C7" w:rsidRDefault="00000000" w:rsidP="00BE00C7">
            <w:pPr>
              <w:pStyle w:val="OutcomeDescription"/>
              <w:spacing w:before="120" w:after="120"/>
              <w:rPr>
                <w:rFonts w:cs="Arial"/>
                <w:lang w:eastAsia="en-NZ"/>
              </w:rPr>
            </w:pPr>
          </w:p>
        </w:tc>
      </w:tr>
      <w:tr w:rsidR="00CB2AB0" w14:paraId="142EEA15" w14:textId="77777777">
        <w:tc>
          <w:tcPr>
            <w:tcW w:w="0" w:type="auto"/>
          </w:tcPr>
          <w:p w14:paraId="7A9364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39254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FB3F1A1" w14:textId="77777777" w:rsidR="00000000" w:rsidRPr="00BE00C7" w:rsidRDefault="00000000" w:rsidP="00BE00C7">
            <w:pPr>
              <w:pStyle w:val="OutcomeDescription"/>
              <w:spacing w:before="120" w:after="120"/>
              <w:rPr>
                <w:rFonts w:cs="Arial"/>
                <w:lang w:eastAsia="en-NZ"/>
              </w:rPr>
            </w:pPr>
          </w:p>
        </w:tc>
        <w:tc>
          <w:tcPr>
            <w:tcW w:w="0" w:type="auto"/>
          </w:tcPr>
          <w:p w14:paraId="554978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A32C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Fire and Emergency New Zealand (FENZ) on 7 April 2025. The last fire drill and training </w:t>
            </w:r>
            <w:r w:rsidRPr="00BE00C7">
              <w:rPr>
                <w:rFonts w:cs="Arial"/>
                <w:lang w:eastAsia="en-NZ"/>
              </w:rPr>
              <w:lastRenderedPageBreak/>
              <w:t xml:space="preserve">were held on 24 February 2025 and is completed bi-annually. Floor plans, sprinkler system, alarms, fire action notices and smoke detectors and exit signs were sighted and were checked regularly. </w:t>
            </w:r>
          </w:p>
          <w:p w14:paraId="54F555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directed the facility in its preparation for disasters and described the procedures to be followed. Staff have received relevant information and training and have appropriate equipment to respond to emergency and security situations. Staff interviewed knew what to do in an emergency.  </w:t>
            </w:r>
          </w:p>
          <w:p w14:paraId="62D8C84B"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met The National Emergency Management Agency recommendations for the region.  The service has back-up of liquid petroleum gas (LPG) for the kitchen. There was no generator on site, but a memorandum of agreement has been arranged with a local hire service to have priority in an emergency. Two barbeques along with gas cylinders were accessible for cooking purposes. Dry foods and additional frozen food were readily available to meet the requirements. Torches, batteries, disposable cups, utensils and continence products are available, as well as spare linen and personal protective equipment (PPE).</w:t>
            </w:r>
          </w:p>
          <w:p w14:paraId="3188DA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that a staff member who was first aid-trained was on duty on all shifts. Current first aid certificates were reviewed in the staff records randomly selected to sample.</w:t>
            </w:r>
          </w:p>
          <w:p w14:paraId="6A3671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Call bells are available in all service areas to summon assistance if needed. Residents and whānau reported staff responded promptly to call bells.  </w:t>
            </w:r>
          </w:p>
          <w:p w14:paraId="45A1A10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 The facility was locked by staff in the evening and windows and doors were checked on the afternoon and night shifts. Residents were informed of the emergency and security arrangements on entry to the service.</w:t>
            </w:r>
          </w:p>
          <w:p w14:paraId="64AB2171" w14:textId="77777777" w:rsidR="00000000" w:rsidRPr="00BE00C7" w:rsidRDefault="00000000" w:rsidP="00BE00C7">
            <w:pPr>
              <w:pStyle w:val="OutcomeDescription"/>
              <w:spacing w:before="120" w:after="120"/>
              <w:rPr>
                <w:rFonts w:cs="Arial"/>
                <w:lang w:eastAsia="en-NZ"/>
              </w:rPr>
            </w:pPr>
          </w:p>
        </w:tc>
      </w:tr>
      <w:tr w:rsidR="00CB2AB0" w14:paraId="293F6ED5" w14:textId="77777777">
        <w:tc>
          <w:tcPr>
            <w:tcW w:w="0" w:type="auto"/>
          </w:tcPr>
          <w:p w14:paraId="66D6EF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E9D0A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9988AFD" w14:textId="77777777" w:rsidR="00000000" w:rsidRPr="00BE00C7" w:rsidRDefault="00000000" w:rsidP="00BE00C7">
            <w:pPr>
              <w:pStyle w:val="OutcomeDescription"/>
              <w:spacing w:before="120" w:after="120"/>
              <w:rPr>
                <w:rFonts w:cs="Arial"/>
                <w:lang w:eastAsia="en-NZ"/>
              </w:rPr>
            </w:pPr>
          </w:p>
        </w:tc>
        <w:tc>
          <w:tcPr>
            <w:tcW w:w="0" w:type="auto"/>
          </w:tcPr>
          <w:p w14:paraId="7C18F1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E4D4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w:t>
            </w:r>
          </w:p>
          <w:p w14:paraId="5CC826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Specialist support can be accessed through Health New Zealand – Te Whatu Ora Te Toka Tumai Auckland infection prevention team, the medical laboratory, external consultants, and the attending nurse practitioner. </w:t>
            </w:r>
          </w:p>
          <w:p w14:paraId="056DE6D8" w14:textId="77777777" w:rsidR="00000000" w:rsidRPr="00BE00C7" w:rsidRDefault="00000000" w:rsidP="00BE00C7">
            <w:pPr>
              <w:pStyle w:val="OutcomeDescription"/>
              <w:spacing w:before="120" w:after="120"/>
              <w:rPr>
                <w:rFonts w:cs="Arial"/>
                <w:lang w:eastAsia="en-NZ"/>
              </w:rPr>
            </w:pPr>
            <w:r w:rsidRPr="00BE00C7">
              <w:rPr>
                <w:rFonts w:cs="Arial"/>
                <w:lang w:eastAsia="en-NZ"/>
              </w:rPr>
              <w:t>A documented pathway supported risk-based reporting of progress, issues and significant events to the governing body.</w:t>
            </w:r>
          </w:p>
          <w:p w14:paraId="643D930E" w14:textId="77777777" w:rsidR="00000000" w:rsidRPr="00BE00C7" w:rsidRDefault="00000000" w:rsidP="00BE00C7">
            <w:pPr>
              <w:pStyle w:val="OutcomeDescription"/>
              <w:spacing w:before="120" w:after="120"/>
              <w:rPr>
                <w:rFonts w:cs="Arial"/>
                <w:lang w:eastAsia="en-NZ"/>
              </w:rPr>
            </w:pPr>
          </w:p>
        </w:tc>
      </w:tr>
      <w:tr w:rsidR="00CB2AB0" w14:paraId="7DCD556A" w14:textId="77777777">
        <w:tc>
          <w:tcPr>
            <w:tcW w:w="0" w:type="auto"/>
          </w:tcPr>
          <w:p w14:paraId="018BA6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58688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52D8DCD" w14:textId="77777777" w:rsidR="00000000" w:rsidRPr="00BE00C7" w:rsidRDefault="00000000" w:rsidP="00BE00C7">
            <w:pPr>
              <w:pStyle w:val="OutcomeDescription"/>
              <w:spacing w:before="120" w:after="120"/>
              <w:rPr>
                <w:rFonts w:cs="Arial"/>
                <w:lang w:eastAsia="en-NZ"/>
              </w:rPr>
            </w:pPr>
          </w:p>
        </w:tc>
        <w:tc>
          <w:tcPr>
            <w:tcW w:w="0" w:type="auto"/>
          </w:tcPr>
          <w:p w14:paraId="6FA5D7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4CF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was responsible for overseeing and implementing the IP programme with reporting lines to senior management and the governance group. The IPCC had appropriate skills, knowledge and qualifications for the role and confirmed access to the necessary resources and support. Their advice and/or the advice of the national infection prevention expert had been sought when making decisions around procurement relevant to care delivery, design of any new building or facility changes, and policies. </w:t>
            </w:r>
          </w:p>
          <w:p w14:paraId="4BE9F4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were based on current accepted good practice.  Cultural advice can be accessed from the cultural advisor when required. The IP programme was reported on and reviewed annually and was last reviewed on 8 May 2025.</w:t>
            </w:r>
          </w:p>
          <w:p w14:paraId="695D5F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3E192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 response plan was documented and had been regularly tested. There were sufficient resources and personal </w:t>
            </w:r>
            <w:r w:rsidRPr="00BE00C7">
              <w:rPr>
                <w:rFonts w:cs="Arial"/>
                <w:lang w:eastAsia="en-NZ"/>
              </w:rPr>
              <w:lastRenderedPageBreak/>
              <w:t>protective equipment (PPE) available, and staff have been trained accordingly.</w:t>
            </w:r>
          </w:p>
          <w:p w14:paraId="66F7F24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w:t>
            </w:r>
          </w:p>
          <w:p w14:paraId="511716AA" w14:textId="77777777" w:rsidR="00000000" w:rsidRPr="00BE00C7" w:rsidRDefault="00000000" w:rsidP="00BE00C7">
            <w:pPr>
              <w:pStyle w:val="OutcomeDescription"/>
              <w:spacing w:before="120" w:after="120"/>
              <w:rPr>
                <w:rFonts w:cs="Arial"/>
                <w:lang w:eastAsia="en-NZ"/>
              </w:rPr>
            </w:pPr>
          </w:p>
        </w:tc>
      </w:tr>
      <w:tr w:rsidR="00CB2AB0" w14:paraId="11FBCBF2" w14:textId="77777777">
        <w:tc>
          <w:tcPr>
            <w:tcW w:w="0" w:type="auto"/>
          </w:tcPr>
          <w:p w14:paraId="4952C5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775AB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84135CD" w14:textId="77777777" w:rsidR="00000000" w:rsidRPr="00BE00C7" w:rsidRDefault="00000000" w:rsidP="00BE00C7">
            <w:pPr>
              <w:pStyle w:val="OutcomeDescription"/>
              <w:spacing w:before="120" w:after="120"/>
              <w:rPr>
                <w:rFonts w:cs="Arial"/>
                <w:lang w:eastAsia="en-NZ"/>
              </w:rPr>
            </w:pPr>
          </w:p>
        </w:tc>
        <w:tc>
          <w:tcPr>
            <w:tcW w:w="0" w:type="auto"/>
          </w:tcPr>
          <w:p w14:paraId="08B9CD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0680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effectiveness of the AMS programme was evaluated by monitoring antimicrobial use and identifying areas for improvement.  </w:t>
            </w:r>
          </w:p>
          <w:p w14:paraId="236C6F6F" w14:textId="77777777" w:rsidR="00000000" w:rsidRPr="00BE00C7" w:rsidRDefault="00000000" w:rsidP="00BE00C7">
            <w:pPr>
              <w:pStyle w:val="OutcomeDescription"/>
              <w:spacing w:before="120" w:after="120"/>
              <w:rPr>
                <w:rFonts w:cs="Arial"/>
                <w:lang w:eastAsia="en-NZ"/>
              </w:rPr>
            </w:pPr>
          </w:p>
        </w:tc>
      </w:tr>
      <w:tr w:rsidR="00CB2AB0" w14:paraId="26794E93" w14:textId="77777777">
        <w:tc>
          <w:tcPr>
            <w:tcW w:w="0" w:type="auto"/>
          </w:tcPr>
          <w:p w14:paraId="03CBB5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8FE6D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BD9EB4" w14:textId="77777777" w:rsidR="00000000" w:rsidRPr="00BE00C7" w:rsidRDefault="00000000" w:rsidP="00BE00C7">
            <w:pPr>
              <w:pStyle w:val="OutcomeDescription"/>
              <w:spacing w:before="120" w:after="120"/>
              <w:rPr>
                <w:rFonts w:cs="Arial"/>
                <w:lang w:eastAsia="en-NZ"/>
              </w:rPr>
            </w:pPr>
          </w:p>
        </w:tc>
        <w:tc>
          <w:tcPr>
            <w:tcW w:w="0" w:type="auto"/>
          </w:tcPr>
          <w:p w14:paraId="6C7E29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FC59E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using standardised surveillance definitions, was collated and analysed to identify any trends, possible causative factors and required actions. Surveillance included ethnicity data. Results of the surveillance programme were shared with staff and the governance body, and where necessary, recommendations for improvement were identified.  Seven outbreak infections had been reported since the previous audit. A summary report for a recent infection outbreak was reviewed, and it demonstrated a thorough process for investigation and follow-up.  Learnings from the event have now been incorporated into practice.</w:t>
            </w:r>
          </w:p>
          <w:p w14:paraId="72121C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Communication between the clinical team and those residents experiencing a health care-associated infection (HAI) is culturally safe.</w:t>
            </w:r>
          </w:p>
          <w:p w14:paraId="3BE6F607" w14:textId="77777777" w:rsidR="00000000" w:rsidRPr="00BE00C7" w:rsidRDefault="00000000" w:rsidP="00BE00C7">
            <w:pPr>
              <w:pStyle w:val="OutcomeDescription"/>
              <w:spacing w:before="120" w:after="120"/>
              <w:rPr>
                <w:rFonts w:cs="Arial"/>
                <w:lang w:eastAsia="en-NZ"/>
              </w:rPr>
            </w:pPr>
          </w:p>
        </w:tc>
      </w:tr>
      <w:tr w:rsidR="00CB2AB0" w14:paraId="10698930" w14:textId="77777777">
        <w:tc>
          <w:tcPr>
            <w:tcW w:w="0" w:type="auto"/>
          </w:tcPr>
          <w:p w14:paraId="16C823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70DD8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948BD18" w14:textId="77777777" w:rsidR="00000000" w:rsidRPr="00BE00C7" w:rsidRDefault="00000000" w:rsidP="00BE00C7">
            <w:pPr>
              <w:pStyle w:val="OutcomeDescription"/>
              <w:spacing w:before="120" w:after="120"/>
              <w:rPr>
                <w:rFonts w:cs="Arial"/>
                <w:lang w:eastAsia="en-NZ"/>
              </w:rPr>
            </w:pPr>
          </w:p>
        </w:tc>
        <w:tc>
          <w:tcPr>
            <w:tcW w:w="0" w:type="auto"/>
          </w:tcPr>
          <w:p w14:paraId="468AFA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C7C7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772A6AD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Infection prevention personnel had oversight of the environmental testing and monitoring programme.  Staff involved had completed relevant training and were observed to carry out duties safely. Chemicals were stored safely. Cleaning and laundry policies were available to guide staff practice.</w:t>
            </w:r>
          </w:p>
          <w:p w14:paraId="3150E4FD" w14:textId="77777777" w:rsidR="00000000" w:rsidRPr="00BE00C7" w:rsidRDefault="00000000" w:rsidP="00BE00C7">
            <w:pPr>
              <w:pStyle w:val="OutcomeDescription"/>
              <w:spacing w:before="120" w:after="120"/>
              <w:rPr>
                <w:rFonts w:cs="Arial"/>
                <w:lang w:eastAsia="en-NZ"/>
              </w:rPr>
            </w:pPr>
            <w:r w:rsidRPr="00BE00C7">
              <w:rPr>
                <w:rFonts w:cs="Arial"/>
                <w:lang w:eastAsia="en-NZ"/>
              </w:rPr>
              <w:t>Most laundry was completed off site except for delicate clothes, which were laundered on site. Residents and whānau reported that the laundry was managed well, and the facility was kept clean and tidy. This was confirmed through observations.</w:t>
            </w:r>
          </w:p>
          <w:p w14:paraId="076D8A91" w14:textId="77777777" w:rsidR="00000000" w:rsidRPr="00BE00C7" w:rsidRDefault="00000000" w:rsidP="00BE00C7">
            <w:pPr>
              <w:pStyle w:val="OutcomeDescription"/>
              <w:spacing w:before="120" w:after="120"/>
              <w:rPr>
                <w:rFonts w:cs="Arial"/>
                <w:lang w:eastAsia="en-NZ"/>
              </w:rPr>
            </w:pPr>
          </w:p>
        </w:tc>
      </w:tr>
      <w:tr w:rsidR="00CB2AB0" w14:paraId="56549781" w14:textId="77777777">
        <w:tc>
          <w:tcPr>
            <w:tcW w:w="0" w:type="auto"/>
          </w:tcPr>
          <w:p w14:paraId="3BC0A5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8A80E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476182" w14:textId="77777777" w:rsidR="00000000" w:rsidRPr="00BE00C7" w:rsidRDefault="00000000" w:rsidP="00BE00C7">
            <w:pPr>
              <w:pStyle w:val="OutcomeDescription"/>
              <w:spacing w:before="120" w:after="120"/>
              <w:rPr>
                <w:rFonts w:cs="Arial"/>
                <w:lang w:eastAsia="en-NZ"/>
              </w:rPr>
            </w:pPr>
          </w:p>
        </w:tc>
        <w:tc>
          <w:tcPr>
            <w:tcW w:w="0" w:type="auto"/>
          </w:tcPr>
          <w:p w14:paraId="577472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4EBED0"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supported by a member of the executive leadership at operational level.  At the time of audit, one resident was using a restraint. Any use of restraint was reported to the governing body.</w:t>
            </w:r>
          </w:p>
          <w:p w14:paraId="4CFAFD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standards.  Staff had been trained in the least restrictive practice, safe restraint practice, alternative cultural-specific interventions, and de-escalation techniques. </w:t>
            </w:r>
          </w:p>
          <w:p w14:paraId="53E337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was responsible for the approval of the use of restraints and the restraint processes.   There were clear lines of accountability, all restraints had been approved, and the overall use of restraint was monitored and analysed.  Whānau/EPOA were involved in decision-making.</w:t>
            </w:r>
          </w:p>
          <w:p w14:paraId="4EDED9C1" w14:textId="77777777" w:rsidR="00000000" w:rsidRPr="00BE00C7" w:rsidRDefault="00000000" w:rsidP="00BE00C7">
            <w:pPr>
              <w:pStyle w:val="OutcomeDescription"/>
              <w:spacing w:before="120" w:after="120"/>
              <w:rPr>
                <w:rFonts w:cs="Arial"/>
                <w:lang w:eastAsia="en-NZ"/>
              </w:rPr>
            </w:pPr>
          </w:p>
        </w:tc>
      </w:tr>
      <w:tr w:rsidR="00CB2AB0" w14:paraId="761276A1" w14:textId="77777777">
        <w:tc>
          <w:tcPr>
            <w:tcW w:w="0" w:type="auto"/>
          </w:tcPr>
          <w:p w14:paraId="06451A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240D53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E48790A" w14:textId="77777777" w:rsidR="00000000" w:rsidRPr="00BE00C7" w:rsidRDefault="00000000" w:rsidP="00BE00C7">
            <w:pPr>
              <w:pStyle w:val="OutcomeDescription"/>
              <w:spacing w:before="120" w:after="120"/>
              <w:rPr>
                <w:rFonts w:cs="Arial"/>
                <w:lang w:eastAsia="en-NZ"/>
              </w:rPr>
            </w:pPr>
          </w:p>
        </w:tc>
        <w:tc>
          <w:tcPr>
            <w:tcW w:w="0" w:type="auto"/>
          </w:tcPr>
          <w:p w14:paraId="2D5848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F293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was used, this was as a last resort when all alternatives had been explored. Assessments for the use of restraint, monitoring and evaluation were documented and included all requirements of the standard. Whānau confirmed their involvement.  Access to advocacy was facilitated as necessary.   </w:t>
            </w:r>
          </w:p>
          <w:p w14:paraId="2B05E2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restraint was overseen by the restraint coordinator and took into consideration the person’s cultural, physical, psychological, and psychosocial needs, and addressed wairuatanga. </w:t>
            </w:r>
          </w:p>
          <w:p w14:paraId="1BE11C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was maintained and reviewed at each restraint approval group meeting. The register contained enough information to provide an auditable record, including all requirements of the standard. </w:t>
            </w:r>
          </w:p>
          <w:p w14:paraId="2620CD2E" w14:textId="77777777" w:rsidR="00000000" w:rsidRPr="00BE00C7" w:rsidRDefault="00000000" w:rsidP="00BE00C7">
            <w:pPr>
              <w:pStyle w:val="OutcomeDescription"/>
              <w:spacing w:before="120" w:after="120"/>
              <w:rPr>
                <w:rFonts w:cs="Arial"/>
                <w:lang w:eastAsia="en-NZ"/>
              </w:rPr>
            </w:pPr>
            <w:r w:rsidRPr="00BE00C7">
              <w:rPr>
                <w:rFonts w:cs="Arial"/>
                <w:lang w:eastAsia="en-NZ"/>
              </w:rPr>
              <w:t>A person-centred debrief followed any episode of emergency restraint using the most appropriate member of the workforce to do so. No emergency restraint has been used.  Staff have been involved in a timely debrief following any restraint events.</w:t>
            </w:r>
          </w:p>
          <w:p w14:paraId="536C1FF2" w14:textId="77777777" w:rsidR="00000000" w:rsidRPr="00BE00C7" w:rsidRDefault="00000000" w:rsidP="00BE00C7">
            <w:pPr>
              <w:pStyle w:val="OutcomeDescription"/>
              <w:spacing w:before="120" w:after="120"/>
              <w:rPr>
                <w:rFonts w:cs="Arial"/>
                <w:lang w:eastAsia="en-NZ"/>
              </w:rPr>
            </w:pPr>
          </w:p>
        </w:tc>
      </w:tr>
      <w:tr w:rsidR="00CB2AB0" w14:paraId="2D7B6F99" w14:textId="77777777">
        <w:tc>
          <w:tcPr>
            <w:tcW w:w="0" w:type="auto"/>
          </w:tcPr>
          <w:p w14:paraId="3D5DF8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5900C9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E442252" w14:textId="77777777" w:rsidR="00000000" w:rsidRPr="00BE00C7" w:rsidRDefault="00000000" w:rsidP="00BE00C7">
            <w:pPr>
              <w:pStyle w:val="OutcomeDescription"/>
              <w:spacing w:before="120" w:after="120"/>
              <w:rPr>
                <w:rFonts w:cs="Arial"/>
                <w:lang w:eastAsia="en-NZ"/>
              </w:rPr>
            </w:pPr>
          </w:p>
        </w:tc>
        <w:tc>
          <w:tcPr>
            <w:tcW w:w="0" w:type="auto"/>
          </w:tcPr>
          <w:p w14:paraId="66E56E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D834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undertakes a six-monthly review of all restraint use, which includes all the requirements of the standard. The outcome of the review was reported to the governance body.  Any changes to policies, guidelines, education and processes were implemented if indicated. The use of restraint has been reduced to one resident over the last four years.</w:t>
            </w:r>
          </w:p>
          <w:p w14:paraId="236D26EF" w14:textId="77777777" w:rsidR="00000000" w:rsidRPr="00BE00C7" w:rsidRDefault="00000000" w:rsidP="00BE00C7">
            <w:pPr>
              <w:pStyle w:val="OutcomeDescription"/>
              <w:spacing w:before="120" w:after="120"/>
              <w:rPr>
                <w:rFonts w:cs="Arial"/>
                <w:lang w:eastAsia="en-NZ"/>
              </w:rPr>
            </w:pPr>
          </w:p>
        </w:tc>
      </w:tr>
    </w:tbl>
    <w:p w14:paraId="7375131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D69BF94" w14:textId="77777777" w:rsidR="00000000" w:rsidRDefault="00000000">
      <w:pPr>
        <w:pStyle w:val="Heading1"/>
        <w:rPr>
          <w:rFonts w:cs="Arial"/>
        </w:rPr>
      </w:pPr>
      <w:r>
        <w:rPr>
          <w:rFonts w:cs="Arial"/>
        </w:rPr>
        <w:lastRenderedPageBreak/>
        <w:t>Specific results for criterion where corrective actions are required</w:t>
      </w:r>
    </w:p>
    <w:p w14:paraId="0CE77E6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7E86BE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A80C29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2AB0" w14:paraId="47311DDC" w14:textId="77777777">
        <w:tc>
          <w:tcPr>
            <w:tcW w:w="0" w:type="auto"/>
          </w:tcPr>
          <w:p w14:paraId="58B5880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253512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15DCD12" w14:textId="77777777" w:rsidR="00000000" w:rsidRDefault="00000000">
      <w:pPr>
        <w:pStyle w:val="Heading1"/>
        <w:rPr>
          <w:rFonts w:cs="Arial"/>
        </w:rPr>
      </w:pPr>
      <w:r>
        <w:rPr>
          <w:rFonts w:cs="Arial"/>
        </w:rPr>
        <w:lastRenderedPageBreak/>
        <w:t>Specific results for criterion where a continuous improvement has been recorded</w:t>
      </w:r>
    </w:p>
    <w:p w14:paraId="5690D4F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D473F7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15A2DA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2AB0" w14:paraId="60A44184" w14:textId="77777777">
        <w:tc>
          <w:tcPr>
            <w:tcW w:w="0" w:type="auto"/>
          </w:tcPr>
          <w:p w14:paraId="7B96BB8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87261D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72106E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2000" w14:textId="77777777" w:rsidR="00793DE5" w:rsidRDefault="00793DE5">
      <w:r>
        <w:separator/>
      </w:r>
    </w:p>
  </w:endnote>
  <w:endnote w:type="continuationSeparator" w:id="0">
    <w:p w14:paraId="08483CEE" w14:textId="77777777" w:rsidR="00793DE5" w:rsidRDefault="0079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8FAB" w14:textId="77777777" w:rsidR="00000000" w:rsidRDefault="00000000">
    <w:pPr>
      <w:pStyle w:val="Footer"/>
    </w:pPr>
  </w:p>
  <w:p w14:paraId="4C07440D" w14:textId="77777777" w:rsidR="00000000" w:rsidRDefault="00000000"/>
  <w:p w14:paraId="4DCA88A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98F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Meadowbank Village - Care Centre</w:t>
    </w:r>
    <w:bookmarkEnd w:id="59"/>
    <w:r>
      <w:rPr>
        <w:rFonts w:cs="Arial"/>
        <w:sz w:val="16"/>
        <w:szCs w:val="20"/>
      </w:rPr>
      <w:tab/>
      <w:t xml:space="preserve">Date of Audit: </w:t>
    </w:r>
    <w:bookmarkStart w:id="60" w:name="AuditStartDate1"/>
    <w:r>
      <w:rPr>
        <w:rFonts w:cs="Arial"/>
        <w:sz w:val="16"/>
        <w:szCs w:val="20"/>
      </w:rPr>
      <w:t>3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0B022A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167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E957" w14:textId="77777777" w:rsidR="00793DE5" w:rsidRDefault="00793DE5">
      <w:r>
        <w:separator/>
      </w:r>
    </w:p>
  </w:footnote>
  <w:footnote w:type="continuationSeparator" w:id="0">
    <w:p w14:paraId="6B24DD0D" w14:textId="77777777" w:rsidR="00793DE5" w:rsidRDefault="0079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844" w14:textId="77777777" w:rsidR="00000000" w:rsidRDefault="00000000">
    <w:pPr>
      <w:pStyle w:val="Header"/>
    </w:pPr>
  </w:p>
  <w:p w14:paraId="0FB118F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5901" w14:textId="77777777" w:rsidR="00000000" w:rsidRDefault="00000000">
    <w:pPr>
      <w:pStyle w:val="Header"/>
    </w:pPr>
  </w:p>
  <w:p w14:paraId="5E08665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44F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904081A">
      <w:start w:val="1"/>
      <w:numFmt w:val="decimal"/>
      <w:lvlText w:val="%1."/>
      <w:lvlJc w:val="left"/>
      <w:pPr>
        <w:ind w:left="360" w:hanging="360"/>
      </w:pPr>
    </w:lvl>
    <w:lvl w:ilvl="1" w:tplc="3230BA92" w:tentative="1">
      <w:start w:val="1"/>
      <w:numFmt w:val="lowerLetter"/>
      <w:lvlText w:val="%2."/>
      <w:lvlJc w:val="left"/>
      <w:pPr>
        <w:ind w:left="1080" w:hanging="360"/>
      </w:pPr>
    </w:lvl>
    <w:lvl w:ilvl="2" w:tplc="12743A84" w:tentative="1">
      <w:start w:val="1"/>
      <w:numFmt w:val="lowerRoman"/>
      <w:lvlText w:val="%3."/>
      <w:lvlJc w:val="right"/>
      <w:pPr>
        <w:ind w:left="1800" w:hanging="180"/>
      </w:pPr>
    </w:lvl>
    <w:lvl w:ilvl="3" w:tplc="252669DA" w:tentative="1">
      <w:start w:val="1"/>
      <w:numFmt w:val="decimal"/>
      <w:lvlText w:val="%4."/>
      <w:lvlJc w:val="left"/>
      <w:pPr>
        <w:ind w:left="2520" w:hanging="360"/>
      </w:pPr>
    </w:lvl>
    <w:lvl w:ilvl="4" w:tplc="2676E914" w:tentative="1">
      <w:start w:val="1"/>
      <w:numFmt w:val="lowerLetter"/>
      <w:lvlText w:val="%5."/>
      <w:lvlJc w:val="left"/>
      <w:pPr>
        <w:ind w:left="3240" w:hanging="360"/>
      </w:pPr>
    </w:lvl>
    <w:lvl w:ilvl="5" w:tplc="54F24020" w:tentative="1">
      <w:start w:val="1"/>
      <w:numFmt w:val="lowerRoman"/>
      <w:lvlText w:val="%6."/>
      <w:lvlJc w:val="right"/>
      <w:pPr>
        <w:ind w:left="3960" w:hanging="180"/>
      </w:pPr>
    </w:lvl>
    <w:lvl w:ilvl="6" w:tplc="98BAB01E" w:tentative="1">
      <w:start w:val="1"/>
      <w:numFmt w:val="decimal"/>
      <w:lvlText w:val="%7."/>
      <w:lvlJc w:val="left"/>
      <w:pPr>
        <w:ind w:left="4680" w:hanging="360"/>
      </w:pPr>
    </w:lvl>
    <w:lvl w:ilvl="7" w:tplc="0BC03708" w:tentative="1">
      <w:start w:val="1"/>
      <w:numFmt w:val="lowerLetter"/>
      <w:lvlText w:val="%8."/>
      <w:lvlJc w:val="left"/>
      <w:pPr>
        <w:ind w:left="5400" w:hanging="360"/>
      </w:pPr>
    </w:lvl>
    <w:lvl w:ilvl="8" w:tplc="7E5E6C9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C169EEC">
      <w:start w:val="1"/>
      <w:numFmt w:val="bullet"/>
      <w:lvlText w:val=""/>
      <w:lvlJc w:val="left"/>
      <w:pPr>
        <w:ind w:left="720" w:hanging="360"/>
      </w:pPr>
      <w:rPr>
        <w:rFonts w:ascii="Symbol" w:hAnsi="Symbol" w:hint="default"/>
      </w:rPr>
    </w:lvl>
    <w:lvl w:ilvl="1" w:tplc="58AC52D6" w:tentative="1">
      <w:start w:val="1"/>
      <w:numFmt w:val="bullet"/>
      <w:lvlText w:val="o"/>
      <w:lvlJc w:val="left"/>
      <w:pPr>
        <w:ind w:left="1440" w:hanging="360"/>
      </w:pPr>
      <w:rPr>
        <w:rFonts w:ascii="Courier New" w:hAnsi="Courier New" w:cs="Courier New" w:hint="default"/>
      </w:rPr>
    </w:lvl>
    <w:lvl w:ilvl="2" w:tplc="2F6A71D0" w:tentative="1">
      <w:start w:val="1"/>
      <w:numFmt w:val="bullet"/>
      <w:lvlText w:val=""/>
      <w:lvlJc w:val="left"/>
      <w:pPr>
        <w:ind w:left="2160" w:hanging="360"/>
      </w:pPr>
      <w:rPr>
        <w:rFonts w:ascii="Wingdings" w:hAnsi="Wingdings" w:hint="default"/>
      </w:rPr>
    </w:lvl>
    <w:lvl w:ilvl="3" w:tplc="9FDC3140" w:tentative="1">
      <w:start w:val="1"/>
      <w:numFmt w:val="bullet"/>
      <w:lvlText w:val=""/>
      <w:lvlJc w:val="left"/>
      <w:pPr>
        <w:ind w:left="2880" w:hanging="360"/>
      </w:pPr>
      <w:rPr>
        <w:rFonts w:ascii="Symbol" w:hAnsi="Symbol" w:hint="default"/>
      </w:rPr>
    </w:lvl>
    <w:lvl w:ilvl="4" w:tplc="D9AC509E" w:tentative="1">
      <w:start w:val="1"/>
      <w:numFmt w:val="bullet"/>
      <w:lvlText w:val="o"/>
      <w:lvlJc w:val="left"/>
      <w:pPr>
        <w:ind w:left="3600" w:hanging="360"/>
      </w:pPr>
      <w:rPr>
        <w:rFonts w:ascii="Courier New" w:hAnsi="Courier New" w:cs="Courier New" w:hint="default"/>
      </w:rPr>
    </w:lvl>
    <w:lvl w:ilvl="5" w:tplc="1EB44232" w:tentative="1">
      <w:start w:val="1"/>
      <w:numFmt w:val="bullet"/>
      <w:lvlText w:val=""/>
      <w:lvlJc w:val="left"/>
      <w:pPr>
        <w:ind w:left="4320" w:hanging="360"/>
      </w:pPr>
      <w:rPr>
        <w:rFonts w:ascii="Wingdings" w:hAnsi="Wingdings" w:hint="default"/>
      </w:rPr>
    </w:lvl>
    <w:lvl w:ilvl="6" w:tplc="C95A033C" w:tentative="1">
      <w:start w:val="1"/>
      <w:numFmt w:val="bullet"/>
      <w:lvlText w:val=""/>
      <w:lvlJc w:val="left"/>
      <w:pPr>
        <w:ind w:left="5040" w:hanging="360"/>
      </w:pPr>
      <w:rPr>
        <w:rFonts w:ascii="Symbol" w:hAnsi="Symbol" w:hint="default"/>
      </w:rPr>
    </w:lvl>
    <w:lvl w:ilvl="7" w:tplc="55A4FA1A" w:tentative="1">
      <w:start w:val="1"/>
      <w:numFmt w:val="bullet"/>
      <w:lvlText w:val="o"/>
      <w:lvlJc w:val="left"/>
      <w:pPr>
        <w:ind w:left="5760" w:hanging="360"/>
      </w:pPr>
      <w:rPr>
        <w:rFonts w:ascii="Courier New" w:hAnsi="Courier New" w:cs="Courier New" w:hint="default"/>
      </w:rPr>
    </w:lvl>
    <w:lvl w:ilvl="8" w:tplc="66F427D8" w:tentative="1">
      <w:start w:val="1"/>
      <w:numFmt w:val="bullet"/>
      <w:lvlText w:val=""/>
      <w:lvlJc w:val="left"/>
      <w:pPr>
        <w:ind w:left="6480" w:hanging="360"/>
      </w:pPr>
      <w:rPr>
        <w:rFonts w:ascii="Wingdings" w:hAnsi="Wingdings" w:hint="default"/>
      </w:rPr>
    </w:lvl>
  </w:abstractNum>
  <w:num w:numId="1" w16cid:durableId="871915010">
    <w:abstractNumId w:val="1"/>
  </w:num>
  <w:num w:numId="2" w16cid:durableId="147463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B0"/>
    <w:rsid w:val="000F6752"/>
    <w:rsid w:val="00793DE5"/>
    <w:rsid w:val="00B36DDE"/>
    <w:rsid w:val="00CB2AB0"/>
    <w:rsid w:val="00E60A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3BFE"/>
  <w15:docId w15:val="{E731F0D6-B253-4B42-8499-9F8A729B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9554</Words>
  <Characters>54462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2025-09-01T21:38:00Z</dcterms:created>
  <dcterms:modified xsi:type="dcterms:W3CDTF">2025-09-01T22:02:00Z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