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9767" w14:textId="77777777" w:rsidR="00771BF3" w:rsidRDefault="00771BF3">
      <w:pPr>
        <w:pStyle w:val="Heading1"/>
        <w:rPr>
          <w:rFonts w:cs="Arial"/>
        </w:rPr>
      </w:pPr>
      <w:bookmarkStart w:id="0" w:name="PRMS_RIName"/>
      <w:r>
        <w:rPr>
          <w:rFonts w:cs="Arial"/>
        </w:rPr>
        <w:t>Avondale Lifecare Limited - Avondale Lifecare</w:t>
      </w:r>
      <w:bookmarkEnd w:id="0"/>
    </w:p>
    <w:p w14:paraId="63A01292" w14:textId="77777777" w:rsidR="00771BF3" w:rsidRDefault="00771BF3">
      <w:pPr>
        <w:pStyle w:val="Heading2"/>
        <w:spacing w:after="0"/>
        <w:rPr>
          <w:rFonts w:cs="Arial"/>
        </w:rPr>
      </w:pPr>
      <w:r>
        <w:rPr>
          <w:rFonts w:cs="Arial"/>
        </w:rPr>
        <w:t>Introduction</w:t>
      </w:r>
    </w:p>
    <w:p w14:paraId="0EF5682C" w14:textId="77777777" w:rsidR="00771BF3" w:rsidRDefault="00771BF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7AA207F" w14:textId="77777777" w:rsidR="00771BF3" w:rsidRDefault="00771BF3">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4AD9109" w14:textId="77777777" w:rsidR="00771BF3" w:rsidRDefault="00771BF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1A1EB80" w14:textId="77777777" w:rsidR="00771BF3" w:rsidRDefault="00771BF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BD4502F" w14:textId="77777777" w:rsidR="00771BF3" w:rsidRDefault="00771BF3">
      <w:pPr>
        <w:spacing w:before="240" w:after="240"/>
        <w:rPr>
          <w:rFonts w:cs="Arial"/>
          <w:lang w:eastAsia="en-NZ"/>
        </w:rPr>
      </w:pPr>
      <w:r>
        <w:rPr>
          <w:rFonts w:cs="Arial"/>
          <w:lang w:eastAsia="en-NZ"/>
        </w:rPr>
        <w:t>The specifics of this audit included:</w:t>
      </w:r>
    </w:p>
    <w:p w14:paraId="7B150E3C" w14:textId="77777777" w:rsidR="00771BF3" w:rsidRPr="009D18F5" w:rsidRDefault="00771BF3" w:rsidP="009D18F5">
      <w:pPr>
        <w:pBdr>
          <w:top w:val="single" w:sz="4" w:space="1" w:color="auto"/>
          <w:left w:val="single" w:sz="4" w:space="4" w:color="auto"/>
          <w:bottom w:val="single" w:sz="4" w:space="1" w:color="auto"/>
          <w:right w:val="single" w:sz="4" w:space="4" w:color="auto"/>
        </w:pBdr>
        <w:rPr>
          <w:rFonts w:cs="Arial"/>
        </w:rPr>
      </w:pPr>
    </w:p>
    <w:p w14:paraId="71D01AF7" w14:textId="77777777" w:rsidR="00771BF3" w:rsidRPr="009418D4" w:rsidRDefault="00771BF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Avondale Lifecare Limited</w:t>
      </w:r>
      <w:bookmarkEnd w:id="4"/>
    </w:p>
    <w:p w14:paraId="57A769A5" w14:textId="77777777" w:rsidR="00771BF3" w:rsidRPr="009418D4" w:rsidRDefault="00771BF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Avondale Lifecare</w:t>
      </w:r>
      <w:bookmarkEnd w:id="5"/>
    </w:p>
    <w:p w14:paraId="4C8CB8C8" w14:textId="77777777" w:rsidR="00771BF3" w:rsidRPr="009418D4" w:rsidRDefault="00771BF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D99A254" w14:textId="77777777" w:rsidR="00771BF3" w:rsidRPr="009418D4" w:rsidRDefault="00771BF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July 2025</w:t>
      </w:r>
      <w:bookmarkEnd w:id="7"/>
      <w:r w:rsidRPr="009418D4">
        <w:rPr>
          <w:rFonts w:cs="Arial"/>
        </w:rPr>
        <w:tab/>
      </w:r>
      <w:r w:rsidRPr="009418D4">
        <w:rPr>
          <w:rFonts w:cs="Arial"/>
        </w:rPr>
        <w:t xml:space="preserve">End date: </w:t>
      </w:r>
      <w:bookmarkStart w:id="8" w:name="AuditEndDate"/>
      <w:r>
        <w:rPr>
          <w:rFonts w:cs="Arial"/>
        </w:rPr>
        <w:t>8 July 2025</w:t>
      </w:r>
      <w:bookmarkEnd w:id="8"/>
    </w:p>
    <w:p w14:paraId="19F549E8" w14:textId="77777777" w:rsidR="00771BF3" w:rsidRPr="009418D4" w:rsidRDefault="00771BF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2211781" w14:textId="77777777" w:rsidR="00220191" w:rsidRPr="009418D4" w:rsidRDefault="00771BF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71</w:t>
      </w:r>
      <w:bookmarkEnd w:id="10"/>
    </w:p>
    <w:p w14:paraId="7A8FA1FA" w14:textId="77777777" w:rsidR="00771BF3" w:rsidRDefault="00771BF3" w:rsidP="009D18F5">
      <w:pPr>
        <w:pBdr>
          <w:top w:val="single" w:sz="4" w:space="1" w:color="auto"/>
          <w:left w:val="single" w:sz="4" w:space="4" w:color="auto"/>
          <w:bottom w:val="single" w:sz="4" w:space="1" w:color="auto"/>
          <w:right w:val="single" w:sz="4" w:space="4" w:color="auto"/>
        </w:pBdr>
        <w:rPr>
          <w:rFonts w:cs="Arial"/>
          <w:lang w:eastAsia="en-NZ"/>
        </w:rPr>
      </w:pPr>
    </w:p>
    <w:p w14:paraId="7345E63C" w14:textId="77777777" w:rsidR="00771BF3" w:rsidRDefault="00771BF3">
      <w:pPr>
        <w:pStyle w:val="Heading1"/>
        <w:rPr>
          <w:rFonts w:cs="Arial"/>
        </w:rPr>
      </w:pPr>
      <w:r>
        <w:rPr>
          <w:rFonts w:cs="Arial"/>
        </w:rPr>
        <w:lastRenderedPageBreak/>
        <w:t>Executive summary of the audit</w:t>
      </w:r>
    </w:p>
    <w:p w14:paraId="5B9E73B9" w14:textId="77777777" w:rsidR="00771BF3" w:rsidRDefault="00771BF3">
      <w:pPr>
        <w:pStyle w:val="Heading2"/>
        <w:rPr>
          <w:rFonts w:cs="Arial"/>
        </w:rPr>
      </w:pPr>
      <w:r>
        <w:rPr>
          <w:rFonts w:cs="Arial"/>
        </w:rPr>
        <w:t>Introduction</w:t>
      </w:r>
    </w:p>
    <w:p w14:paraId="68CA57A5" w14:textId="77777777" w:rsidR="00771BF3" w:rsidRDefault="00771BF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91542C" w14:textId="77777777" w:rsidR="00771BF3" w:rsidRDefault="00771BF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56DFCC" w14:textId="77777777" w:rsidR="00771BF3" w:rsidRDefault="00771BF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6D45758" w14:textId="77777777" w:rsidR="00771BF3" w:rsidRDefault="00771BF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w:t>
      </w:r>
      <w:r>
        <w:rPr>
          <w:rFonts w:cs="Arial"/>
          <w:lang w:eastAsia="en-NZ"/>
        </w:rPr>
        <w:t xml:space="preserve">oranga </w:t>
      </w:r>
      <w:bookmarkEnd w:id="12"/>
      <w:r>
        <w:rPr>
          <w:rFonts w:cs="Arial"/>
          <w:lang w:eastAsia="en-NZ"/>
        </w:rPr>
        <w:t>│ pathways to wellbeing</w:t>
      </w:r>
    </w:p>
    <w:p w14:paraId="2B27BAB0" w14:textId="77777777" w:rsidR="00771BF3" w:rsidRDefault="00771BF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E31C51C" w14:textId="77777777" w:rsidR="00771BF3" w:rsidRDefault="00771BF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6638E7A" w14:textId="77777777" w:rsidR="00771BF3" w:rsidRDefault="00771BF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45DA6D9" w14:textId="77777777" w:rsidR="00771BF3" w:rsidRDefault="00771BF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7D6CC71" w14:textId="77777777" w:rsidR="00771BF3" w:rsidRDefault="00771BF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20191" w14:paraId="2F417FC7" w14:textId="77777777">
        <w:trPr>
          <w:cantSplit/>
          <w:tblHeader/>
        </w:trPr>
        <w:tc>
          <w:tcPr>
            <w:tcW w:w="1260" w:type="dxa"/>
            <w:tcBorders>
              <w:bottom w:val="single" w:sz="4" w:space="0" w:color="000000"/>
            </w:tcBorders>
            <w:vAlign w:val="center"/>
          </w:tcPr>
          <w:p w14:paraId="166DDD66" w14:textId="77777777" w:rsidR="00771BF3" w:rsidRDefault="00771BF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FD35D70" w14:textId="77777777" w:rsidR="00771BF3" w:rsidRDefault="00771BF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AB43AD3" w14:textId="77777777" w:rsidR="00771BF3" w:rsidRDefault="00771BF3">
            <w:pPr>
              <w:spacing w:before="60" w:after="60"/>
              <w:rPr>
                <w:rFonts w:eastAsia="Calibri"/>
                <w:b/>
                <w:szCs w:val="24"/>
              </w:rPr>
            </w:pPr>
            <w:r>
              <w:rPr>
                <w:rFonts w:eastAsia="Calibri"/>
                <w:b/>
                <w:szCs w:val="24"/>
              </w:rPr>
              <w:t>Definition</w:t>
            </w:r>
          </w:p>
        </w:tc>
      </w:tr>
      <w:tr w:rsidR="00220191" w14:paraId="3E7C838A" w14:textId="77777777">
        <w:trPr>
          <w:cantSplit/>
          <w:trHeight w:val="964"/>
        </w:trPr>
        <w:tc>
          <w:tcPr>
            <w:tcW w:w="1260" w:type="dxa"/>
            <w:tcBorders>
              <w:bottom w:val="single" w:sz="4" w:space="0" w:color="000000"/>
            </w:tcBorders>
            <w:shd w:val="clear" w:color="0066FF" w:fill="0000FF"/>
            <w:vAlign w:val="center"/>
          </w:tcPr>
          <w:p w14:paraId="7ECFC7EF" w14:textId="77777777" w:rsidR="00771BF3" w:rsidRDefault="00771BF3">
            <w:pPr>
              <w:spacing w:before="60" w:after="60"/>
              <w:rPr>
                <w:rFonts w:eastAsia="Calibri"/>
                <w:szCs w:val="24"/>
              </w:rPr>
            </w:pPr>
          </w:p>
        </w:tc>
        <w:tc>
          <w:tcPr>
            <w:tcW w:w="7095" w:type="dxa"/>
            <w:tcBorders>
              <w:bottom w:val="single" w:sz="4" w:space="0" w:color="000000"/>
            </w:tcBorders>
            <w:shd w:val="clear" w:color="auto" w:fill="auto"/>
            <w:vAlign w:val="center"/>
          </w:tcPr>
          <w:p w14:paraId="04362971" w14:textId="77777777" w:rsidR="00771BF3" w:rsidRDefault="00771BF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CE09338" w14:textId="77777777" w:rsidR="00771BF3" w:rsidRDefault="00771BF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220191" w14:paraId="4FD35664" w14:textId="77777777">
        <w:trPr>
          <w:cantSplit/>
          <w:trHeight w:val="964"/>
        </w:trPr>
        <w:tc>
          <w:tcPr>
            <w:tcW w:w="1260" w:type="dxa"/>
            <w:shd w:val="clear" w:color="33CC33" w:fill="00FF00"/>
            <w:vAlign w:val="center"/>
          </w:tcPr>
          <w:p w14:paraId="49CF27D0" w14:textId="77777777" w:rsidR="00771BF3" w:rsidRDefault="00771BF3">
            <w:pPr>
              <w:spacing w:before="60" w:after="60"/>
              <w:rPr>
                <w:rFonts w:eastAsia="Calibri"/>
                <w:szCs w:val="24"/>
              </w:rPr>
            </w:pPr>
          </w:p>
        </w:tc>
        <w:tc>
          <w:tcPr>
            <w:tcW w:w="7095" w:type="dxa"/>
            <w:shd w:val="clear" w:color="auto" w:fill="auto"/>
            <w:vAlign w:val="center"/>
          </w:tcPr>
          <w:p w14:paraId="2B3738DF" w14:textId="77777777" w:rsidR="00771BF3" w:rsidRDefault="00771BF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08D827B" w14:textId="77777777" w:rsidR="00771BF3" w:rsidRDefault="00771BF3">
            <w:pPr>
              <w:spacing w:before="60" w:after="60"/>
              <w:ind w:left="50"/>
              <w:rPr>
                <w:rFonts w:eastAsia="Calibri"/>
                <w:szCs w:val="24"/>
              </w:rPr>
            </w:pPr>
            <w:r w:rsidRPr="00FB778F">
              <w:rPr>
                <w:rFonts w:eastAsia="Calibri"/>
                <w:szCs w:val="24"/>
              </w:rPr>
              <w:t>Subsections applicable to this service fully attained</w:t>
            </w:r>
          </w:p>
        </w:tc>
      </w:tr>
      <w:tr w:rsidR="00220191" w14:paraId="314E6CFA" w14:textId="77777777">
        <w:trPr>
          <w:cantSplit/>
          <w:trHeight w:val="964"/>
        </w:trPr>
        <w:tc>
          <w:tcPr>
            <w:tcW w:w="1260" w:type="dxa"/>
            <w:tcBorders>
              <w:bottom w:val="single" w:sz="4" w:space="0" w:color="000000"/>
            </w:tcBorders>
            <w:shd w:val="clear" w:color="auto" w:fill="FFFF00"/>
            <w:vAlign w:val="center"/>
          </w:tcPr>
          <w:p w14:paraId="79A60C86" w14:textId="77777777" w:rsidR="00771BF3" w:rsidRDefault="00771BF3">
            <w:pPr>
              <w:spacing w:before="60" w:after="60"/>
              <w:rPr>
                <w:rFonts w:eastAsia="Calibri"/>
                <w:szCs w:val="24"/>
              </w:rPr>
            </w:pPr>
          </w:p>
        </w:tc>
        <w:tc>
          <w:tcPr>
            <w:tcW w:w="7095" w:type="dxa"/>
            <w:shd w:val="clear" w:color="auto" w:fill="auto"/>
            <w:vAlign w:val="center"/>
          </w:tcPr>
          <w:p w14:paraId="723B5FF2" w14:textId="77777777" w:rsidR="00771BF3" w:rsidRDefault="00771BF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ADCBD13" w14:textId="77777777" w:rsidR="00771BF3" w:rsidRDefault="00771BF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220191" w14:paraId="06C475E4" w14:textId="77777777">
        <w:trPr>
          <w:cantSplit/>
          <w:trHeight w:val="964"/>
        </w:trPr>
        <w:tc>
          <w:tcPr>
            <w:tcW w:w="1260" w:type="dxa"/>
            <w:tcBorders>
              <w:bottom w:val="single" w:sz="4" w:space="0" w:color="000000"/>
            </w:tcBorders>
            <w:shd w:val="clear" w:color="auto" w:fill="FFC800"/>
            <w:vAlign w:val="center"/>
          </w:tcPr>
          <w:p w14:paraId="28B77C07" w14:textId="77777777" w:rsidR="00771BF3" w:rsidRDefault="00771BF3">
            <w:pPr>
              <w:spacing w:before="60" w:after="60"/>
              <w:rPr>
                <w:rFonts w:eastAsia="Calibri"/>
                <w:szCs w:val="24"/>
              </w:rPr>
            </w:pPr>
          </w:p>
        </w:tc>
        <w:tc>
          <w:tcPr>
            <w:tcW w:w="7095" w:type="dxa"/>
            <w:tcBorders>
              <w:bottom w:val="single" w:sz="4" w:space="0" w:color="000000"/>
            </w:tcBorders>
            <w:shd w:val="clear" w:color="auto" w:fill="auto"/>
            <w:vAlign w:val="center"/>
          </w:tcPr>
          <w:p w14:paraId="221DDDC7" w14:textId="77777777" w:rsidR="00771BF3" w:rsidRDefault="00771BF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ED1EED6" w14:textId="77777777" w:rsidR="00771BF3" w:rsidRDefault="00771BF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20191" w14:paraId="29E789BF" w14:textId="77777777">
        <w:trPr>
          <w:cantSplit/>
          <w:trHeight w:val="964"/>
        </w:trPr>
        <w:tc>
          <w:tcPr>
            <w:tcW w:w="1260" w:type="dxa"/>
            <w:shd w:val="clear" w:color="auto" w:fill="FF0000"/>
            <w:vAlign w:val="center"/>
          </w:tcPr>
          <w:p w14:paraId="39EB5FE7" w14:textId="77777777" w:rsidR="00771BF3" w:rsidRDefault="00771BF3">
            <w:pPr>
              <w:spacing w:before="60" w:after="60"/>
              <w:rPr>
                <w:rFonts w:eastAsia="Calibri"/>
                <w:szCs w:val="24"/>
              </w:rPr>
            </w:pPr>
          </w:p>
        </w:tc>
        <w:tc>
          <w:tcPr>
            <w:tcW w:w="7095" w:type="dxa"/>
            <w:shd w:val="clear" w:color="auto" w:fill="auto"/>
            <w:vAlign w:val="center"/>
          </w:tcPr>
          <w:p w14:paraId="15CB03FA" w14:textId="77777777" w:rsidR="00771BF3" w:rsidRDefault="00771BF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864463E" w14:textId="77777777" w:rsidR="00771BF3" w:rsidRDefault="00771BF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29C3A55" w14:textId="77777777" w:rsidR="00771BF3" w:rsidRDefault="00771BF3">
      <w:pPr>
        <w:pStyle w:val="Heading2"/>
        <w:spacing w:after="0"/>
        <w:rPr>
          <w:rFonts w:cs="Arial"/>
        </w:rPr>
      </w:pPr>
      <w:r>
        <w:rPr>
          <w:rFonts w:cs="Arial"/>
        </w:rPr>
        <w:t>General overview of the audit</w:t>
      </w:r>
    </w:p>
    <w:p w14:paraId="2E768F78" w14:textId="77777777" w:rsidR="00771BF3" w:rsidRDefault="00771BF3">
      <w:pPr>
        <w:spacing w:before="240" w:line="276" w:lineRule="auto"/>
        <w:rPr>
          <w:rFonts w:eastAsia="Calibri"/>
        </w:rPr>
      </w:pPr>
      <w:bookmarkStart w:id="13" w:name="GeneralOverview"/>
      <w:r w:rsidRPr="00A4268A">
        <w:rPr>
          <w:rFonts w:eastAsia="Calibri"/>
        </w:rPr>
        <w:t xml:space="preserve">New Zealand Aged Care Service Limited – Avondale Lifecare provides rest home, hospital and dementia care services for up to 72 residents. There have been no changes to the </w:t>
      </w:r>
      <w:r w:rsidRPr="00A4268A">
        <w:rPr>
          <w:rFonts w:eastAsia="Calibri"/>
        </w:rPr>
        <w:t>facility since the previous audit.</w:t>
      </w:r>
    </w:p>
    <w:p w14:paraId="156AB81A" w14:textId="77777777" w:rsidR="00220191" w:rsidRPr="00A4268A" w:rsidRDefault="00771BF3">
      <w:pPr>
        <w:spacing w:before="240" w:line="276" w:lineRule="auto"/>
        <w:rPr>
          <w:rFonts w:eastAsia="Calibri"/>
        </w:rPr>
      </w:pPr>
      <w:r w:rsidRPr="00A4268A">
        <w:rPr>
          <w:rFonts w:eastAsia="Calibri"/>
        </w:rPr>
        <w:t xml:space="preserve">This certification audit was conducted against the Ngā Paerewa Health and Disability Services Standard NZS 8134:2021 and the provider’s contract with Health New Zealand – Te Whatu Ora Te Toka Tumai Auckland. The certification process included review of policies and procedures, review of resident and staff records, observations, and interviews with residents, family members, members of the governance group, managers, staff, contracted allied health providers, and a general practitioner. </w:t>
      </w:r>
    </w:p>
    <w:p w14:paraId="3A257831" w14:textId="77777777" w:rsidR="00220191" w:rsidRPr="00A4268A" w:rsidRDefault="00771BF3">
      <w:pPr>
        <w:spacing w:before="240" w:line="276" w:lineRule="auto"/>
        <w:rPr>
          <w:rFonts w:eastAsia="Calibri"/>
        </w:rPr>
      </w:pPr>
      <w:r w:rsidRPr="00A4268A">
        <w:rPr>
          <w:rFonts w:eastAsia="Calibri"/>
        </w:rPr>
        <w:t>One improvement was identified in relation to entry and decline rates including specific data for Māori, which has not yet been implemented.</w:t>
      </w:r>
    </w:p>
    <w:bookmarkEnd w:id="13"/>
    <w:p w14:paraId="4A80B2DC" w14:textId="77777777" w:rsidR="00220191" w:rsidRPr="00A4268A" w:rsidRDefault="00220191">
      <w:pPr>
        <w:spacing w:before="240" w:line="276" w:lineRule="auto"/>
        <w:rPr>
          <w:rFonts w:eastAsia="Calibri"/>
        </w:rPr>
      </w:pPr>
    </w:p>
    <w:p w14:paraId="465A9191" w14:textId="77777777" w:rsidR="00771BF3" w:rsidRDefault="00771BF3"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191" w14:paraId="5FCBCA4E" w14:textId="77777777" w:rsidTr="00A4268A">
        <w:trPr>
          <w:cantSplit/>
        </w:trPr>
        <w:tc>
          <w:tcPr>
            <w:tcW w:w="10206" w:type="dxa"/>
            <w:vAlign w:val="center"/>
          </w:tcPr>
          <w:p w14:paraId="1B8F33E1" w14:textId="77777777" w:rsidR="00771BF3" w:rsidRPr="00FB778F" w:rsidRDefault="00771BF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FC60E29" w14:textId="77777777" w:rsidR="00771BF3" w:rsidRPr="00621629" w:rsidRDefault="00771BF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C1A296A" w14:textId="77777777" w:rsidR="00771BF3" w:rsidRPr="00621629" w:rsidRDefault="00771BF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2B39E47" w14:textId="77777777" w:rsidR="00771BF3" w:rsidRPr="00621629" w:rsidRDefault="00771BF3" w:rsidP="008F3634">
            <w:pPr>
              <w:spacing w:before="60" w:after="60" w:line="276" w:lineRule="auto"/>
              <w:rPr>
                <w:rFonts w:eastAsia="Calibri"/>
              </w:rPr>
            </w:pPr>
            <w:bookmarkStart w:id="15" w:name="IndicatorDescription1_1"/>
            <w:bookmarkEnd w:id="15"/>
            <w:r>
              <w:t>Subsections applicable to this service fully attained.</w:t>
            </w:r>
          </w:p>
        </w:tc>
      </w:tr>
    </w:tbl>
    <w:p w14:paraId="281CFB3D" w14:textId="77777777" w:rsidR="00771BF3" w:rsidRDefault="00771BF3">
      <w:pPr>
        <w:spacing w:before="240" w:line="276" w:lineRule="auto"/>
        <w:rPr>
          <w:rFonts w:eastAsia="Calibri"/>
        </w:rPr>
      </w:pPr>
      <w:bookmarkStart w:id="16" w:name="ConsumerRights"/>
      <w:r w:rsidRPr="00A4268A">
        <w:rPr>
          <w:rFonts w:eastAsia="Calibri"/>
        </w:rPr>
        <w:lastRenderedPageBreak/>
        <w:t xml:space="preserve">Avondale Lifecare works collaboratively to support and encourage a Māori world view of health in service delivery. Māori are provided with equitable and effective services based on Te Tiriti o Waitangi and the principles of mana motuhake. </w:t>
      </w:r>
    </w:p>
    <w:p w14:paraId="7ADF1206" w14:textId="77777777" w:rsidR="00220191" w:rsidRPr="00A4268A" w:rsidRDefault="00771BF3">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5AC3593A" w14:textId="77777777" w:rsidR="00220191" w:rsidRPr="00A4268A" w:rsidRDefault="00771BF3">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 Professional boundaries are observed by staff.</w:t>
      </w:r>
    </w:p>
    <w:p w14:paraId="1342F963" w14:textId="77777777" w:rsidR="00220191" w:rsidRPr="00A4268A" w:rsidRDefault="00771BF3">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0B661359" w14:textId="77777777" w:rsidR="00220191" w:rsidRPr="00A4268A" w:rsidRDefault="00771BF3">
      <w:pPr>
        <w:spacing w:before="240" w:line="276" w:lineRule="auto"/>
        <w:rPr>
          <w:rFonts w:eastAsia="Calibri"/>
        </w:rPr>
      </w:pPr>
      <w:r w:rsidRPr="00A4268A">
        <w:rPr>
          <w:rFonts w:eastAsia="Calibri"/>
        </w:rPr>
        <w:t>Complaints are resolved promptly and effectively in collaboration with all parties involved.</w:t>
      </w:r>
    </w:p>
    <w:bookmarkEnd w:id="16"/>
    <w:p w14:paraId="660102A4" w14:textId="77777777" w:rsidR="00220191" w:rsidRPr="00A4268A" w:rsidRDefault="00220191">
      <w:pPr>
        <w:spacing w:before="240" w:line="276" w:lineRule="auto"/>
        <w:rPr>
          <w:rFonts w:eastAsia="Calibri"/>
        </w:rPr>
      </w:pPr>
    </w:p>
    <w:p w14:paraId="4FCF2817" w14:textId="77777777" w:rsidR="00771BF3" w:rsidRDefault="00771BF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191" w14:paraId="07D71C61" w14:textId="77777777" w:rsidTr="00A4268A">
        <w:trPr>
          <w:cantSplit/>
        </w:trPr>
        <w:tc>
          <w:tcPr>
            <w:tcW w:w="10206" w:type="dxa"/>
            <w:vAlign w:val="center"/>
          </w:tcPr>
          <w:p w14:paraId="5941E461" w14:textId="77777777" w:rsidR="00771BF3" w:rsidRPr="00621629" w:rsidRDefault="00771BF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FE337E7" w14:textId="77777777" w:rsidR="00771BF3" w:rsidRPr="00621629" w:rsidRDefault="00771BF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AE46A83" w14:textId="77777777" w:rsidR="00771BF3" w:rsidRPr="00621629" w:rsidRDefault="00771BF3" w:rsidP="00621629">
            <w:pPr>
              <w:spacing w:before="60" w:after="60" w:line="276" w:lineRule="auto"/>
              <w:rPr>
                <w:rFonts w:eastAsia="Calibri"/>
              </w:rPr>
            </w:pPr>
            <w:bookmarkStart w:id="18" w:name="IndicatorDescription1_2"/>
            <w:bookmarkEnd w:id="18"/>
            <w:r>
              <w:t>Subsections applicable to this service fully attained.</w:t>
            </w:r>
          </w:p>
        </w:tc>
      </w:tr>
    </w:tbl>
    <w:p w14:paraId="62686138" w14:textId="77777777" w:rsidR="00771BF3" w:rsidRDefault="00771BF3">
      <w:pPr>
        <w:spacing w:before="240" w:line="276" w:lineRule="auto"/>
        <w:rPr>
          <w:rFonts w:eastAsia="Calibri"/>
        </w:rPr>
      </w:pPr>
      <w:bookmarkStart w:id="19" w:name="OrganisationalManagement"/>
      <w:r w:rsidRPr="00A4268A">
        <w:rPr>
          <w:rFonts w:eastAsia="Calibri"/>
        </w:rPr>
        <w:t xml:space="preserve">The governing body </w:t>
      </w:r>
      <w:r w:rsidRPr="00A4268A">
        <w:rPr>
          <w:rFonts w:eastAsia="Calibri"/>
        </w:rPr>
        <w:t>assumes accountability for delivering a high-quality service. This includes supporting meaningful inclusion of Māori in governance groups, honouring Te Tiriti and reducing barriers to improve outcomes for Māori and people with disabilities.</w:t>
      </w:r>
    </w:p>
    <w:p w14:paraId="59669315" w14:textId="77777777" w:rsidR="00220191" w:rsidRPr="00A4268A" w:rsidRDefault="00771BF3">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4F25827E" w14:textId="77777777" w:rsidR="00220191" w:rsidRPr="00A4268A" w:rsidRDefault="00771BF3">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6D0BEAE5" w14:textId="77777777" w:rsidR="00220191" w:rsidRPr="00A4268A" w:rsidRDefault="00771BF3">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7D3F4C32" w14:textId="77777777" w:rsidR="00220191" w:rsidRPr="00A4268A" w:rsidRDefault="00771BF3">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005B27DC" w14:textId="77777777" w:rsidR="00220191" w:rsidRPr="00A4268A" w:rsidRDefault="00771BF3">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4414C29E" w14:textId="77777777" w:rsidR="00220191" w:rsidRPr="00A4268A" w:rsidRDefault="00220191">
      <w:pPr>
        <w:spacing w:before="240" w:line="276" w:lineRule="auto"/>
        <w:rPr>
          <w:rFonts w:eastAsia="Calibri"/>
        </w:rPr>
      </w:pPr>
    </w:p>
    <w:p w14:paraId="6B7AFADE" w14:textId="77777777" w:rsidR="00771BF3" w:rsidRDefault="00771BF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191" w14:paraId="0F7AEAF6" w14:textId="77777777" w:rsidTr="00A4268A">
        <w:trPr>
          <w:cantSplit/>
        </w:trPr>
        <w:tc>
          <w:tcPr>
            <w:tcW w:w="10206" w:type="dxa"/>
            <w:vAlign w:val="center"/>
          </w:tcPr>
          <w:p w14:paraId="67F70C35" w14:textId="77777777" w:rsidR="00771BF3" w:rsidRPr="00621629" w:rsidRDefault="00771BF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B9C4D4F" w14:textId="77777777" w:rsidR="00771BF3" w:rsidRPr="00621629" w:rsidRDefault="00771BF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64E9370" w14:textId="77777777" w:rsidR="00771BF3" w:rsidRPr="00621629" w:rsidRDefault="00771BF3"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7994867A" w14:textId="77777777" w:rsidR="00771BF3" w:rsidRPr="005E14A4" w:rsidRDefault="00771BF3"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51F7EF7B" w14:textId="77777777" w:rsidR="00220191" w:rsidRPr="00A4268A" w:rsidRDefault="00771BF3"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2FAB1096" w14:textId="77777777" w:rsidR="00220191" w:rsidRPr="00A4268A" w:rsidRDefault="00771BF3" w:rsidP="00621629">
      <w:pPr>
        <w:spacing w:before="240" w:line="276" w:lineRule="auto"/>
        <w:rPr>
          <w:rFonts w:eastAsia="Calibri"/>
        </w:rPr>
      </w:pPr>
      <w:r w:rsidRPr="00A4268A">
        <w:rPr>
          <w:rFonts w:eastAsia="Calibri"/>
        </w:rPr>
        <w:lastRenderedPageBreak/>
        <w:t>Residents are supported to maintain and develop their interests and participate in meaningful community and social activities suitable to their age and stage of life.</w:t>
      </w:r>
    </w:p>
    <w:p w14:paraId="50A8083B" w14:textId="77777777" w:rsidR="00220191" w:rsidRPr="00A4268A" w:rsidRDefault="00771BF3"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950B30C" w14:textId="77777777" w:rsidR="00220191" w:rsidRPr="00A4268A" w:rsidRDefault="00771BF3"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07F1B79E" w14:textId="77777777" w:rsidR="00220191" w:rsidRPr="00A4268A" w:rsidRDefault="00771BF3" w:rsidP="00621629">
      <w:pPr>
        <w:spacing w:before="240" w:line="276" w:lineRule="auto"/>
        <w:rPr>
          <w:rFonts w:eastAsia="Calibri"/>
        </w:rPr>
      </w:pPr>
      <w:r w:rsidRPr="00A4268A">
        <w:rPr>
          <w:rFonts w:eastAsia="Calibri"/>
        </w:rPr>
        <w:t>Residents are referred or transferred to other health services as required.</w:t>
      </w:r>
    </w:p>
    <w:bookmarkEnd w:id="22"/>
    <w:p w14:paraId="5F1DDD39" w14:textId="77777777" w:rsidR="00220191" w:rsidRPr="00A4268A" w:rsidRDefault="00220191" w:rsidP="00621629">
      <w:pPr>
        <w:spacing w:before="240" w:line="276" w:lineRule="auto"/>
        <w:rPr>
          <w:rFonts w:eastAsia="Calibri"/>
        </w:rPr>
      </w:pPr>
    </w:p>
    <w:p w14:paraId="17BCAFB9" w14:textId="77777777" w:rsidR="00771BF3" w:rsidRDefault="00771BF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191" w14:paraId="42E9B7C5" w14:textId="77777777" w:rsidTr="00A4268A">
        <w:trPr>
          <w:cantSplit/>
        </w:trPr>
        <w:tc>
          <w:tcPr>
            <w:tcW w:w="10206" w:type="dxa"/>
            <w:vAlign w:val="center"/>
          </w:tcPr>
          <w:p w14:paraId="3CAE01C8" w14:textId="77777777" w:rsidR="00771BF3" w:rsidRPr="00621629" w:rsidRDefault="00771BF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A872A9F" w14:textId="77777777" w:rsidR="00771BF3" w:rsidRPr="00621629" w:rsidRDefault="00771BF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E7B1537" w14:textId="77777777" w:rsidR="00771BF3" w:rsidRPr="00621629" w:rsidRDefault="00771BF3" w:rsidP="00621629">
            <w:pPr>
              <w:spacing w:before="60" w:after="60" w:line="276" w:lineRule="auto"/>
              <w:rPr>
                <w:rFonts w:eastAsia="Calibri"/>
              </w:rPr>
            </w:pPr>
            <w:bookmarkStart w:id="24" w:name="IndicatorDescription1_4"/>
            <w:bookmarkEnd w:id="24"/>
            <w:r>
              <w:t>Subsections applicable to this service fully attained.</w:t>
            </w:r>
          </w:p>
        </w:tc>
      </w:tr>
    </w:tbl>
    <w:p w14:paraId="1B3BE3C6" w14:textId="77777777" w:rsidR="00771BF3" w:rsidRDefault="00771BF3">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639DE949" w14:textId="77777777" w:rsidR="00220191" w:rsidRPr="00A4268A" w:rsidRDefault="00771BF3">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25"/>
    <w:p w14:paraId="3C0B84DD" w14:textId="77777777" w:rsidR="00220191" w:rsidRPr="00A4268A" w:rsidRDefault="00220191">
      <w:pPr>
        <w:spacing w:before="240" w:line="276" w:lineRule="auto"/>
        <w:rPr>
          <w:rFonts w:eastAsia="Calibri"/>
        </w:rPr>
      </w:pPr>
    </w:p>
    <w:p w14:paraId="20F4E8FB" w14:textId="77777777" w:rsidR="00771BF3" w:rsidRDefault="00771BF3"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191" w14:paraId="10E97F33" w14:textId="77777777" w:rsidTr="00A4268A">
        <w:trPr>
          <w:cantSplit/>
        </w:trPr>
        <w:tc>
          <w:tcPr>
            <w:tcW w:w="10206" w:type="dxa"/>
            <w:vAlign w:val="center"/>
          </w:tcPr>
          <w:p w14:paraId="6E9A9EBA" w14:textId="77777777" w:rsidR="00771BF3" w:rsidRPr="00621629" w:rsidRDefault="00771BF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C83297" w14:textId="77777777" w:rsidR="00771BF3" w:rsidRPr="00621629" w:rsidRDefault="00771BF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749AFC8" w14:textId="77777777" w:rsidR="00771BF3" w:rsidRPr="00621629" w:rsidRDefault="00771BF3" w:rsidP="00621629">
            <w:pPr>
              <w:spacing w:before="60" w:after="60" w:line="276" w:lineRule="auto"/>
              <w:rPr>
                <w:rFonts w:eastAsia="Calibri"/>
              </w:rPr>
            </w:pPr>
            <w:bookmarkStart w:id="27" w:name="IndicatorDescription2"/>
            <w:bookmarkEnd w:id="27"/>
            <w:r>
              <w:t>Subsections applicable to this service fully attained.</w:t>
            </w:r>
          </w:p>
        </w:tc>
      </w:tr>
    </w:tbl>
    <w:p w14:paraId="68C17E73" w14:textId="77777777" w:rsidR="00771BF3" w:rsidRDefault="00771BF3">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621CE116" w14:textId="77777777" w:rsidR="00220191" w:rsidRPr="00A4268A" w:rsidRDefault="00771BF3">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08F3E4A2" w14:textId="77777777" w:rsidR="00220191" w:rsidRPr="00A4268A" w:rsidRDefault="00771BF3">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0F96D3F3" w14:textId="77777777" w:rsidR="00220191" w:rsidRPr="00A4268A" w:rsidRDefault="00771BF3">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284DD47D" w14:textId="77777777" w:rsidR="00220191" w:rsidRPr="00A4268A" w:rsidRDefault="00771BF3">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4CDD96A0" w14:textId="77777777" w:rsidR="00220191" w:rsidRPr="00A4268A" w:rsidRDefault="00220191">
      <w:pPr>
        <w:spacing w:before="240" w:line="276" w:lineRule="auto"/>
        <w:rPr>
          <w:rFonts w:eastAsia="Calibri"/>
        </w:rPr>
      </w:pPr>
    </w:p>
    <w:p w14:paraId="6BE86272" w14:textId="77777777" w:rsidR="00771BF3" w:rsidRDefault="00771BF3"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191" w14:paraId="231F8350" w14:textId="77777777" w:rsidTr="00A4268A">
        <w:trPr>
          <w:cantSplit/>
        </w:trPr>
        <w:tc>
          <w:tcPr>
            <w:tcW w:w="10206" w:type="dxa"/>
            <w:vAlign w:val="center"/>
          </w:tcPr>
          <w:p w14:paraId="4D15A5F3" w14:textId="77777777" w:rsidR="00771BF3" w:rsidRPr="00621629" w:rsidRDefault="00771BF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28C42E7" w14:textId="77777777" w:rsidR="00771BF3" w:rsidRPr="00621629" w:rsidRDefault="00771BF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9EF79C6" w14:textId="77777777" w:rsidR="00771BF3" w:rsidRPr="00621629" w:rsidRDefault="00771BF3" w:rsidP="00621629">
            <w:pPr>
              <w:spacing w:before="60" w:after="60" w:line="276" w:lineRule="auto"/>
              <w:rPr>
                <w:rFonts w:eastAsia="Calibri"/>
              </w:rPr>
            </w:pPr>
            <w:bookmarkStart w:id="30" w:name="IndicatorDescription3"/>
            <w:bookmarkEnd w:id="30"/>
            <w:r>
              <w:t>Subsections applicable to this service fully attained.</w:t>
            </w:r>
          </w:p>
        </w:tc>
      </w:tr>
    </w:tbl>
    <w:p w14:paraId="0AFD5A80" w14:textId="77777777" w:rsidR="00771BF3" w:rsidRDefault="00771BF3">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34858A16" w14:textId="77777777" w:rsidR="00220191" w:rsidRPr="00A4268A" w:rsidRDefault="00771BF3">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020F4091" w14:textId="77777777" w:rsidR="00220191" w:rsidRPr="00A4268A" w:rsidRDefault="00220191">
      <w:pPr>
        <w:spacing w:before="240" w:line="276" w:lineRule="auto"/>
        <w:rPr>
          <w:rFonts w:eastAsia="Calibri"/>
        </w:rPr>
      </w:pPr>
    </w:p>
    <w:p w14:paraId="1E2CB499" w14:textId="77777777" w:rsidR="00771BF3" w:rsidRDefault="00771BF3" w:rsidP="000E6E02">
      <w:pPr>
        <w:pStyle w:val="Heading2"/>
        <w:spacing w:before="0"/>
        <w:rPr>
          <w:rFonts w:cs="Arial"/>
        </w:rPr>
      </w:pPr>
      <w:r>
        <w:rPr>
          <w:rFonts w:cs="Arial"/>
        </w:rPr>
        <w:lastRenderedPageBreak/>
        <w:t>Summary of attainment</w:t>
      </w:r>
    </w:p>
    <w:p w14:paraId="341914B9" w14:textId="77777777" w:rsidR="00771BF3" w:rsidRDefault="00771BF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w:t>
      </w:r>
      <w:r>
        <w:rPr>
          <w:rFonts w:eastAsia="Calibri"/>
        </w:rPr>
        <w:t>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20191" w14:paraId="00845A6C" w14:textId="77777777">
        <w:tc>
          <w:tcPr>
            <w:tcW w:w="1384" w:type="dxa"/>
            <w:vAlign w:val="center"/>
          </w:tcPr>
          <w:p w14:paraId="413CBE18" w14:textId="77777777" w:rsidR="00771BF3" w:rsidRDefault="00771BF3">
            <w:pPr>
              <w:keepNext/>
              <w:spacing w:before="60" w:after="60"/>
              <w:rPr>
                <w:rFonts w:cs="Arial"/>
                <w:b/>
                <w:sz w:val="20"/>
                <w:szCs w:val="20"/>
              </w:rPr>
            </w:pPr>
            <w:r>
              <w:rPr>
                <w:rFonts w:cs="Arial"/>
                <w:b/>
                <w:sz w:val="20"/>
                <w:szCs w:val="20"/>
              </w:rPr>
              <w:t>Attainment Rating</w:t>
            </w:r>
          </w:p>
        </w:tc>
        <w:tc>
          <w:tcPr>
            <w:tcW w:w="1701" w:type="dxa"/>
            <w:vAlign w:val="center"/>
          </w:tcPr>
          <w:p w14:paraId="52558419" w14:textId="77777777" w:rsidR="00771BF3" w:rsidRDefault="00771BF3">
            <w:pPr>
              <w:keepNext/>
              <w:spacing w:before="60" w:after="60"/>
              <w:jc w:val="center"/>
              <w:rPr>
                <w:rFonts w:cs="Arial"/>
                <w:b/>
                <w:sz w:val="20"/>
                <w:szCs w:val="20"/>
              </w:rPr>
            </w:pPr>
            <w:r>
              <w:rPr>
                <w:rFonts w:cs="Arial"/>
                <w:b/>
                <w:sz w:val="20"/>
                <w:szCs w:val="20"/>
              </w:rPr>
              <w:t>Continuous Improvement</w:t>
            </w:r>
          </w:p>
          <w:p w14:paraId="35B983B5" w14:textId="77777777" w:rsidR="00771BF3" w:rsidRDefault="00771BF3">
            <w:pPr>
              <w:keepNext/>
              <w:spacing w:before="60" w:after="60"/>
              <w:jc w:val="center"/>
              <w:rPr>
                <w:rFonts w:cs="Arial"/>
                <w:b/>
                <w:sz w:val="20"/>
                <w:szCs w:val="20"/>
              </w:rPr>
            </w:pPr>
            <w:r>
              <w:rPr>
                <w:rFonts w:cs="Arial"/>
                <w:b/>
                <w:sz w:val="20"/>
                <w:szCs w:val="20"/>
              </w:rPr>
              <w:t>(CI)</w:t>
            </w:r>
          </w:p>
        </w:tc>
        <w:tc>
          <w:tcPr>
            <w:tcW w:w="1843" w:type="dxa"/>
            <w:vAlign w:val="center"/>
          </w:tcPr>
          <w:p w14:paraId="28FE7B51" w14:textId="77777777" w:rsidR="00771BF3" w:rsidRDefault="00771BF3">
            <w:pPr>
              <w:keepNext/>
              <w:spacing w:before="60" w:after="60"/>
              <w:jc w:val="center"/>
              <w:rPr>
                <w:rFonts w:cs="Arial"/>
                <w:b/>
                <w:sz w:val="20"/>
                <w:szCs w:val="20"/>
              </w:rPr>
            </w:pPr>
            <w:r>
              <w:rPr>
                <w:rFonts w:cs="Arial"/>
                <w:b/>
                <w:sz w:val="20"/>
                <w:szCs w:val="20"/>
              </w:rPr>
              <w:t>Fully Attained</w:t>
            </w:r>
          </w:p>
          <w:p w14:paraId="45CD8D9E" w14:textId="77777777" w:rsidR="00771BF3" w:rsidRDefault="00771BF3">
            <w:pPr>
              <w:keepNext/>
              <w:spacing w:before="60" w:after="60"/>
              <w:jc w:val="center"/>
              <w:rPr>
                <w:rFonts w:cs="Arial"/>
                <w:b/>
                <w:sz w:val="20"/>
                <w:szCs w:val="20"/>
              </w:rPr>
            </w:pPr>
            <w:r>
              <w:rPr>
                <w:rFonts w:cs="Arial"/>
                <w:b/>
                <w:sz w:val="20"/>
                <w:szCs w:val="20"/>
              </w:rPr>
              <w:t>(FA)</w:t>
            </w:r>
          </w:p>
        </w:tc>
        <w:tc>
          <w:tcPr>
            <w:tcW w:w="1843" w:type="dxa"/>
            <w:vAlign w:val="center"/>
          </w:tcPr>
          <w:p w14:paraId="79BED344" w14:textId="77777777" w:rsidR="00771BF3" w:rsidRDefault="00771BF3">
            <w:pPr>
              <w:keepNext/>
              <w:spacing w:before="60" w:after="60"/>
              <w:jc w:val="center"/>
              <w:rPr>
                <w:rFonts w:cs="Arial"/>
                <w:b/>
                <w:sz w:val="20"/>
                <w:szCs w:val="20"/>
              </w:rPr>
            </w:pPr>
            <w:r>
              <w:rPr>
                <w:rFonts w:cs="Arial"/>
                <w:b/>
                <w:sz w:val="20"/>
                <w:szCs w:val="20"/>
              </w:rPr>
              <w:t>Partially Attained Negligible Risk</w:t>
            </w:r>
          </w:p>
          <w:p w14:paraId="28BBD4FC" w14:textId="77777777" w:rsidR="00771BF3" w:rsidRDefault="00771BF3">
            <w:pPr>
              <w:keepNext/>
              <w:spacing w:before="60" w:after="60"/>
              <w:jc w:val="center"/>
              <w:rPr>
                <w:rFonts w:cs="Arial"/>
                <w:b/>
                <w:sz w:val="20"/>
                <w:szCs w:val="20"/>
              </w:rPr>
            </w:pPr>
            <w:r>
              <w:rPr>
                <w:rFonts w:cs="Arial"/>
                <w:b/>
                <w:sz w:val="20"/>
                <w:szCs w:val="20"/>
              </w:rPr>
              <w:t>(PA Negligible)</w:t>
            </w:r>
          </w:p>
        </w:tc>
        <w:tc>
          <w:tcPr>
            <w:tcW w:w="1842" w:type="dxa"/>
            <w:vAlign w:val="center"/>
          </w:tcPr>
          <w:p w14:paraId="48E695FF" w14:textId="77777777" w:rsidR="00771BF3" w:rsidRDefault="00771BF3">
            <w:pPr>
              <w:keepNext/>
              <w:spacing w:before="60" w:after="60"/>
              <w:jc w:val="center"/>
              <w:rPr>
                <w:rFonts w:cs="Arial"/>
                <w:b/>
                <w:sz w:val="20"/>
                <w:szCs w:val="20"/>
              </w:rPr>
            </w:pPr>
            <w:r>
              <w:rPr>
                <w:rFonts w:cs="Arial"/>
                <w:b/>
                <w:sz w:val="20"/>
                <w:szCs w:val="20"/>
              </w:rPr>
              <w:t>Partially Attained Low Risk</w:t>
            </w:r>
          </w:p>
          <w:p w14:paraId="5115384B" w14:textId="77777777" w:rsidR="00771BF3" w:rsidRDefault="00771BF3">
            <w:pPr>
              <w:keepNext/>
              <w:spacing w:before="60" w:after="60"/>
              <w:jc w:val="center"/>
              <w:rPr>
                <w:rFonts w:cs="Arial"/>
                <w:b/>
                <w:sz w:val="20"/>
                <w:szCs w:val="20"/>
              </w:rPr>
            </w:pPr>
            <w:r>
              <w:rPr>
                <w:rFonts w:cs="Arial"/>
                <w:b/>
                <w:sz w:val="20"/>
                <w:szCs w:val="20"/>
              </w:rPr>
              <w:t>(PA Low)</w:t>
            </w:r>
          </w:p>
        </w:tc>
        <w:tc>
          <w:tcPr>
            <w:tcW w:w="1843" w:type="dxa"/>
            <w:vAlign w:val="center"/>
          </w:tcPr>
          <w:p w14:paraId="361D7B39" w14:textId="77777777" w:rsidR="00771BF3" w:rsidRDefault="00771BF3">
            <w:pPr>
              <w:keepNext/>
              <w:spacing w:before="60" w:after="60"/>
              <w:jc w:val="center"/>
              <w:rPr>
                <w:rFonts w:cs="Arial"/>
                <w:b/>
                <w:sz w:val="20"/>
                <w:szCs w:val="20"/>
              </w:rPr>
            </w:pPr>
            <w:r>
              <w:rPr>
                <w:rFonts w:cs="Arial"/>
                <w:b/>
                <w:sz w:val="20"/>
                <w:szCs w:val="20"/>
              </w:rPr>
              <w:t>Partially Attained Moderate Risk</w:t>
            </w:r>
          </w:p>
          <w:p w14:paraId="240D1BB7" w14:textId="77777777" w:rsidR="00771BF3" w:rsidRDefault="00771BF3">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25ED0570" w14:textId="77777777" w:rsidR="00771BF3" w:rsidRDefault="00771BF3">
            <w:pPr>
              <w:keepNext/>
              <w:spacing w:before="60" w:after="60"/>
              <w:jc w:val="center"/>
              <w:rPr>
                <w:rFonts w:cs="Arial"/>
                <w:b/>
                <w:sz w:val="20"/>
                <w:szCs w:val="20"/>
              </w:rPr>
            </w:pPr>
            <w:r>
              <w:rPr>
                <w:rFonts w:cs="Arial"/>
                <w:b/>
                <w:sz w:val="20"/>
                <w:szCs w:val="20"/>
              </w:rPr>
              <w:t>Partially Attained High Risk</w:t>
            </w:r>
          </w:p>
          <w:p w14:paraId="10F657E2" w14:textId="77777777" w:rsidR="00771BF3" w:rsidRDefault="00771BF3">
            <w:pPr>
              <w:keepNext/>
              <w:spacing w:before="60" w:after="60"/>
              <w:jc w:val="center"/>
              <w:rPr>
                <w:rFonts w:cs="Arial"/>
                <w:b/>
                <w:sz w:val="20"/>
                <w:szCs w:val="20"/>
              </w:rPr>
            </w:pPr>
            <w:r>
              <w:rPr>
                <w:rFonts w:cs="Arial"/>
                <w:b/>
                <w:sz w:val="20"/>
                <w:szCs w:val="20"/>
              </w:rPr>
              <w:t>(PA High)</w:t>
            </w:r>
          </w:p>
        </w:tc>
        <w:tc>
          <w:tcPr>
            <w:tcW w:w="1843" w:type="dxa"/>
            <w:vAlign w:val="center"/>
          </w:tcPr>
          <w:p w14:paraId="5596236F" w14:textId="77777777" w:rsidR="00771BF3" w:rsidRDefault="00771BF3">
            <w:pPr>
              <w:keepNext/>
              <w:spacing w:before="60" w:after="60"/>
              <w:jc w:val="center"/>
              <w:rPr>
                <w:rFonts w:cs="Arial"/>
                <w:b/>
                <w:sz w:val="20"/>
                <w:szCs w:val="20"/>
              </w:rPr>
            </w:pPr>
            <w:r>
              <w:rPr>
                <w:rFonts w:cs="Arial"/>
                <w:b/>
                <w:sz w:val="20"/>
                <w:szCs w:val="20"/>
              </w:rPr>
              <w:t>Partially Attained Critical Risk</w:t>
            </w:r>
          </w:p>
          <w:p w14:paraId="7BDA4B36" w14:textId="77777777" w:rsidR="00771BF3" w:rsidRDefault="00771BF3">
            <w:pPr>
              <w:keepNext/>
              <w:spacing w:before="60" w:after="60"/>
              <w:jc w:val="center"/>
              <w:rPr>
                <w:rFonts w:cs="Arial"/>
                <w:b/>
                <w:sz w:val="20"/>
                <w:szCs w:val="20"/>
              </w:rPr>
            </w:pPr>
            <w:r>
              <w:rPr>
                <w:rFonts w:cs="Arial"/>
                <w:b/>
                <w:sz w:val="20"/>
                <w:szCs w:val="20"/>
              </w:rPr>
              <w:t>(PA Critical)</w:t>
            </w:r>
          </w:p>
        </w:tc>
      </w:tr>
      <w:tr w:rsidR="00220191" w14:paraId="7FB85CD3" w14:textId="77777777">
        <w:tc>
          <w:tcPr>
            <w:tcW w:w="1384" w:type="dxa"/>
            <w:vAlign w:val="center"/>
          </w:tcPr>
          <w:p w14:paraId="708D81D3" w14:textId="77777777" w:rsidR="00771BF3" w:rsidRDefault="00771BF3">
            <w:pPr>
              <w:keepNext/>
              <w:spacing w:before="60" w:after="60"/>
              <w:rPr>
                <w:rFonts w:cs="Arial"/>
                <w:b/>
                <w:sz w:val="20"/>
                <w:szCs w:val="20"/>
              </w:rPr>
            </w:pPr>
            <w:r>
              <w:rPr>
                <w:rFonts w:cs="Arial"/>
                <w:b/>
                <w:sz w:val="20"/>
                <w:szCs w:val="20"/>
              </w:rPr>
              <w:t>Subsection</w:t>
            </w:r>
          </w:p>
        </w:tc>
        <w:tc>
          <w:tcPr>
            <w:tcW w:w="1701" w:type="dxa"/>
            <w:vAlign w:val="center"/>
          </w:tcPr>
          <w:p w14:paraId="7FBA7C60" w14:textId="77777777" w:rsidR="00771BF3" w:rsidRDefault="00771BF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0427CDE" w14:textId="77777777" w:rsidR="00771BF3" w:rsidRDefault="00771BF3"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1BD0C38" w14:textId="77777777" w:rsidR="00771BF3" w:rsidRDefault="00771BF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C8A8354" w14:textId="77777777" w:rsidR="00771BF3" w:rsidRDefault="00771BF3"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8DD1631" w14:textId="77777777" w:rsidR="00771BF3" w:rsidRDefault="00771BF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4A93D20" w14:textId="77777777" w:rsidR="00771BF3" w:rsidRDefault="00771BF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B9AE10B" w14:textId="77777777" w:rsidR="00771BF3" w:rsidRDefault="00771BF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20191" w14:paraId="1E4CA0B0" w14:textId="77777777">
        <w:tc>
          <w:tcPr>
            <w:tcW w:w="1384" w:type="dxa"/>
            <w:vAlign w:val="center"/>
          </w:tcPr>
          <w:p w14:paraId="5ECE1857" w14:textId="77777777" w:rsidR="00771BF3" w:rsidRDefault="00771BF3">
            <w:pPr>
              <w:keepNext/>
              <w:spacing w:before="60" w:after="60"/>
              <w:rPr>
                <w:rFonts w:cs="Arial"/>
                <w:b/>
                <w:sz w:val="20"/>
                <w:szCs w:val="20"/>
              </w:rPr>
            </w:pPr>
            <w:r>
              <w:rPr>
                <w:rFonts w:cs="Arial"/>
                <w:b/>
                <w:sz w:val="20"/>
                <w:szCs w:val="20"/>
              </w:rPr>
              <w:t>Criteria</w:t>
            </w:r>
          </w:p>
        </w:tc>
        <w:tc>
          <w:tcPr>
            <w:tcW w:w="1701" w:type="dxa"/>
            <w:vAlign w:val="center"/>
          </w:tcPr>
          <w:p w14:paraId="2388AE07" w14:textId="77777777" w:rsidR="00771BF3" w:rsidRDefault="00771BF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D891603" w14:textId="77777777" w:rsidR="00771BF3" w:rsidRDefault="00771BF3"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1F1E5845" w14:textId="77777777" w:rsidR="00771BF3" w:rsidRDefault="00771BF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A2D071C" w14:textId="77777777" w:rsidR="00771BF3" w:rsidRDefault="00771BF3"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C76B847" w14:textId="77777777" w:rsidR="00771BF3" w:rsidRDefault="00771BF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1886657" w14:textId="77777777" w:rsidR="00771BF3" w:rsidRDefault="00771BF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8CAFCAE" w14:textId="77777777" w:rsidR="00771BF3" w:rsidRDefault="00771BF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CBD54FA" w14:textId="77777777" w:rsidR="00771BF3" w:rsidRDefault="00771BF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20191" w14:paraId="1C4DFC91" w14:textId="77777777">
        <w:tc>
          <w:tcPr>
            <w:tcW w:w="1384" w:type="dxa"/>
            <w:vAlign w:val="center"/>
          </w:tcPr>
          <w:p w14:paraId="0672013F" w14:textId="77777777" w:rsidR="00771BF3" w:rsidRDefault="00771BF3">
            <w:pPr>
              <w:keepNext/>
              <w:spacing w:before="60" w:after="60"/>
              <w:rPr>
                <w:rFonts w:cs="Arial"/>
                <w:b/>
                <w:sz w:val="20"/>
                <w:szCs w:val="20"/>
              </w:rPr>
            </w:pPr>
            <w:r>
              <w:rPr>
                <w:rFonts w:cs="Arial"/>
                <w:b/>
                <w:sz w:val="20"/>
                <w:szCs w:val="20"/>
              </w:rPr>
              <w:t>Attainment Rating</w:t>
            </w:r>
          </w:p>
        </w:tc>
        <w:tc>
          <w:tcPr>
            <w:tcW w:w="1701" w:type="dxa"/>
            <w:vAlign w:val="center"/>
          </w:tcPr>
          <w:p w14:paraId="5EA67C44" w14:textId="77777777" w:rsidR="00771BF3" w:rsidRDefault="00771BF3">
            <w:pPr>
              <w:keepNext/>
              <w:spacing w:before="60" w:after="60"/>
              <w:jc w:val="center"/>
              <w:rPr>
                <w:rFonts w:cs="Arial"/>
                <w:b/>
                <w:sz w:val="20"/>
                <w:szCs w:val="20"/>
              </w:rPr>
            </w:pPr>
            <w:r>
              <w:rPr>
                <w:rFonts w:cs="Arial"/>
                <w:b/>
                <w:sz w:val="20"/>
                <w:szCs w:val="20"/>
              </w:rPr>
              <w:t>Unattained Negligible Risk</w:t>
            </w:r>
          </w:p>
          <w:p w14:paraId="33FA2741" w14:textId="77777777" w:rsidR="00771BF3" w:rsidRDefault="00771BF3">
            <w:pPr>
              <w:keepNext/>
              <w:spacing w:before="60" w:after="60"/>
              <w:jc w:val="center"/>
              <w:rPr>
                <w:rFonts w:cs="Arial"/>
                <w:b/>
                <w:sz w:val="20"/>
                <w:szCs w:val="20"/>
              </w:rPr>
            </w:pPr>
            <w:r>
              <w:rPr>
                <w:rFonts w:cs="Arial"/>
                <w:b/>
                <w:sz w:val="20"/>
                <w:szCs w:val="20"/>
              </w:rPr>
              <w:t>(UA Negligible)</w:t>
            </w:r>
          </w:p>
        </w:tc>
        <w:tc>
          <w:tcPr>
            <w:tcW w:w="1843" w:type="dxa"/>
            <w:vAlign w:val="center"/>
          </w:tcPr>
          <w:p w14:paraId="1EC0A755" w14:textId="77777777" w:rsidR="00771BF3" w:rsidRDefault="00771BF3">
            <w:pPr>
              <w:keepNext/>
              <w:spacing w:before="60" w:after="60"/>
              <w:jc w:val="center"/>
              <w:rPr>
                <w:rFonts w:cs="Arial"/>
                <w:b/>
                <w:sz w:val="20"/>
                <w:szCs w:val="20"/>
              </w:rPr>
            </w:pPr>
            <w:r>
              <w:rPr>
                <w:rFonts w:cs="Arial"/>
                <w:b/>
                <w:sz w:val="20"/>
                <w:szCs w:val="20"/>
              </w:rPr>
              <w:t>Unattained Low Risk</w:t>
            </w:r>
          </w:p>
          <w:p w14:paraId="5FE01CA0" w14:textId="77777777" w:rsidR="00771BF3" w:rsidRDefault="00771BF3">
            <w:pPr>
              <w:keepNext/>
              <w:spacing w:before="60" w:after="60"/>
              <w:jc w:val="center"/>
              <w:rPr>
                <w:rFonts w:cs="Arial"/>
                <w:b/>
                <w:sz w:val="20"/>
                <w:szCs w:val="20"/>
              </w:rPr>
            </w:pPr>
            <w:r>
              <w:rPr>
                <w:rFonts w:cs="Arial"/>
                <w:b/>
                <w:sz w:val="20"/>
                <w:szCs w:val="20"/>
              </w:rPr>
              <w:t>(UA Low)</w:t>
            </w:r>
          </w:p>
        </w:tc>
        <w:tc>
          <w:tcPr>
            <w:tcW w:w="1843" w:type="dxa"/>
            <w:vAlign w:val="center"/>
          </w:tcPr>
          <w:p w14:paraId="33B72188" w14:textId="77777777" w:rsidR="00771BF3" w:rsidRDefault="00771BF3">
            <w:pPr>
              <w:keepNext/>
              <w:spacing w:before="60" w:after="60"/>
              <w:jc w:val="center"/>
              <w:rPr>
                <w:rFonts w:cs="Arial"/>
                <w:b/>
                <w:sz w:val="20"/>
                <w:szCs w:val="20"/>
              </w:rPr>
            </w:pPr>
            <w:r>
              <w:rPr>
                <w:rFonts w:cs="Arial"/>
                <w:b/>
                <w:sz w:val="20"/>
                <w:szCs w:val="20"/>
              </w:rPr>
              <w:t>Unattained Moderate Risk</w:t>
            </w:r>
          </w:p>
          <w:p w14:paraId="138E3E78" w14:textId="77777777" w:rsidR="00771BF3" w:rsidRDefault="00771BF3">
            <w:pPr>
              <w:keepNext/>
              <w:spacing w:before="60" w:after="60"/>
              <w:jc w:val="center"/>
              <w:rPr>
                <w:rFonts w:cs="Arial"/>
                <w:b/>
                <w:sz w:val="20"/>
                <w:szCs w:val="20"/>
              </w:rPr>
            </w:pPr>
            <w:r>
              <w:rPr>
                <w:rFonts w:cs="Arial"/>
                <w:b/>
                <w:sz w:val="20"/>
                <w:szCs w:val="20"/>
              </w:rPr>
              <w:t>(UA Moderate)</w:t>
            </w:r>
          </w:p>
        </w:tc>
        <w:tc>
          <w:tcPr>
            <w:tcW w:w="1842" w:type="dxa"/>
            <w:vAlign w:val="center"/>
          </w:tcPr>
          <w:p w14:paraId="52FF2FD3" w14:textId="77777777" w:rsidR="00771BF3" w:rsidRDefault="00771BF3">
            <w:pPr>
              <w:keepNext/>
              <w:spacing w:before="60" w:after="60"/>
              <w:jc w:val="center"/>
              <w:rPr>
                <w:rFonts w:cs="Arial"/>
                <w:b/>
                <w:sz w:val="20"/>
                <w:szCs w:val="20"/>
              </w:rPr>
            </w:pPr>
            <w:r>
              <w:rPr>
                <w:rFonts w:cs="Arial"/>
                <w:b/>
                <w:sz w:val="20"/>
                <w:szCs w:val="20"/>
              </w:rPr>
              <w:t>Unattained High Risk</w:t>
            </w:r>
          </w:p>
          <w:p w14:paraId="22DA8E44" w14:textId="77777777" w:rsidR="00771BF3" w:rsidRDefault="00771BF3">
            <w:pPr>
              <w:keepNext/>
              <w:spacing w:before="60" w:after="60"/>
              <w:jc w:val="center"/>
              <w:rPr>
                <w:rFonts w:cs="Arial"/>
                <w:b/>
                <w:sz w:val="20"/>
                <w:szCs w:val="20"/>
              </w:rPr>
            </w:pPr>
            <w:r>
              <w:rPr>
                <w:rFonts w:cs="Arial"/>
                <w:b/>
                <w:sz w:val="20"/>
                <w:szCs w:val="20"/>
              </w:rPr>
              <w:t>(UA High)</w:t>
            </w:r>
          </w:p>
        </w:tc>
        <w:tc>
          <w:tcPr>
            <w:tcW w:w="1843" w:type="dxa"/>
            <w:vAlign w:val="center"/>
          </w:tcPr>
          <w:p w14:paraId="35908DA9" w14:textId="77777777" w:rsidR="00771BF3" w:rsidRDefault="00771BF3">
            <w:pPr>
              <w:keepNext/>
              <w:spacing w:before="60" w:after="60"/>
              <w:jc w:val="center"/>
              <w:rPr>
                <w:rFonts w:cs="Arial"/>
                <w:b/>
                <w:sz w:val="20"/>
                <w:szCs w:val="20"/>
              </w:rPr>
            </w:pPr>
            <w:r>
              <w:rPr>
                <w:rFonts w:cs="Arial"/>
                <w:b/>
                <w:sz w:val="20"/>
                <w:szCs w:val="20"/>
              </w:rPr>
              <w:t>Unattained Critical Risk</w:t>
            </w:r>
          </w:p>
          <w:p w14:paraId="059766C3" w14:textId="77777777" w:rsidR="00771BF3" w:rsidRDefault="00771BF3">
            <w:pPr>
              <w:keepNext/>
              <w:spacing w:before="60" w:after="60"/>
              <w:jc w:val="center"/>
              <w:rPr>
                <w:rFonts w:cs="Arial"/>
                <w:b/>
                <w:sz w:val="20"/>
                <w:szCs w:val="20"/>
              </w:rPr>
            </w:pPr>
            <w:r>
              <w:rPr>
                <w:rFonts w:cs="Arial"/>
                <w:b/>
                <w:sz w:val="20"/>
                <w:szCs w:val="20"/>
              </w:rPr>
              <w:t>(UA Critical)</w:t>
            </w:r>
          </w:p>
        </w:tc>
      </w:tr>
      <w:tr w:rsidR="00220191" w14:paraId="308EB00F" w14:textId="77777777">
        <w:tc>
          <w:tcPr>
            <w:tcW w:w="1384" w:type="dxa"/>
            <w:vAlign w:val="center"/>
          </w:tcPr>
          <w:p w14:paraId="76DF0337" w14:textId="77777777" w:rsidR="00771BF3" w:rsidRDefault="00771BF3">
            <w:pPr>
              <w:keepNext/>
              <w:spacing w:before="60" w:after="60"/>
              <w:rPr>
                <w:rFonts w:cs="Arial"/>
                <w:b/>
                <w:sz w:val="20"/>
                <w:szCs w:val="20"/>
              </w:rPr>
            </w:pPr>
            <w:r>
              <w:rPr>
                <w:rFonts w:cs="Arial"/>
                <w:b/>
                <w:sz w:val="20"/>
                <w:szCs w:val="20"/>
              </w:rPr>
              <w:t>Subsection</w:t>
            </w:r>
          </w:p>
        </w:tc>
        <w:tc>
          <w:tcPr>
            <w:tcW w:w="1701" w:type="dxa"/>
            <w:vAlign w:val="center"/>
          </w:tcPr>
          <w:p w14:paraId="648B4C31" w14:textId="77777777" w:rsidR="00771BF3" w:rsidRDefault="00771BF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EF6CD57" w14:textId="77777777" w:rsidR="00771BF3" w:rsidRDefault="00771BF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D305EC4" w14:textId="77777777" w:rsidR="00771BF3" w:rsidRDefault="00771BF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3B06F13" w14:textId="77777777" w:rsidR="00771BF3" w:rsidRDefault="00771BF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2A21F11" w14:textId="77777777" w:rsidR="00771BF3" w:rsidRDefault="00771BF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20191" w14:paraId="09C1571F" w14:textId="77777777">
        <w:tc>
          <w:tcPr>
            <w:tcW w:w="1384" w:type="dxa"/>
            <w:vAlign w:val="center"/>
          </w:tcPr>
          <w:p w14:paraId="6D0503F7" w14:textId="77777777" w:rsidR="00771BF3" w:rsidRDefault="00771BF3">
            <w:pPr>
              <w:spacing w:before="60" w:after="60"/>
              <w:rPr>
                <w:rFonts w:cs="Arial"/>
                <w:b/>
                <w:sz w:val="20"/>
                <w:szCs w:val="20"/>
              </w:rPr>
            </w:pPr>
            <w:r>
              <w:rPr>
                <w:rFonts w:cs="Arial"/>
                <w:b/>
                <w:sz w:val="20"/>
                <w:szCs w:val="20"/>
              </w:rPr>
              <w:t>Criteria</w:t>
            </w:r>
          </w:p>
        </w:tc>
        <w:tc>
          <w:tcPr>
            <w:tcW w:w="1701" w:type="dxa"/>
            <w:vAlign w:val="center"/>
          </w:tcPr>
          <w:p w14:paraId="747616BC" w14:textId="77777777" w:rsidR="00771BF3" w:rsidRDefault="00771BF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1531BD0" w14:textId="77777777" w:rsidR="00771BF3" w:rsidRDefault="00771BF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C5EDB99" w14:textId="77777777" w:rsidR="00771BF3" w:rsidRDefault="00771BF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E1B38BF" w14:textId="77777777" w:rsidR="00771BF3" w:rsidRDefault="00771BF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55CF21E" w14:textId="77777777" w:rsidR="00771BF3" w:rsidRDefault="00771BF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937FB3B" w14:textId="77777777" w:rsidR="00771BF3" w:rsidRDefault="00771BF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3ADDE66" w14:textId="77777777" w:rsidR="00771BF3" w:rsidRDefault="00771BF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039D256" w14:textId="77777777" w:rsidR="00771BF3" w:rsidRDefault="00771BF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546FA91" w14:textId="77777777" w:rsidR="00771BF3" w:rsidRDefault="00771BF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9"/>
        <w:gridCol w:w="6204"/>
      </w:tblGrid>
      <w:tr w:rsidR="00220191" w14:paraId="655E0B4B" w14:textId="77777777">
        <w:tc>
          <w:tcPr>
            <w:tcW w:w="0" w:type="auto"/>
          </w:tcPr>
          <w:p w14:paraId="1F0777E7" w14:textId="77777777" w:rsidR="00771BF3" w:rsidRPr="00BE00C7" w:rsidRDefault="00771BF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C8F899E" w14:textId="77777777" w:rsidR="00771BF3" w:rsidRPr="00BE00C7" w:rsidRDefault="00771BF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99F7526" w14:textId="77777777" w:rsidR="00771BF3" w:rsidRPr="00BE00C7" w:rsidRDefault="00771BF3" w:rsidP="00BE00C7">
            <w:pPr>
              <w:pStyle w:val="OutcomeDescription"/>
              <w:spacing w:before="120" w:after="120"/>
              <w:rPr>
                <w:rFonts w:cs="Arial"/>
                <w:b/>
                <w:lang w:eastAsia="en-NZ"/>
              </w:rPr>
            </w:pPr>
            <w:r w:rsidRPr="00BE00C7">
              <w:rPr>
                <w:rFonts w:cs="Arial"/>
                <w:b/>
                <w:lang w:eastAsia="en-NZ"/>
              </w:rPr>
              <w:t>Audit Evidence</w:t>
            </w:r>
          </w:p>
        </w:tc>
      </w:tr>
      <w:tr w:rsidR="00220191" w14:paraId="6992D766" w14:textId="77777777">
        <w:tc>
          <w:tcPr>
            <w:tcW w:w="0" w:type="auto"/>
          </w:tcPr>
          <w:p w14:paraId="63E429F0"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1.1: Pae ora healthy futures</w:t>
            </w:r>
          </w:p>
          <w:p w14:paraId="4329D965" w14:textId="77777777" w:rsidR="00771BF3" w:rsidRPr="00BE00C7" w:rsidRDefault="00771BF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785BF2D" w14:textId="77777777" w:rsidR="00771BF3" w:rsidRPr="00BE00C7" w:rsidRDefault="00771BF3" w:rsidP="00BE00C7">
            <w:pPr>
              <w:pStyle w:val="OutcomeDescription"/>
              <w:spacing w:before="120" w:after="120"/>
              <w:rPr>
                <w:rFonts w:cs="Arial"/>
                <w:lang w:eastAsia="en-NZ"/>
              </w:rPr>
            </w:pPr>
          </w:p>
        </w:tc>
        <w:tc>
          <w:tcPr>
            <w:tcW w:w="0" w:type="auto"/>
          </w:tcPr>
          <w:p w14:paraId="2103DFC4"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2CAC2172" w14:textId="77777777" w:rsidR="00771BF3" w:rsidRPr="00BE00C7" w:rsidRDefault="00771BF3" w:rsidP="00BE00C7">
            <w:pPr>
              <w:pStyle w:val="OutcomeDescription"/>
              <w:spacing w:before="120" w:after="120"/>
              <w:rPr>
                <w:rFonts w:cs="Arial"/>
                <w:lang w:eastAsia="en-NZ"/>
              </w:rPr>
            </w:pPr>
            <w:r w:rsidRPr="00BE00C7">
              <w:rPr>
                <w:rFonts w:cs="Arial"/>
                <w:lang w:eastAsia="en-NZ"/>
              </w:rPr>
              <w:t>Avondale Lifecare has developed policies, procedures and processes to embed and enact Te Tiriti o Waitangi in all aspects of its work.  Mana motuhake is respected.  Partnerships have been established with a local Māori health organisation to support service integration, planning, equity approaches and support for Māori. A Māori health plan has been developed with input from cultural advisers and is used for residents who identify as Māori.  The model of care adopted and implemented by the organisation for M</w:t>
            </w:r>
            <w:r w:rsidRPr="00BE00C7">
              <w:rPr>
                <w:rFonts w:cs="Arial"/>
                <w:lang w:eastAsia="en-NZ"/>
              </w:rPr>
              <w:t>āori residents is Te Whare Tapa Whā. Staff have completed relevant training, and this was evident in the training records reviewed.</w:t>
            </w:r>
          </w:p>
          <w:p w14:paraId="628BD194" w14:textId="77777777" w:rsidR="00771BF3" w:rsidRPr="00BE00C7" w:rsidRDefault="00771BF3" w:rsidP="00BE00C7">
            <w:pPr>
              <w:pStyle w:val="OutcomeDescription"/>
              <w:spacing w:before="120" w:after="120"/>
              <w:rPr>
                <w:rFonts w:cs="Arial"/>
                <w:lang w:eastAsia="en-NZ"/>
              </w:rPr>
            </w:pPr>
            <w:r w:rsidRPr="00BE00C7">
              <w:rPr>
                <w:rFonts w:cs="Arial"/>
                <w:lang w:eastAsia="en-NZ"/>
              </w:rPr>
              <w:t>A kaumatua from the local marae was available to Avondale Lifecare as needed.</w:t>
            </w:r>
          </w:p>
          <w:p w14:paraId="28F3F954" w14:textId="77777777" w:rsidR="00771BF3" w:rsidRPr="00BE00C7" w:rsidRDefault="00771BF3"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42EF18AF" w14:textId="2969567D" w:rsidR="00771BF3" w:rsidRPr="00BE00C7" w:rsidRDefault="00771BF3"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is documented on recruitment and trended.</w:t>
            </w:r>
          </w:p>
        </w:tc>
      </w:tr>
      <w:tr w:rsidR="00220191" w14:paraId="34006380" w14:textId="77777777">
        <w:tc>
          <w:tcPr>
            <w:tcW w:w="0" w:type="auto"/>
          </w:tcPr>
          <w:p w14:paraId="415E5E7D"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C5BB39B"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506251D" w14:textId="77777777" w:rsidR="00771BF3" w:rsidRPr="00BE00C7" w:rsidRDefault="00771BF3" w:rsidP="00BE00C7">
            <w:pPr>
              <w:pStyle w:val="OutcomeDescription"/>
              <w:spacing w:before="120" w:after="120"/>
              <w:rPr>
                <w:rFonts w:cs="Arial"/>
                <w:lang w:eastAsia="en-NZ"/>
              </w:rPr>
            </w:pPr>
          </w:p>
        </w:tc>
        <w:tc>
          <w:tcPr>
            <w:tcW w:w="0" w:type="auto"/>
          </w:tcPr>
          <w:p w14:paraId="17CAA147"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5399EF2B"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Avondale Lifecare identifies and works in partnership with Pacific communities and organisations to provide a Pacific plan that supports culturally safe practices for Pacific peoples using the service, and on achieving equity. </w:t>
            </w:r>
            <w:r w:rsidRPr="00BE00C7">
              <w:rPr>
                <w:rFonts w:cs="Arial"/>
                <w:lang w:eastAsia="en-NZ"/>
              </w:rPr>
              <w:t>Partnerships enable ongoing planning and evaluation of services and outcomes.</w:t>
            </w:r>
          </w:p>
          <w:p w14:paraId="53791E4F"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Pacific residents interviewed felt their worldview, and cultural and spiritual beliefs, were embraced. </w:t>
            </w:r>
          </w:p>
          <w:p w14:paraId="688CA6CC" w14:textId="77777777" w:rsidR="00771BF3" w:rsidRPr="00BE00C7" w:rsidRDefault="00771BF3" w:rsidP="00BE00C7">
            <w:pPr>
              <w:pStyle w:val="OutcomeDescription"/>
              <w:spacing w:before="120" w:after="120"/>
              <w:rPr>
                <w:rFonts w:cs="Arial"/>
                <w:lang w:eastAsia="en-NZ"/>
              </w:rPr>
            </w:pPr>
            <w:r w:rsidRPr="00BE00C7">
              <w:rPr>
                <w:rFonts w:cs="Arial"/>
                <w:lang w:eastAsia="en-NZ"/>
              </w:rPr>
              <w:t>Active recruitment, training and actions to retain a Pacific workforce are well supported, resulting in a significant number of staff employed across roles who identify as Pacific people.</w:t>
            </w:r>
          </w:p>
          <w:p w14:paraId="76E7C1BD" w14:textId="77777777" w:rsidR="00771BF3" w:rsidRPr="00BE00C7" w:rsidRDefault="00771BF3" w:rsidP="00BE00C7">
            <w:pPr>
              <w:pStyle w:val="OutcomeDescription"/>
              <w:spacing w:before="120" w:after="120"/>
              <w:rPr>
                <w:rFonts w:cs="Arial"/>
                <w:lang w:eastAsia="en-NZ"/>
              </w:rPr>
            </w:pPr>
          </w:p>
        </w:tc>
      </w:tr>
      <w:tr w:rsidR="00220191" w14:paraId="520E2CBD" w14:textId="77777777">
        <w:tc>
          <w:tcPr>
            <w:tcW w:w="0" w:type="auto"/>
          </w:tcPr>
          <w:p w14:paraId="0DF5F873"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1.3: My rights during service delivery</w:t>
            </w:r>
          </w:p>
          <w:p w14:paraId="30490A2D"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behaviours of </w:t>
            </w:r>
            <w:r w:rsidRPr="00BE00C7">
              <w:rPr>
                <w:rFonts w:cs="Arial"/>
                <w:lang w:eastAsia="en-NZ"/>
              </w:rPr>
              <w:t>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18353D" w14:textId="77777777" w:rsidR="00771BF3" w:rsidRPr="00BE00C7" w:rsidRDefault="00771BF3" w:rsidP="00BE00C7">
            <w:pPr>
              <w:pStyle w:val="OutcomeDescription"/>
              <w:spacing w:before="120" w:after="120"/>
              <w:rPr>
                <w:rFonts w:cs="Arial"/>
                <w:lang w:eastAsia="en-NZ"/>
              </w:rPr>
            </w:pPr>
          </w:p>
        </w:tc>
        <w:tc>
          <w:tcPr>
            <w:tcW w:w="0" w:type="auto"/>
          </w:tcPr>
          <w:p w14:paraId="24BF5DA6"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5C785FC7"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Posters of the Code in English, te reo Māori and New Zealand Sign languages were posted around the facility. </w:t>
            </w:r>
          </w:p>
          <w:p w14:paraId="10FF3129"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290D9989" w14:textId="77777777" w:rsidR="00771BF3" w:rsidRPr="00BE00C7" w:rsidRDefault="00771BF3" w:rsidP="00BE00C7">
            <w:pPr>
              <w:pStyle w:val="OutcomeDescription"/>
              <w:spacing w:before="120" w:after="120"/>
              <w:rPr>
                <w:rFonts w:cs="Arial"/>
                <w:lang w:eastAsia="en-NZ"/>
              </w:rPr>
            </w:pPr>
            <w:r w:rsidRPr="00BE00C7">
              <w:rPr>
                <w:rFonts w:cs="Arial"/>
                <w:lang w:eastAsia="en-NZ"/>
              </w:rPr>
              <w:t>Māori mana motuhake was observed in practice. This was confirmed by residents and whānau in interviews.</w:t>
            </w:r>
          </w:p>
          <w:p w14:paraId="09C7D39F" w14:textId="77777777" w:rsidR="00771BF3" w:rsidRPr="00BE00C7" w:rsidRDefault="00771BF3" w:rsidP="00BE00C7">
            <w:pPr>
              <w:pStyle w:val="OutcomeDescription"/>
              <w:spacing w:before="120" w:after="120"/>
              <w:rPr>
                <w:rFonts w:cs="Arial"/>
                <w:lang w:eastAsia="en-NZ"/>
              </w:rPr>
            </w:pPr>
          </w:p>
        </w:tc>
      </w:tr>
      <w:tr w:rsidR="00220191" w14:paraId="6EE9EC8E" w14:textId="77777777">
        <w:tc>
          <w:tcPr>
            <w:tcW w:w="0" w:type="auto"/>
          </w:tcPr>
          <w:p w14:paraId="04D72E6C"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1.4: I am treated with respect</w:t>
            </w:r>
          </w:p>
          <w:p w14:paraId="4E1C9DF4"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AE486BD" w14:textId="77777777" w:rsidR="00771BF3" w:rsidRPr="00BE00C7" w:rsidRDefault="00771BF3" w:rsidP="00BE00C7">
            <w:pPr>
              <w:pStyle w:val="OutcomeDescription"/>
              <w:spacing w:before="120" w:after="120"/>
              <w:rPr>
                <w:rFonts w:cs="Arial"/>
                <w:lang w:eastAsia="en-NZ"/>
              </w:rPr>
            </w:pPr>
          </w:p>
        </w:tc>
        <w:tc>
          <w:tcPr>
            <w:tcW w:w="0" w:type="auto"/>
          </w:tcPr>
          <w:p w14:paraId="6C11C61E"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00EA555A"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38D91944"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had a private room, except for two residents who shared a room. Each had consented to sharing a room. </w:t>
            </w:r>
          </w:p>
          <w:p w14:paraId="7BAB08B0"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Te reo Māori and tikanga Māori were promoted within the service through the activities programme, care planning process, and te reo Māori information posted around the facility. Staff had access to a Māori Culture Handbook and Tikanga - best practice guideline flipcharts. Staff have undertaken training in Te Tiriti o Waitangi and understood the principles and how to apply these in their daily work. A kaumatua provided staff training on cultural safety.</w:t>
            </w:r>
          </w:p>
          <w:p w14:paraId="6B793C13" w14:textId="77777777" w:rsidR="00771BF3" w:rsidRPr="00BE00C7" w:rsidRDefault="00771BF3"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250293B9" w14:textId="77777777" w:rsidR="00771BF3" w:rsidRPr="00BE00C7" w:rsidRDefault="00771BF3" w:rsidP="00BE00C7">
            <w:pPr>
              <w:pStyle w:val="OutcomeDescription"/>
              <w:spacing w:before="120" w:after="120"/>
              <w:rPr>
                <w:rFonts w:cs="Arial"/>
                <w:lang w:eastAsia="en-NZ"/>
              </w:rPr>
            </w:pPr>
          </w:p>
        </w:tc>
      </w:tr>
      <w:tr w:rsidR="00220191" w14:paraId="04328AB4" w14:textId="77777777">
        <w:tc>
          <w:tcPr>
            <w:tcW w:w="0" w:type="auto"/>
          </w:tcPr>
          <w:p w14:paraId="1F250750"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A964820"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People: I feel safe and </w:t>
            </w:r>
            <w:r w:rsidRPr="00BE00C7">
              <w:rPr>
                <w:rFonts w:cs="Arial"/>
                <w:lang w:eastAsia="en-NZ"/>
              </w:rPr>
              <w:t>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259D914" w14:textId="77777777" w:rsidR="00771BF3" w:rsidRPr="00BE00C7" w:rsidRDefault="00771BF3" w:rsidP="00BE00C7">
            <w:pPr>
              <w:pStyle w:val="OutcomeDescription"/>
              <w:spacing w:before="120" w:after="120"/>
              <w:rPr>
                <w:rFonts w:cs="Arial"/>
                <w:lang w:eastAsia="en-NZ"/>
              </w:rPr>
            </w:pPr>
          </w:p>
        </w:tc>
        <w:tc>
          <w:tcPr>
            <w:tcW w:w="0" w:type="auto"/>
          </w:tcPr>
          <w:p w14:paraId="6BE9ABDB"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7E72D75B"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racism, coercion, or harassment identified during the audit through staff, resident or whānau interviews, or in documentation reviewed.  </w:t>
            </w:r>
          </w:p>
          <w:p w14:paraId="16BCC65B" w14:textId="77777777" w:rsidR="00771BF3" w:rsidRPr="00BE00C7" w:rsidRDefault="00771BF3"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  There was a ‘comfort account’ that residents could use to keep their money safe, if desired.</w:t>
            </w:r>
          </w:p>
          <w:p w14:paraId="6312541E" w14:textId="77777777" w:rsidR="00771BF3" w:rsidRPr="00BE00C7" w:rsidRDefault="00771BF3" w:rsidP="00BE00C7">
            <w:pPr>
              <w:pStyle w:val="OutcomeDescription"/>
              <w:spacing w:before="120" w:after="120"/>
              <w:rPr>
                <w:rFonts w:cs="Arial"/>
                <w:lang w:eastAsia="en-NZ"/>
              </w:rPr>
            </w:pPr>
            <w:r w:rsidRPr="00BE00C7">
              <w:rPr>
                <w:rFonts w:cs="Arial"/>
                <w:lang w:eastAsia="en-NZ"/>
              </w:rPr>
              <w:t>Professional boundaries were maintained by staff, as confirmed in interviews with residents and whānau.  Staff interviewed felt comfortable in raising any concerns in relation to institutional and systemic racism and that any concerns would be acted upon. A strengths-based and holistic model of care was evident and included use of Te Whare Tapa Whā model and Māori personal health plans for residents who identified as Māori.</w:t>
            </w:r>
          </w:p>
          <w:p w14:paraId="5131F28A" w14:textId="77777777" w:rsidR="00771BF3" w:rsidRPr="00BE00C7" w:rsidRDefault="00771BF3" w:rsidP="00BE00C7">
            <w:pPr>
              <w:pStyle w:val="OutcomeDescription"/>
              <w:spacing w:before="120" w:after="120"/>
              <w:rPr>
                <w:rFonts w:cs="Arial"/>
                <w:lang w:eastAsia="en-NZ"/>
              </w:rPr>
            </w:pPr>
          </w:p>
        </w:tc>
      </w:tr>
      <w:tr w:rsidR="00220191" w14:paraId="50998E5C" w14:textId="77777777">
        <w:tc>
          <w:tcPr>
            <w:tcW w:w="0" w:type="auto"/>
          </w:tcPr>
          <w:p w14:paraId="21FFC474"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1.6: Effective communication occurs</w:t>
            </w:r>
          </w:p>
          <w:p w14:paraId="6C205E4B"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t>
            </w:r>
            <w:r w:rsidRPr="00BE00C7">
              <w:rPr>
                <w:rFonts w:cs="Arial"/>
                <w:lang w:eastAsia="en-NZ"/>
              </w:rPr>
              <w:lastRenderedPageBreak/>
              <w:t>who use our services and effectively communicate with them about their choices.</w:t>
            </w:r>
          </w:p>
          <w:p w14:paraId="30CE6061" w14:textId="77777777" w:rsidR="00771BF3" w:rsidRPr="00BE00C7" w:rsidRDefault="00771BF3" w:rsidP="00BE00C7">
            <w:pPr>
              <w:pStyle w:val="OutcomeDescription"/>
              <w:spacing w:before="120" w:after="120"/>
              <w:rPr>
                <w:rFonts w:cs="Arial"/>
                <w:lang w:eastAsia="en-NZ"/>
              </w:rPr>
            </w:pPr>
          </w:p>
        </w:tc>
        <w:tc>
          <w:tcPr>
            <w:tcW w:w="0" w:type="auto"/>
          </w:tcPr>
          <w:p w14:paraId="785429E6"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D85364"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Residents and whānau or Enduring Powers of Attorney (EPOAs) for residents in the dementia unit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39040077"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 xml:space="preserve">Examples of open communication were evident following adverse events and during management of any complaints. </w:t>
            </w:r>
          </w:p>
          <w:p w14:paraId="6992A69A" w14:textId="77777777" w:rsidR="00771BF3" w:rsidRPr="00BE00C7" w:rsidRDefault="00771BF3" w:rsidP="00BE00C7">
            <w:pPr>
              <w:pStyle w:val="OutcomeDescription"/>
              <w:spacing w:before="120" w:after="120"/>
              <w:rPr>
                <w:rFonts w:cs="Arial"/>
                <w:lang w:eastAsia="en-NZ"/>
              </w:rPr>
            </w:pPr>
            <w:r w:rsidRPr="00BE00C7">
              <w:rPr>
                <w:rFonts w:cs="Arial"/>
                <w:lang w:eastAsia="en-NZ"/>
              </w:rPr>
              <w:t>Staff knew how to access interpreter services, if required. Posters with contact details for interpreter services were posted around the facility. Other translation methods, for example, electronic translation solutions, were utilised to improve communication for residents who did not speak English fluently.</w:t>
            </w:r>
          </w:p>
          <w:p w14:paraId="3A0E45D3" w14:textId="77777777" w:rsidR="00771BF3" w:rsidRPr="00BE00C7" w:rsidRDefault="00771BF3" w:rsidP="00BE00C7">
            <w:pPr>
              <w:pStyle w:val="OutcomeDescription"/>
              <w:spacing w:before="120" w:after="120"/>
              <w:rPr>
                <w:rFonts w:cs="Arial"/>
                <w:lang w:eastAsia="en-NZ"/>
              </w:rPr>
            </w:pPr>
          </w:p>
        </w:tc>
      </w:tr>
      <w:tr w:rsidR="00220191" w14:paraId="62723219" w14:textId="77777777">
        <w:tc>
          <w:tcPr>
            <w:tcW w:w="0" w:type="auto"/>
          </w:tcPr>
          <w:p w14:paraId="2DF7500A"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3C669B3"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D1B83D" w14:textId="77777777" w:rsidR="00771BF3" w:rsidRPr="00BE00C7" w:rsidRDefault="00771BF3" w:rsidP="00BE00C7">
            <w:pPr>
              <w:pStyle w:val="OutcomeDescription"/>
              <w:spacing w:before="120" w:after="120"/>
              <w:rPr>
                <w:rFonts w:cs="Arial"/>
                <w:lang w:eastAsia="en-NZ"/>
              </w:rPr>
            </w:pPr>
          </w:p>
        </w:tc>
        <w:tc>
          <w:tcPr>
            <w:tcW w:w="0" w:type="auto"/>
          </w:tcPr>
          <w:p w14:paraId="2195EF8D"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1013C393"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w:t>
            </w:r>
            <w:r w:rsidRPr="00BE00C7">
              <w:rPr>
                <w:rFonts w:cs="Arial"/>
                <w:lang w:eastAsia="en-NZ"/>
              </w:rPr>
              <w:t>decisions. They felt empowered to actively participate in decision-making.  With the consent of the resident, whānau were included in decision-making. Signed admission agreements and informed consent forms were available in the records reviewed.</w:t>
            </w:r>
          </w:p>
          <w:p w14:paraId="61429F97"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53F13EBE" w14:textId="77777777" w:rsidR="00771BF3" w:rsidRPr="00BE00C7" w:rsidRDefault="00771BF3"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 EPOAs for residents in the dementia unit (Rose Avon) were activated.</w:t>
            </w:r>
          </w:p>
          <w:p w14:paraId="6900E586" w14:textId="77777777" w:rsidR="00771BF3" w:rsidRPr="00BE00C7" w:rsidRDefault="00771BF3" w:rsidP="00BE00C7">
            <w:pPr>
              <w:pStyle w:val="OutcomeDescription"/>
              <w:spacing w:before="120" w:after="120"/>
              <w:rPr>
                <w:rFonts w:cs="Arial"/>
                <w:lang w:eastAsia="en-NZ"/>
              </w:rPr>
            </w:pPr>
          </w:p>
        </w:tc>
      </w:tr>
      <w:tr w:rsidR="00220191" w14:paraId="0E51793C" w14:textId="77777777">
        <w:tc>
          <w:tcPr>
            <w:tcW w:w="0" w:type="auto"/>
          </w:tcPr>
          <w:p w14:paraId="51F8E2EA"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1.8: I have the right to complain</w:t>
            </w:r>
          </w:p>
          <w:p w14:paraId="5426122F"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394737C" w14:textId="77777777" w:rsidR="00771BF3" w:rsidRPr="00BE00C7" w:rsidRDefault="00771BF3" w:rsidP="00BE00C7">
            <w:pPr>
              <w:pStyle w:val="OutcomeDescription"/>
              <w:spacing w:before="120" w:after="120"/>
              <w:rPr>
                <w:rFonts w:cs="Arial"/>
                <w:lang w:eastAsia="en-NZ"/>
              </w:rPr>
            </w:pPr>
          </w:p>
        </w:tc>
        <w:tc>
          <w:tcPr>
            <w:tcW w:w="0" w:type="auto"/>
          </w:tcPr>
          <w:p w14:paraId="011F30CC"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249F9FEF"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AC7528B"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6BB65EBF" w14:textId="77777777" w:rsidR="00771BF3" w:rsidRPr="00BE00C7" w:rsidRDefault="00771BF3" w:rsidP="00BE00C7">
            <w:pPr>
              <w:pStyle w:val="OutcomeDescription"/>
              <w:spacing w:before="120" w:after="120"/>
              <w:rPr>
                <w:rFonts w:cs="Arial"/>
                <w:lang w:eastAsia="en-NZ"/>
              </w:rPr>
            </w:pPr>
            <w:r w:rsidRPr="00BE00C7">
              <w:rPr>
                <w:rFonts w:cs="Arial"/>
                <w:lang w:eastAsia="en-NZ"/>
              </w:rPr>
              <w:t>The service assures the process works equitably for Māori by ensuring a translator or interpreter can be accessed if needed.</w:t>
            </w:r>
          </w:p>
          <w:p w14:paraId="4E5DA914"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 xml:space="preserve">Eight complaints had been received in 2024 and five in </w:t>
            </w:r>
            <w:r w:rsidRPr="00BE00C7">
              <w:rPr>
                <w:rFonts w:cs="Arial"/>
                <w:lang w:eastAsia="en-NZ"/>
              </w:rPr>
              <w:t>2025. All complaints have been effectively closed out, except the most recent complaint received by the care home manager. Compliments are shared with staff at the staff meetings. Outcomes of complaints are used for quality improvement.</w:t>
            </w:r>
          </w:p>
          <w:p w14:paraId="7A2C44D8"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There has been one Health and Disability Commissioner (HDC) complaint, which was received in 2022. All correspondence and information required was forwarded to the HDC in 2022. There has been no communication received since 2022, and the complaint remains open.  </w:t>
            </w:r>
          </w:p>
          <w:p w14:paraId="0F5A17D8" w14:textId="77777777" w:rsidR="00771BF3" w:rsidRPr="00BE00C7" w:rsidRDefault="00771BF3" w:rsidP="00BE00C7">
            <w:pPr>
              <w:pStyle w:val="OutcomeDescription"/>
              <w:spacing w:before="120" w:after="120"/>
              <w:rPr>
                <w:rFonts w:cs="Arial"/>
                <w:lang w:eastAsia="en-NZ"/>
              </w:rPr>
            </w:pPr>
          </w:p>
        </w:tc>
      </w:tr>
      <w:tr w:rsidR="00220191" w14:paraId="1703B914" w14:textId="77777777">
        <w:tc>
          <w:tcPr>
            <w:tcW w:w="0" w:type="auto"/>
          </w:tcPr>
          <w:p w14:paraId="66A4BC60"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2.1: Governance</w:t>
            </w:r>
          </w:p>
          <w:p w14:paraId="58DB96F3"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B3ACD94" w14:textId="77777777" w:rsidR="00771BF3" w:rsidRPr="00BE00C7" w:rsidRDefault="00771BF3" w:rsidP="00BE00C7">
            <w:pPr>
              <w:pStyle w:val="OutcomeDescription"/>
              <w:spacing w:before="120" w:after="120"/>
              <w:rPr>
                <w:rFonts w:cs="Arial"/>
                <w:lang w:eastAsia="en-NZ"/>
              </w:rPr>
            </w:pPr>
          </w:p>
        </w:tc>
        <w:tc>
          <w:tcPr>
            <w:tcW w:w="0" w:type="auto"/>
          </w:tcPr>
          <w:p w14:paraId="19ED96C9"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4ABE65C6"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to the resident communities served, with meaningful Māori representation on governance groups. The governance group demonstrated expertise in Te Tiriti, health equity, and cultural safety. </w:t>
            </w:r>
          </w:p>
          <w:p w14:paraId="05534515" w14:textId="77777777" w:rsidR="00771BF3" w:rsidRPr="00BE00C7" w:rsidRDefault="00771BF3"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 A newly implemented organisational chart was provided at the audit.</w:t>
            </w:r>
          </w:p>
          <w:p w14:paraId="668DFC89" w14:textId="77777777" w:rsidR="00771BF3" w:rsidRPr="00BE00C7" w:rsidRDefault="00771BF3" w:rsidP="00BE00C7">
            <w:pPr>
              <w:pStyle w:val="OutcomeDescription"/>
              <w:spacing w:before="120" w:after="120"/>
              <w:rPr>
                <w:rFonts w:cs="Arial"/>
                <w:lang w:eastAsia="en-NZ"/>
              </w:rPr>
            </w:pPr>
            <w:r w:rsidRPr="00BE00C7">
              <w:rPr>
                <w:rFonts w:cs="Arial"/>
                <w:lang w:eastAsia="en-NZ"/>
              </w:rPr>
              <w:t>The care home manager (CHM) has been in this role for three years and is very experienced in age-related residential care (ARRC) management. The care home manager is supported by a clinical nurse lead (CNL) who can cover the CHM when absent for planned or unplanned leave.</w:t>
            </w:r>
          </w:p>
          <w:p w14:paraId="701DFFAA"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the business plan 2025-2026 and monitoring documentation reviewed. </w:t>
            </w:r>
          </w:p>
          <w:p w14:paraId="49E60C2D"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executive leadership team, through the care home manager, demonstrated a commitment to the quality and risk management </w:t>
            </w:r>
            <w:r w:rsidRPr="00BE00C7">
              <w:rPr>
                <w:rFonts w:cs="Arial"/>
                <w:lang w:eastAsia="en-NZ"/>
              </w:rPr>
              <w:lastRenderedPageBreak/>
              <w:t>system, for example, the business plan, strategic plan, risk register, improving service delivery, reporting, policy, processes, and through feedback mechanisms, and purchasing of new equipment. The CHM reports to the general manager for clinical and operations (GMCO), who was present on the second day of the audit. Members of the governance group interviewed felt well informed on progress and risks. This was confirmed in a sample of reports and feedback to the CHM from executive level via the support offic</w:t>
            </w:r>
            <w:r w:rsidRPr="00BE00C7">
              <w:rPr>
                <w:rFonts w:cs="Arial"/>
                <w:lang w:eastAsia="en-NZ"/>
              </w:rPr>
              <w:t>e.</w:t>
            </w:r>
          </w:p>
          <w:p w14:paraId="196DF816"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2AD32063" w14:textId="77777777" w:rsidR="00771BF3" w:rsidRPr="00BE00C7" w:rsidRDefault="00771BF3"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feedback directly to the CHM, through the resident meetings, and through resident/family surveys completed annually.</w:t>
            </w:r>
          </w:p>
          <w:p w14:paraId="008E38E1"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Te Toka Tumai Auckland for rest home, hospital medical, hospital geriatric care, respite care and younger people disabled (YPD). All beds are dual purpose beds in the hospital and rest home. On the day of the audit, 71 beds were occupied.  Eighteen residents were receiving dementia-level care, three residents were receiving respite-level care (all of whom were hospital-level care), three residents were rest home-level care, and 44 residents </w:t>
            </w:r>
            <w:r w:rsidRPr="00BE00C7">
              <w:rPr>
                <w:rFonts w:cs="Arial"/>
                <w:lang w:eastAsia="en-NZ"/>
              </w:rPr>
              <w:t>were receiving hospital-level care.  There were three YPD residents; two were assessed as hospital-level care, and one was dementia-level care.</w:t>
            </w:r>
          </w:p>
          <w:p w14:paraId="6B28CB14" w14:textId="77777777" w:rsidR="00771BF3" w:rsidRPr="00BE00C7" w:rsidRDefault="00771BF3" w:rsidP="00BE00C7">
            <w:pPr>
              <w:pStyle w:val="OutcomeDescription"/>
              <w:spacing w:before="120" w:after="120"/>
              <w:rPr>
                <w:rFonts w:cs="Arial"/>
                <w:lang w:eastAsia="en-NZ"/>
              </w:rPr>
            </w:pPr>
          </w:p>
        </w:tc>
      </w:tr>
      <w:tr w:rsidR="00220191" w14:paraId="55C70DFE" w14:textId="77777777">
        <w:tc>
          <w:tcPr>
            <w:tcW w:w="0" w:type="auto"/>
          </w:tcPr>
          <w:p w14:paraId="04DFE832"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CDB74EC"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2A214266" w14:textId="77777777" w:rsidR="00771BF3" w:rsidRPr="00BE00C7" w:rsidRDefault="00771BF3" w:rsidP="00BE00C7">
            <w:pPr>
              <w:pStyle w:val="OutcomeDescription"/>
              <w:spacing w:before="120" w:after="120"/>
              <w:rPr>
                <w:rFonts w:cs="Arial"/>
                <w:lang w:eastAsia="en-NZ"/>
              </w:rPr>
            </w:pPr>
          </w:p>
        </w:tc>
        <w:tc>
          <w:tcPr>
            <w:tcW w:w="0" w:type="auto"/>
          </w:tcPr>
          <w:p w14:paraId="58FD1387"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E2FF07" w14:textId="77777777" w:rsidR="00771BF3" w:rsidRPr="00BE00C7" w:rsidRDefault="00771BF3"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falls, pressure injuries, and restraint management.</w:t>
            </w:r>
          </w:p>
          <w:p w14:paraId="425E9958"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through meetings and surveys. Surveys are sent out from the </w:t>
            </w:r>
            <w:r w:rsidRPr="00BE00C7">
              <w:rPr>
                <w:rFonts w:cs="Arial"/>
                <w:lang w:eastAsia="en-NZ"/>
              </w:rPr>
              <w:lastRenderedPageBreak/>
              <w:t xml:space="preserve">support office, and once received by the CHM, are sent through to the support office, to be collated and analysed. Feedback is provided to the CHM for quality improvement purposes. </w:t>
            </w:r>
          </w:p>
          <w:p w14:paraId="422D8ABA"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was supported through relevant training, tikanga policies, and access to cultural support roles internally and externally. There is a kaumatua available to this service as needed. </w:t>
            </w:r>
          </w:p>
          <w:p w14:paraId="682FDF87"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policies and procedures reviewed covered all necessary aspects of the service and of contractual requirements and were current. All policies have recently been fully reviewed and have been available to staff on a newly implemented electronic platform since April 2025. </w:t>
            </w:r>
          </w:p>
          <w:p w14:paraId="0F9F35B5" w14:textId="77777777" w:rsidR="00771BF3" w:rsidRPr="00BE00C7" w:rsidRDefault="00771BF3" w:rsidP="00BE00C7">
            <w:pPr>
              <w:pStyle w:val="OutcomeDescription"/>
              <w:spacing w:before="120" w:after="120"/>
              <w:rPr>
                <w:rFonts w:cs="Arial"/>
                <w:lang w:eastAsia="en-NZ"/>
              </w:rPr>
            </w:pPr>
            <w:r w:rsidRPr="00BE00C7">
              <w:rPr>
                <w:rFonts w:cs="Arial"/>
                <w:lang w:eastAsia="en-NZ"/>
              </w:rPr>
              <w:t>The CHM described the processes for the identification, documentation, monitoring, review and reporting of risks, including health and safety risks, and development of mitigation strategies.  A sample of quality and risk-related meeting minutes was reviewed and confirmed there has been regular review and analysis of quality indicators, and that related information is reported and discussed. The project and support manager now has the role of group health and safety manager and was present at the audit.  The</w:t>
            </w:r>
            <w:r w:rsidRPr="00BE00C7">
              <w:rPr>
                <w:rFonts w:cs="Arial"/>
                <w:lang w:eastAsia="en-NZ"/>
              </w:rPr>
              <w:t xml:space="preserve"> clinical nurse lead (CNL) reports monthly directly to the GMCO and the clinical governance team. All information is analysed and sent back to the facility in graph and narrative form. Information was used to benchmark the ten ARC facilities owned by the organisation.</w:t>
            </w:r>
          </w:p>
          <w:p w14:paraId="69DC174D"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2025 internal audit schedule was reviewed. Completed audits included infection prevention, care planning, laundry, cleaning, and environmental audits. Any relevant corrective actions are developed and implemented to address any shortfalls. The hazard register is updated when needed and reviewed annually. The hazard register was last updated on 16 June 2025. </w:t>
            </w:r>
          </w:p>
          <w:p w14:paraId="3B76C7CE"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investigated, action </w:t>
            </w:r>
            <w:r w:rsidRPr="00BE00C7">
              <w:rPr>
                <w:rFonts w:cs="Arial"/>
                <w:lang w:eastAsia="en-NZ"/>
              </w:rPr>
              <w:lastRenderedPageBreak/>
              <w:t xml:space="preserve">plans developed, and actions followed up in a timely manner.  A policy has been developed to guide staff on ‘Learning from harm’. </w:t>
            </w:r>
          </w:p>
          <w:p w14:paraId="56DBF3B7"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CHM and CNL understood and complied with essential notification reporting requirements.  Two Section 31 notifications were completed on 11 July 2025 when a resident in the dementia care service went missing for one hour, and one was reported for the change of the clinical lead on 28 August 2024. In 2025, one notification was reported for a RN shortage for two shifts. Two severity Assessment Code (SAC) 2 rated events were reported to the Health Quality &amp; Safety Commission in June 2025 for an unwitnessed </w:t>
            </w:r>
            <w:r w:rsidRPr="00BE00C7">
              <w:rPr>
                <w:rFonts w:cs="Arial"/>
                <w:lang w:eastAsia="en-NZ"/>
              </w:rPr>
              <w:t>fall of a resident resulting in a hip fracture and one missing resident taken from the facility by a family member.</w:t>
            </w:r>
          </w:p>
          <w:p w14:paraId="4F219111" w14:textId="77777777" w:rsidR="00771BF3" w:rsidRPr="00BE00C7" w:rsidRDefault="00771BF3" w:rsidP="00BE00C7">
            <w:pPr>
              <w:pStyle w:val="OutcomeDescription"/>
              <w:spacing w:before="120" w:after="120"/>
              <w:rPr>
                <w:rFonts w:cs="Arial"/>
                <w:lang w:eastAsia="en-NZ"/>
              </w:rPr>
            </w:pPr>
          </w:p>
        </w:tc>
      </w:tr>
      <w:tr w:rsidR="00220191" w14:paraId="519168E9" w14:textId="77777777">
        <w:tc>
          <w:tcPr>
            <w:tcW w:w="0" w:type="auto"/>
          </w:tcPr>
          <w:p w14:paraId="5070BACA"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FBAB858"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3EBD19" w14:textId="77777777" w:rsidR="00771BF3" w:rsidRPr="00BE00C7" w:rsidRDefault="00771BF3" w:rsidP="00BE00C7">
            <w:pPr>
              <w:pStyle w:val="OutcomeDescription"/>
              <w:spacing w:before="120" w:after="120"/>
              <w:rPr>
                <w:rFonts w:cs="Arial"/>
                <w:lang w:eastAsia="en-NZ"/>
              </w:rPr>
            </w:pPr>
          </w:p>
        </w:tc>
        <w:tc>
          <w:tcPr>
            <w:tcW w:w="0" w:type="auto"/>
          </w:tcPr>
          <w:p w14:paraId="46E9133E"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7693FCF9" w14:textId="77777777" w:rsidR="00771BF3" w:rsidRPr="00BE00C7" w:rsidRDefault="00771BF3"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ensured that all aspects of service delivery were met.   Those providing care reported that there were adequate staff to complete the work allocated to them.  Residents and whānau interviewed supported this. At</w:t>
            </w:r>
            <w:r w:rsidRPr="00BE00C7">
              <w:rPr>
                <w:rFonts w:cs="Arial"/>
                <w:lang w:eastAsia="en-NZ"/>
              </w:rPr>
              <w:t xml:space="preserve"> least one staff member on duty has a current first aid certificate. </w:t>
            </w:r>
          </w:p>
          <w:p w14:paraId="265CD94A" w14:textId="77777777" w:rsidR="00771BF3" w:rsidRPr="00BE00C7" w:rsidRDefault="00771BF3" w:rsidP="00BE00C7">
            <w:pPr>
              <w:pStyle w:val="OutcomeDescription"/>
              <w:spacing w:before="120" w:after="120"/>
              <w:rPr>
                <w:rFonts w:cs="Arial"/>
                <w:lang w:eastAsia="en-NZ"/>
              </w:rPr>
            </w:pPr>
            <w:r w:rsidRPr="00BE00C7">
              <w:rPr>
                <w:rFonts w:cs="Arial"/>
                <w:lang w:eastAsia="en-NZ"/>
              </w:rPr>
              <w:t>There was a registered nurse (RN) on all shifts, 24 hours a day, seven days a week (24/7).</w:t>
            </w:r>
          </w:p>
          <w:p w14:paraId="5308B709"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1062B53B" w14:textId="77777777" w:rsidR="00771BF3" w:rsidRPr="00BE00C7" w:rsidRDefault="00771BF3"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35CF4D8F"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Care staff have either completed or commenced a New Zealand Qualification Authority education programme to meet the requirements of the provider’s agreement with Health New Zealand – Te Whatu Ora Te Toka Tumai Auckland.  Staff working in the dementia care area have either completed or are enrolled in the required education.  There is a total of 40 health care assistants (HCAs) employed at Avondale Lifecare. Nineteen HCAs have completed relevant New Zealand Qualifications Authority (NZQA) qualifications at L</w:t>
            </w:r>
            <w:r w:rsidRPr="00BE00C7">
              <w:rPr>
                <w:rFonts w:cs="Arial"/>
                <w:lang w:eastAsia="en-NZ"/>
              </w:rPr>
              <w:t>evel 4, three have completed Level 3, six have completed Level 2 and twelve are to be enrolled in training. The diversional therapist (DT) who oversees the activities programme has completed the Level 4 diversional therapist training. The full-time activities coordinator is currently completing the Level 4 DT training, and a second activities staff member is also enrolled in this course.</w:t>
            </w:r>
          </w:p>
          <w:p w14:paraId="6CDF3878"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4A864569" w14:textId="77777777" w:rsidR="00771BF3" w:rsidRPr="00BE00C7" w:rsidRDefault="00771BF3"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1C21A3B0" w14:textId="77777777" w:rsidR="00771BF3" w:rsidRPr="00BE00C7" w:rsidRDefault="00771BF3" w:rsidP="00BE00C7">
            <w:pPr>
              <w:pStyle w:val="OutcomeDescription"/>
              <w:spacing w:before="120" w:after="120"/>
              <w:rPr>
                <w:rFonts w:cs="Arial"/>
                <w:lang w:eastAsia="en-NZ"/>
              </w:rPr>
            </w:pPr>
          </w:p>
        </w:tc>
      </w:tr>
      <w:tr w:rsidR="00220191" w14:paraId="72033E88" w14:textId="77777777">
        <w:tc>
          <w:tcPr>
            <w:tcW w:w="0" w:type="auto"/>
          </w:tcPr>
          <w:p w14:paraId="5272818B"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DE0959B"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BD80231" w14:textId="77777777" w:rsidR="00771BF3" w:rsidRPr="00BE00C7" w:rsidRDefault="00771BF3" w:rsidP="00BE00C7">
            <w:pPr>
              <w:pStyle w:val="OutcomeDescription"/>
              <w:spacing w:before="120" w:after="120"/>
              <w:rPr>
                <w:rFonts w:cs="Arial"/>
                <w:lang w:eastAsia="en-NZ"/>
              </w:rPr>
            </w:pPr>
          </w:p>
        </w:tc>
        <w:tc>
          <w:tcPr>
            <w:tcW w:w="0" w:type="auto"/>
          </w:tcPr>
          <w:p w14:paraId="28D91C6B"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2C241036"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w:t>
            </w:r>
          </w:p>
          <w:p w14:paraId="7E8EAB33"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their role, and evidence of this was seen in files reviewed.  Opportunities to discuss and review performance occur three months following appointment and yearly thereafter, as confirmed in records reviewed. Staff information, including ethnicity data, is accurately recorded, held confidentially, and used in line with the Health Information Standards Organisation (HISO) requirements. </w:t>
            </w:r>
          </w:p>
          <w:p w14:paraId="424ABD96"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Staff interviewed reported that incident reports are discussed at quality and staff meetings. The care staff have the opportunity to be involved in debriefing and discussion and receive support following incidents, to ensure wellbeing.</w:t>
            </w:r>
          </w:p>
          <w:p w14:paraId="4857F949" w14:textId="77777777" w:rsidR="00771BF3" w:rsidRPr="00BE00C7" w:rsidRDefault="00771BF3" w:rsidP="00BE00C7">
            <w:pPr>
              <w:pStyle w:val="OutcomeDescription"/>
              <w:spacing w:before="120" w:after="120"/>
              <w:rPr>
                <w:rFonts w:cs="Arial"/>
                <w:lang w:eastAsia="en-NZ"/>
              </w:rPr>
            </w:pPr>
          </w:p>
        </w:tc>
      </w:tr>
      <w:tr w:rsidR="00220191" w14:paraId="3527297C" w14:textId="77777777">
        <w:tc>
          <w:tcPr>
            <w:tcW w:w="0" w:type="auto"/>
          </w:tcPr>
          <w:p w14:paraId="0182DF85"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2.5: Information</w:t>
            </w:r>
          </w:p>
          <w:p w14:paraId="14C5AB64"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w:t>
            </w:r>
            <w:r w:rsidRPr="00BE00C7">
              <w:rPr>
                <w:rFonts w:cs="Arial"/>
                <w:lang w:eastAsia="en-NZ"/>
              </w:rPr>
              <w:t>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E4CC609" w14:textId="77777777" w:rsidR="00771BF3" w:rsidRPr="00BE00C7" w:rsidRDefault="00771BF3" w:rsidP="00BE00C7">
            <w:pPr>
              <w:pStyle w:val="OutcomeDescription"/>
              <w:spacing w:before="120" w:after="120"/>
              <w:rPr>
                <w:rFonts w:cs="Arial"/>
                <w:lang w:eastAsia="en-NZ"/>
              </w:rPr>
            </w:pPr>
          </w:p>
        </w:tc>
        <w:tc>
          <w:tcPr>
            <w:tcW w:w="0" w:type="auto"/>
          </w:tcPr>
          <w:p w14:paraId="62564123"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220DD9AC" w14:textId="77777777" w:rsidR="00771BF3" w:rsidRPr="00BE00C7" w:rsidRDefault="00771BF3"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The service was in the process of transitioning to an electronic information management system. Paper-based records were uploaded into the electronic system. Progress notes and daily care records were being recorded on the new electronic system. The CNL stated that new electronic care</w:t>
            </w:r>
            <w:r w:rsidRPr="00BE00C7">
              <w:rPr>
                <w:rFonts w:cs="Arial"/>
                <w:lang w:eastAsia="en-NZ"/>
              </w:rPr>
              <w:t xml:space="preserve"> plans were still to be implemented starting with all new admissions and when care plans were due for review. Information was accessible for all those who needed it.  Staff have individual passwords to access the electronic system.</w:t>
            </w:r>
          </w:p>
          <w:p w14:paraId="08645BED" w14:textId="77777777" w:rsidR="00771BF3" w:rsidRPr="00BE00C7" w:rsidRDefault="00771BF3"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0D274EAB" w14:textId="77777777" w:rsidR="00771BF3" w:rsidRPr="00BE00C7" w:rsidRDefault="00771BF3" w:rsidP="00BE00C7">
            <w:pPr>
              <w:pStyle w:val="OutcomeDescription"/>
              <w:spacing w:before="120" w:after="120"/>
              <w:rPr>
                <w:rFonts w:cs="Arial"/>
                <w:lang w:eastAsia="en-NZ"/>
              </w:rPr>
            </w:pPr>
            <w:r w:rsidRPr="00BE00C7">
              <w:rPr>
                <w:rFonts w:cs="Arial"/>
                <w:lang w:eastAsia="en-NZ"/>
              </w:rPr>
              <w:t>The service is not responsible for issuing National Health Index numbers (NHIs).</w:t>
            </w:r>
          </w:p>
          <w:p w14:paraId="3801B91C" w14:textId="77777777" w:rsidR="00771BF3" w:rsidRPr="00BE00C7" w:rsidRDefault="00771BF3" w:rsidP="00BE00C7">
            <w:pPr>
              <w:pStyle w:val="OutcomeDescription"/>
              <w:spacing w:before="120" w:after="120"/>
              <w:rPr>
                <w:rFonts w:cs="Arial"/>
                <w:lang w:eastAsia="en-NZ"/>
              </w:rPr>
            </w:pPr>
          </w:p>
        </w:tc>
      </w:tr>
      <w:tr w:rsidR="00220191" w14:paraId="2DB0CD9B" w14:textId="77777777">
        <w:tc>
          <w:tcPr>
            <w:tcW w:w="0" w:type="auto"/>
          </w:tcPr>
          <w:p w14:paraId="3A6F4A5F"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3.1: Entry and declining entry</w:t>
            </w:r>
          </w:p>
          <w:p w14:paraId="5A84ED8F"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389A78FE" w14:textId="77777777" w:rsidR="00771BF3" w:rsidRPr="00BE00C7" w:rsidRDefault="00771BF3" w:rsidP="00BE00C7">
            <w:pPr>
              <w:pStyle w:val="OutcomeDescription"/>
              <w:spacing w:before="120" w:after="120"/>
              <w:rPr>
                <w:rFonts w:cs="Arial"/>
                <w:lang w:eastAsia="en-NZ"/>
              </w:rPr>
            </w:pPr>
          </w:p>
        </w:tc>
        <w:tc>
          <w:tcPr>
            <w:tcW w:w="0" w:type="auto"/>
          </w:tcPr>
          <w:p w14:paraId="19206D49"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C0D482A" w14:textId="77777777" w:rsidR="00771BF3" w:rsidRPr="00BE00C7" w:rsidRDefault="00771BF3"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met the needs of residents.  Whānau interviewed were satisfied with the admission process and the information that had been made available to them on admission. Admissi</w:t>
            </w:r>
            <w:r w:rsidRPr="00BE00C7">
              <w:rPr>
                <w:rFonts w:cs="Arial"/>
                <w:lang w:eastAsia="en-NZ"/>
              </w:rPr>
              <w:t xml:space="preserve">on for residents in the dementia unit was approved by the specialist services and residents’ EPOAs. </w:t>
            </w:r>
          </w:p>
          <w:p w14:paraId="74962109"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 xml:space="preserve">Where a prospective resident is declined entry, there are processes for communicating the decision. Reasons for declining entry were recorded on the enquiry details. However, routine analysis to show entry and decline rates, including rates for Māori, have not been implemented.  </w:t>
            </w:r>
          </w:p>
          <w:p w14:paraId="3E7E55CC" w14:textId="77777777" w:rsidR="00771BF3" w:rsidRPr="00BE00C7" w:rsidRDefault="00771BF3"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0FAE52F2" w14:textId="77777777" w:rsidR="00771BF3" w:rsidRPr="00BE00C7" w:rsidRDefault="00771BF3" w:rsidP="00BE00C7">
            <w:pPr>
              <w:pStyle w:val="OutcomeDescription"/>
              <w:spacing w:before="120" w:after="120"/>
              <w:rPr>
                <w:rFonts w:cs="Arial"/>
                <w:lang w:eastAsia="en-NZ"/>
              </w:rPr>
            </w:pPr>
          </w:p>
        </w:tc>
      </w:tr>
      <w:tr w:rsidR="00220191" w14:paraId="21B4ED40" w14:textId="77777777">
        <w:tc>
          <w:tcPr>
            <w:tcW w:w="0" w:type="auto"/>
          </w:tcPr>
          <w:p w14:paraId="72CC75EB"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8D4A492"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0BA339C" w14:textId="77777777" w:rsidR="00771BF3" w:rsidRPr="00BE00C7" w:rsidRDefault="00771BF3" w:rsidP="00BE00C7">
            <w:pPr>
              <w:pStyle w:val="OutcomeDescription"/>
              <w:spacing w:before="120" w:after="120"/>
              <w:rPr>
                <w:rFonts w:cs="Arial"/>
                <w:lang w:eastAsia="en-NZ"/>
              </w:rPr>
            </w:pPr>
          </w:p>
        </w:tc>
        <w:tc>
          <w:tcPr>
            <w:tcW w:w="0" w:type="auto"/>
          </w:tcPr>
          <w:p w14:paraId="025A8E7D"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67190855"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was developed by suitably qualified staff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w:t>
            </w:r>
          </w:p>
          <w:p w14:paraId="46618FB0"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Assessment was based on a range of clinical assessments and included resident and whānau input (as applicable).  Timeframes for the initial assessment, general practitioner (GP) assessment, initial care plan, long-term care plan and review timeframes met contractual and policy requirements.  Staff understood and supported Māori and whānau to identify their own pae ora outcomes in their care plan. A Māori personal health plan was completed for residents who identified as Māori. This was verified by sampling </w:t>
            </w:r>
            <w:r w:rsidRPr="00BE00C7">
              <w:rPr>
                <w:rFonts w:cs="Arial"/>
                <w:lang w:eastAsia="en-NZ"/>
              </w:rPr>
              <w:t>residents’ records, and from interviews of clinical staff, residents and whānau.</w:t>
            </w:r>
          </w:p>
          <w:p w14:paraId="27D22642"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Behaviour management plans were completed for residents in Rose Avon, with identified triggers and strategies to manage the identified behaviours documented. Behaviour monitoring charts were completed for identified behaviours of concern. Where progress was different to that </w:t>
            </w:r>
            <w:r w:rsidRPr="00BE00C7">
              <w:rPr>
                <w:rFonts w:cs="Arial"/>
                <w:lang w:eastAsia="en-NZ"/>
              </w:rPr>
              <w:lastRenderedPageBreak/>
              <w:t>expected, changes were made to the care plan in collaboration with the resident, whānau and EPOAs. Residents, whānau and EPOAs confirmed active involvement in the process. The GP was satisfied with the care provided to residents.</w:t>
            </w:r>
          </w:p>
          <w:p w14:paraId="44128B37"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the assessment and care planning processes.  Examples of choices and control over service delivery were discussed with staff, tāngata whaikaha and whānau.  Tāngata whaikaha and whānau can independently access information. </w:t>
            </w:r>
          </w:p>
          <w:p w14:paraId="3DA5EE54" w14:textId="28542EB9" w:rsidR="00771BF3" w:rsidRPr="00BE00C7" w:rsidRDefault="00771BF3" w:rsidP="00771BF3">
            <w:pPr>
              <w:pStyle w:val="OutcomeDescription"/>
              <w:spacing w:before="120" w:after="120"/>
              <w:rPr>
                <w:rFonts w:cs="Arial"/>
                <w:lang w:eastAsia="en-NZ"/>
              </w:rPr>
            </w:pPr>
            <w:r w:rsidRPr="00BE00C7">
              <w:rPr>
                <w:rFonts w:cs="Arial"/>
                <w:lang w:eastAsia="en-NZ"/>
              </w:rPr>
              <w:t xml:space="preserve">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w:t>
            </w:r>
          </w:p>
        </w:tc>
      </w:tr>
      <w:tr w:rsidR="00220191" w14:paraId="4FFA23BA" w14:textId="77777777">
        <w:tc>
          <w:tcPr>
            <w:tcW w:w="0" w:type="auto"/>
          </w:tcPr>
          <w:p w14:paraId="34FE76D5"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121A744"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31AA609" w14:textId="77777777" w:rsidR="00771BF3" w:rsidRPr="00BE00C7" w:rsidRDefault="00771BF3" w:rsidP="00BE00C7">
            <w:pPr>
              <w:pStyle w:val="OutcomeDescription"/>
              <w:spacing w:before="120" w:after="120"/>
              <w:rPr>
                <w:rFonts w:cs="Arial"/>
                <w:lang w:eastAsia="en-NZ"/>
              </w:rPr>
            </w:pPr>
          </w:p>
        </w:tc>
        <w:tc>
          <w:tcPr>
            <w:tcW w:w="0" w:type="auto"/>
          </w:tcPr>
          <w:p w14:paraId="506061F0"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1C9A16A5" w14:textId="77777777" w:rsidR="00771BF3" w:rsidRPr="00BE00C7" w:rsidRDefault="00771BF3"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 A diversional therapist from another facility oversees the activities programme. Activities were provided separately for hospital-level, dementia-level and rest home-level residents. The activities coordinator was undergoing diversional therapy training, and they were supported by an activities assistant.</w:t>
            </w:r>
          </w:p>
          <w:p w14:paraId="5E638557" w14:textId="77777777" w:rsidR="00771BF3" w:rsidRPr="00BE00C7" w:rsidRDefault="00771BF3" w:rsidP="00BE00C7">
            <w:pPr>
              <w:pStyle w:val="OutcomeDescription"/>
              <w:spacing w:before="120" w:after="120"/>
              <w:rPr>
                <w:rFonts w:cs="Arial"/>
                <w:lang w:eastAsia="en-NZ"/>
              </w:rPr>
            </w:pPr>
            <w:r w:rsidRPr="00BE00C7">
              <w:rPr>
                <w:rFonts w:cs="Arial"/>
                <w:lang w:eastAsia="en-NZ"/>
              </w:rPr>
              <w:t>Activity assessments and plans identified individual residents’ interests and considered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 The activities on the programme included van outings, celebration of Matariki, Waitangi Day, art, happy hour, sensory activitie</w:t>
            </w:r>
            <w:r w:rsidRPr="00BE00C7">
              <w:rPr>
                <w:rFonts w:cs="Arial"/>
                <w:lang w:eastAsia="en-NZ"/>
              </w:rPr>
              <w:t xml:space="preserve">s, exercises, church services, music sessions and happy hour. </w:t>
            </w:r>
          </w:p>
          <w:p w14:paraId="2AFF4CCC" w14:textId="77777777" w:rsidR="00771BF3" w:rsidRPr="00BE00C7" w:rsidRDefault="00771BF3" w:rsidP="00BE00C7">
            <w:pPr>
              <w:pStyle w:val="OutcomeDescription"/>
              <w:spacing w:before="120" w:after="120"/>
              <w:rPr>
                <w:rFonts w:cs="Arial"/>
                <w:lang w:eastAsia="en-NZ"/>
              </w:rPr>
            </w:pPr>
            <w:r w:rsidRPr="00BE00C7">
              <w:rPr>
                <w:rFonts w:cs="Arial"/>
                <w:lang w:eastAsia="en-NZ"/>
              </w:rPr>
              <w:t>Activities for residents in the dementia unit were tailored to meet the residents’ needs, and residents were observed freely walking around the unit and in the secure garden outside the unit.</w:t>
            </w:r>
          </w:p>
          <w:p w14:paraId="1F32010F"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Feedback on the programme was provided through annual satisfaction surveys and residents’ meetings.  Residents interviewed confirmed they found the programme met their needs.</w:t>
            </w:r>
          </w:p>
          <w:p w14:paraId="5C5F52D9" w14:textId="77777777" w:rsidR="00771BF3" w:rsidRPr="00BE00C7" w:rsidRDefault="00771BF3" w:rsidP="00BE00C7">
            <w:pPr>
              <w:pStyle w:val="OutcomeDescription"/>
              <w:spacing w:before="120" w:after="120"/>
              <w:rPr>
                <w:rFonts w:cs="Arial"/>
                <w:lang w:eastAsia="en-NZ"/>
              </w:rPr>
            </w:pPr>
          </w:p>
        </w:tc>
      </w:tr>
      <w:tr w:rsidR="00220191" w14:paraId="5B954145" w14:textId="77777777">
        <w:tc>
          <w:tcPr>
            <w:tcW w:w="0" w:type="auto"/>
          </w:tcPr>
          <w:p w14:paraId="4A3968B1"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3.4: My medication</w:t>
            </w:r>
          </w:p>
          <w:p w14:paraId="17722B24"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1EDB994" w14:textId="77777777" w:rsidR="00771BF3" w:rsidRPr="00BE00C7" w:rsidRDefault="00771BF3" w:rsidP="00BE00C7">
            <w:pPr>
              <w:pStyle w:val="OutcomeDescription"/>
              <w:spacing w:before="120" w:after="120"/>
              <w:rPr>
                <w:rFonts w:cs="Arial"/>
                <w:lang w:eastAsia="en-NZ"/>
              </w:rPr>
            </w:pPr>
          </w:p>
        </w:tc>
        <w:tc>
          <w:tcPr>
            <w:tcW w:w="0" w:type="auto"/>
          </w:tcPr>
          <w:p w14:paraId="67F530C4"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445CAC6A"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days of audit.  All staff who administered medicine were competent to perform the function they managed.  </w:t>
            </w:r>
          </w:p>
          <w:p w14:paraId="324F36D9"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23F80298"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7C8839F0"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are not used. </w:t>
            </w:r>
          </w:p>
          <w:p w14:paraId="11239949"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There were no residents who were self-administering medicine. Appropriate processes for self-medication </w:t>
            </w:r>
            <w:r w:rsidRPr="00BE00C7">
              <w:rPr>
                <w:rFonts w:cs="Arial"/>
                <w:lang w:eastAsia="en-NZ"/>
              </w:rPr>
              <w:t>administration were in place and interviewed registered nurses knew the processes to manage this safely when required.  Residents, including Māori residents and their whānau, were supported to understand their medications.</w:t>
            </w:r>
          </w:p>
          <w:p w14:paraId="1DBC4AFB" w14:textId="77777777" w:rsidR="00771BF3" w:rsidRPr="00BE00C7" w:rsidRDefault="00771BF3" w:rsidP="00BE00C7">
            <w:pPr>
              <w:pStyle w:val="OutcomeDescription"/>
              <w:spacing w:before="120" w:after="120"/>
              <w:rPr>
                <w:rFonts w:cs="Arial"/>
                <w:lang w:eastAsia="en-NZ"/>
              </w:rPr>
            </w:pPr>
          </w:p>
        </w:tc>
      </w:tr>
      <w:tr w:rsidR="00220191" w14:paraId="53B99830" w14:textId="77777777">
        <w:tc>
          <w:tcPr>
            <w:tcW w:w="0" w:type="auto"/>
          </w:tcPr>
          <w:p w14:paraId="07F5D5DA"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3.5: Nutrition to support wellbeing</w:t>
            </w:r>
          </w:p>
          <w:p w14:paraId="7D19C13E"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0175870" w14:textId="77777777" w:rsidR="00771BF3" w:rsidRPr="00BE00C7" w:rsidRDefault="00771BF3" w:rsidP="00BE00C7">
            <w:pPr>
              <w:pStyle w:val="OutcomeDescription"/>
              <w:spacing w:before="120" w:after="120"/>
              <w:rPr>
                <w:rFonts w:cs="Arial"/>
                <w:lang w:eastAsia="en-NZ"/>
              </w:rPr>
            </w:pPr>
          </w:p>
        </w:tc>
        <w:tc>
          <w:tcPr>
            <w:tcW w:w="0" w:type="auto"/>
          </w:tcPr>
          <w:p w14:paraId="7AA8B6B2"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75CE17"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residents using the services.  The menu was reviewed by a qualified dietitian in April 2025.  Recommendations made at that time have been implemented. </w:t>
            </w:r>
          </w:p>
          <w:p w14:paraId="037012EA"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The service operated with an approved food safety plan and registration with an expiry date of 10 December 2025.</w:t>
            </w:r>
          </w:p>
          <w:p w14:paraId="7D924437"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were accommodated in the daily meal plan.  Māori and their whānau had menu options that are culturally specific to te ao Māori.  </w:t>
            </w:r>
          </w:p>
          <w:p w14:paraId="6F4FEE6F" w14:textId="77777777" w:rsidR="00771BF3" w:rsidRPr="00BE00C7" w:rsidRDefault="00771BF3"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 Snacks and drinks were provided on a twenty-four-hour basis for residents.</w:t>
            </w:r>
          </w:p>
          <w:p w14:paraId="687B0D49" w14:textId="77777777" w:rsidR="00771BF3" w:rsidRPr="00BE00C7" w:rsidRDefault="00771BF3" w:rsidP="00BE00C7">
            <w:pPr>
              <w:pStyle w:val="OutcomeDescription"/>
              <w:spacing w:before="120" w:after="120"/>
              <w:rPr>
                <w:rFonts w:cs="Arial"/>
                <w:lang w:eastAsia="en-NZ"/>
              </w:rPr>
            </w:pPr>
          </w:p>
        </w:tc>
      </w:tr>
      <w:tr w:rsidR="00220191" w14:paraId="64B72093" w14:textId="77777777">
        <w:tc>
          <w:tcPr>
            <w:tcW w:w="0" w:type="auto"/>
          </w:tcPr>
          <w:p w14:paraId="12104E25"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69299B7"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11FC4C5" w14:textId="77777777" w:rsidR="00771BF3" w:rsidRPr="00BE00C7" w:rsidRDefault="00771BF3" w:rsidP="00BE00C7">
            <w:pPr>
              <w:pStyle w:val="OutcomeDescription"/>
              <w:spacing w:before="120" w:after="120"/>
              <w:rPr>
                <w:rFonts w:cs="Arial"/>
                <w:lang w:eastAsia="en-NZ"/>
              </w:rPr>
            </w:pPr>
          </w:p>
        </w:tc>
        <w:tc>
          <w:tcPr>
            <w:tcW w:w="0" w:type="auto"/>
          </w:tcPr>
          <w:p w14:paraId="0ACC7164"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6026C92A" w14:textId="77777777" w:rsidR="00771BF3" w:rsidRPr="00BE00C7" w:rsidRDefault="00771BF3"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Written policies and procedures were available to guide transfer and discharge processes.</w:t>
            </w:r>
          </w:p>
          <w:p w14:paraId="4B00472B" w14:textId="77777777" w:rsidR="00771BF3" w:rsidRPr="00BE00C7" w:rsidRDefault="00771BF3" w:rsidP="00BE00C7">
            <w:pPr>
              <w:pStyle w:val="OutcomeDescription"/>
              <w:spacing w:before="120" w:after="120"/>
              <w:rPr>
                <w:rFonts w:cs="Arial"/>
                <w:lang w:eastAsia="en-NZ"/>
              </w:rPr>
            </w:pPr>
          </w:p>
        </w:tc>
      </w:tr>
      <w:tr w:rsidR="00220191" w14:paraId="4E18163C" w14:textId="77777777">
        <w:tc>
          <w:tcPr>
            <w:tcW w:w="0" w:type="auto"/>
          </w:tcPr>
          <w:p w14:paraId="60698D14"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4.1: The facility</w:t>
            </w:r>
          </w:p>
          <w:p w14:paraId="4C5624C3"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people: I feel the environment is </w:t>
            </w:r>
            <w:r w:rsidRPr="00BE00C7">
              <w:rPr>
                <w:rFonts w:cs="Arial"/>
                <w:lang w:eastAsia="en-NZ"/>
              </w:rPr>
              <w:t>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w:t>
            </w:r>
            <w:r w:rsidRPr="00BE00C7">
              <w:rPr>
                <w:rFonts w:cs="Arial"/>
                <w:lang w:eastAsia="en-NZ"/>
              </w:rPr>
              <w:t>ndependence, interaction, and function.</w:t>
            </w:r>
          </w:p>
          <w:p w14:paraId="1FCD2748" w14:textId="77777777" w:rsidR="00771BF3" w:rsidRPr="00BE00C7" w:rsidRDefault="00771BF3" w:rsidP="00BE00C7">
            <w:pPr>
              <w:pStyle w:val="OutcomeDescription"/>
              <w:spacing w:before="120" w:after="120"/>
              <w:rPr>
                <w:rFonts w:cs="Arial"/>
                <w:lang w:eastAsia="en-NZ"/>
              </w:rPr>
            </w:pPr>
          </w:p>
        </w:tc>
        <w:tc>
          <w:tcPr>
            <w:tcW w:w="0" w:type="auto"/>
          </w:tcPr>
          <w:p w14:paraId="1C68B1DA"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7BB09D"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building warrant of fitness (BWOF) expires on 22 June 2026.  Electrical testing and tagging of all electrical equipment was current and the last checks were completed on 16 December 2024. Inventories of all biomedical equipment and </w:t>
            </w:r>
            <w:r w:rsidRPr="00BE00C7">
              <w:rPr>
                <w:rFonts w:cs="Arial"/>
                <w:lang w:eastAsia="en-NZ"/>
              </w:rPr>
              <w:lastRenderedPageBreak/>
              <w:t xml:space="preserve">resources were validated, and calibration checks occurred on 14 May 2025. </w:t>
            </w:r>
          </w:p>
          <w:p w14:paraId="5F336E9E"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Hot water checks are recorded monthly by the maintenance person interviewed. Records are maintained. </w:t>
            </w:r>
          </w:p>
          <w:p w14:paraId="53279FB4"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w:t>
            </w:r>
          </w:p>
          <w:p w14:paraId="3226A358" w14:textId="77777777" w:rsidR="00771BF3" w:rsidRPr="00BE00C7" w:rsidRDefault="00771BF3"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Painting and refurbishing of the facility have occurred since the previous audit.  Floorings have also been replaced throughout the facility. A new awning has been installed in the hospital garden. There is a safe outside garden for dementia care residents to purposeful walking.</w:t>
            </w:r>
          </w:p>
          <w:p w14:paraId="0F55307A" w14:textId="77777777" w:rsidR="00771BF3" w:rsidRPr="00BE00C7" w:rsidRDefault="00771BF3"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The CHM is fully aware that should any new building be planned, input would be sought to ensure that the design reflects the identity of Māori.</w:t>
            </w:r>
          </w:p>
          <w:p w14:paraId="52317310" w14:textId="77777777" w:rsidR="00771BF3" w:rsidRPr="00BE00C7" w:rsidRDefault="00771BF3" w:rsidP="00BE00C7">
            <w:pPr>
              <w:pStyle w:val="OutcomeDescription"/>
              <w:spacing w:before="120" w:after="120"/>
              <w:rPr>
                <w:rFonts w:cs="Arial"/>
                <w:lang w:eastAsia="en-NZ"/>
              </w:rPr>
            </w:pPr>
          </w:p>
        </w:tc>
      </w:tr>
      <w:tr w:rsidR="00220191" w14:paraId="3EE9CC3C" w14:textId="77777777">
        <w:tc>
          <w:tcPr>
            <w:tcW w:w="0" w:type="auto"/>
          </w:tcPr>
          <w:p w14:paraId="0D19EB72"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66A1A41"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F7DFF0A" w14:textId="77777777" w:rsidR="00771BF3" w:rsidRPr="00BE00C7" w:rsidRDefault="00771BF3" w:rsidP="00BE00C7">
            <w:pPr>
              <w:pStyle w:val="OutcomeDescription"/>
              <w:spacing w:before="120" w:after="120"/>
              <w:rPr>
                <w:rFonts w:cs="Arial"/>
                <w:lang w:eastAsia="en-NZ"/>
              </w:rPr>
            </w:pPr>
          </w:p>
        </w:tc>
        <w:tc>
          <w:tcPr>
            <w:tcW w:w="0" w:type="auto"/>
          </w:tcPr>
          <w:p w14:paraId="3FADEACA"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0E151E27"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w:t>
            </w:r>
          </w:p>
          <w:p w14:paraId="5B327EAE"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maintenance person, who has been in the role for eight years, explained the emergency equipment and resources that are available for this facility in an emergency.   The facility has a generator on site that is checked regularly, a 900-litre water tank, gas in the kitchen, two barbecues, and gas bottles that are readily available. Civil defence bins are available for each area of service containing all resources needed in an emergency. These are checked three-monthly and discussed with staff as part of </w:t>
            </w:r>
            <w:r w:rsidRPr="00BE00C7">
              <w:rPr>
                <w:rFonts w:cs="Arial"/>
                <w:lang w:eastAsia="en-NZ"/>
              </w:rPr>
              <w:t xml:space="preserve">the </w:t>
            </w:r>
            <w:r w:rsidRPr="00BE00C7">
              <w:rPr>
                <w:rFonts w:cs="Arial"/>
                <w:lang w:eastAsia="en-NZ"/>
              </w:rPr>
              <w:lastRenderedPageBreak/>
              <w:t xml:space="preserve">emergency training provided. Adequate supplies for use in the event of a civil defence emergency meet The National Emergency Management Agency recommendations for the region.  </w:t>
            </w:r>
          </w:p>
          <w:p w14:paraId="3B32C21C"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fire evacuation plan approval from Fire and Emergency New Zealand (FENZ) was sighted, dated 15 October 2014. The total sprinkler inspection was completed by a contracted fire systems inspection provider on 14 December 2023. The last fire drill and education were provided to staff on 26 March 2025. </w:t>
            </w:r>
          </w:p>
          <w:p w14:paraId="254D9167"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Staff can provide a level of first aid relevant to the risks for the type of services provided. </w:t>
            </w:r>
          </w:p>
          <w:p w14:paraId="2BCFDF1B"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60AEDB9C" w14:textId="77777777" w:rsidR="00771BF3" w:rsidRPr="00BE00C7" w:rsidRDefault="00771BF3"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2F2BD07B" w14:textId="77777777" w:rsidR="00771BF3" w:rsidRPr="00BE00C7" w:rsidRDefault="00771BF3" w:rsidP="00BE00C7">
            <w:pPr>
              <w:pStyle w:val="OutcomeDescription"/>
              <w:spacing w:before="120" w:after="120"/>
              <w:rPr>
                <w:rFonts w:cs="Arial"/>
                <w:lang w:eastAsia="en-NZ"/>
              </w:rPr>
            </w:pPr>
          </w:p>
        </w:tc>
      </w:tr>
      <w:tr w:rsidR="00220191" w14:paraId="5FBF46CA" w14:textId="77777777">
        <w:tc>
          <w:tcPr>
            <w:tcW w:w="0" w:type="auto"/>
          </w:tcPr>
          <w:p w14:paraId="2A4CF390"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5.1: Governance</w:t>
            </w:r>
          </w:p>
          <w:p w14:paraId="6528A604"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375C4F6" w14:textId="77777777" w:rsidR="00771BF3" w:rsidRPr="00BE00C7" w:rsidRDefault="00771BF3" w:rsidP="00BE00C7">
            <w:pPr>
              <w:pStyle w:val="OutcomeDescription"/>
              <w:spacing w:before="120" w:after="120"/>
              <w:rPr>
                <w:rFonts w:cs="Arial"/>
                <w:lang w:eastAsia="en-NZ"/>
              </w:rPr>
            </w:pPr>
          </w:p>
        </w:tc>
        <w:tc>
          <w:tcPr>
            <w:tcW w:w="0" w:type="auto"/>
          </w:tcPr>
          <w:p w14:paraId="38120595"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266CF468" w14:textId="77777777" w:rsidR="00771BF3" w:rsidRPr="00BE00C7" w:rsidRDefault="00771BF3"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The programme is guided by a comprehensive and current infection control manual, with input from an external IP advisor if needed. The current business plan includes an objective to minimise the risk of infection.</w:t>
            </w:r>
          </w:p>
          <w:p w14:paraId="3CE8F400" w14:textId="77777777" w:rsidR="00771BF3" w:rsidRPr="00BE00C7" w:rsidRDefault="00771BF3" w:rsidP="00BE00C7">
            <w:pPr>
              <w:pStyle w:val="OutcomeDescription"/>
              <w:spacing w:before="120" w:after="120"/>
              <w:rPr>
                <w:rFonts w:cs="Arial"/>
                <w:lang w:eastAsia="en-NZ"/>
              </w:rPr>
            </w:pPr>
            <w:r w:rsidRPr="00BE00C7">
              <w:rPr>
                <w:rFonts w:cs="Arial"/>
                <w:lang w:eastAsia="en-NZ"/>
              </w:rPr>
              <w:t>Expertise and advice are sought following a defined process. Specialist support can be accessed through Health New Zealand – Te Whatu Ora Te Toka Tumai Auckland infection prevention team, the medical laboratory, external consultants, and the attending GP.</w:t>
            </w:r>
          </w:p>
          <w:p w14:paraId="4FE58302"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A documented pathway supports risk-based reporting of progress, issues and significant events to the governing body. </w:t>
            </w:r>
          </w:p>
          <w:p w14:paraId="32DFC9DB"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incident management reporting policy documents the pathway for the reporting of issues and significant events, such as infection </w:t>
            </w:r>
            <w:r w:rsidRPr="00BE00C7">
              <w:rPr>
                <w:rFonts w:cs="Arial"/>
                <w:lang w:eastAsia="en-NZ"/>
              </w:rPr>
              <w:lastRenderedPageBreak/>
              <w:t>outbreaks, to the executive team. Information is used for quality improvement and benchmarking nationally.</w:t>
            </w:r>
          </w:p>
          <w:p w14:paraId="4E4FA023" w14:textId="77777777" w:rsidR="00771BF3" w:rsidRPr="00BE00C7" w:rsidRDefault="00771BF3" w:rsidP="00BE00C7">
            <w:pPr>
              <w:pStyle w:val="OutcomeDescription"/>
              <w:spacing w:before="120" w:after="120"/>
              <w:rPr>
                <w:rFonts w:cs="Arial"/>
                <w:lang w:eastAsia="en-NZ"/>
              </w:rPr>
            </w:pPr>
          </w:p>
        </w:tc>
      </w:tr>
      <w:tr w:rsidR="00220191" w14:paraId="6B5E27C3" w14:textId="77777777">
        <w:tc>
          <w:tcPr>
            <w:tcW w:w="0" w:type="auto"/>
          </w:tcPr>
          <w:p w14:paraId="480B98B0"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FED6197"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0C5CCE6" w14:textId="77777777" w:rsidR="00771BF3" w:rsidRPr="00BE00C7" w:rsidRDefault="00771BF3" w:rsidP="00BE00C7">
            <w:pPr>
              <w:pStyle w:val="OutcomeDescription"/>
              <w:spacing w:before="120" w:after="120"/>
              <w:rPr>
                <w:rFonts w:cs="Arial"/>
                <w:lang w:eastAsia="en-NZ"/>
              </w:rPr>
            </w:pPr>
          </w:p>
        </w:tc>
        <w:tc>
          <w:tcPr>
            <w:tcW w:w="0" w:type="auto"/>
          </w:tcPr>
          <w:p w14:paraId="4F5274E3"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295B006F"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infection prevention and control RN (IPCRN) is responsible for overseeing and implementing the IP programme with reporting lines to senior management and the governance group. The IPCRN has appropriate skills, knowledge and qualifications for the role and confirmed access to the necessary resources and support. Their advice and/or the advice of the committee has been sought when making decisions around procurement relevant to care delivery, facility changes, and policies. The clinical nurse lead stated </w:t>
            </w:r>
            <w:r w:rsidRPr="00BE00C7">
              <w:rPr>
                <w:rFonts w:cs="Arial"/>
                <w:lang w:eastAsia="en-NZ"/>
              </w:rPr>
              <w:t>that there was no planned design of any new building at the time of the audit.</w:t>
            </w:r>
          </w:p>
          <w:p w14:paraId="232C5F3E"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w:t>
            </w:r>
            <w:r w:rsidRPr="00BE00C7">
              <w:rPr>
                <w:rFonts w:cs="Arial"/>
                <w:lang w:eastAsia="en-NZ"/>
              </w:rPr>
              <w:t>requirements of the standard and are based on current accepted good practice.  Cultural advice was accessed where appropriate. There was a new IP programme that was issued in January 2025; it is reported on quarterly and reviewed annually.</w:t>
            </w:r>
          </w:p>
          <w:p w14:paraId="784E9AD9"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7A97620D" w14:textId="77777777" w:rsidR="00771BF3" w:rsidRPr="00BE00C7" w:rsidRDefault="00771BF3" w:rsidP="00BE00C7">
            <w:pPr>
              <w:pStyle w:val="OutcomeDescription"/>
              <w:spacing w:before="120" w:after="120"/>
              <w:rPr>
                <w:rFonts w:cs="Arial"/>
                <w:lang w:eastAsia="en-NZ"/>
              </w:rPr>
            </w:pPr>
            <w:r w:rsidRPr="00BE00C7">
              <w:rPr>
                <w:rFonts w:cs="Arial"/>
                <w:lang w:eastAsia="en-NZ"/>
              </w:rPr>
              <w:t>A pandemic response plan was documented and has been regularly tested. There were sufficient resources and personal protective equipment (PPE) available, and staff have been trained accordingly.</w:t>
            </w:r>
          </w:p>
          <w:p w14:paraId="1C998A3B" w14:textId="77777777" w:rsidR="00771BF3" w:rsidRPr="00BE00C7" w:rsidRDefault="00771BF3"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4958B680" w14:textId="77777777" w:rsidR="00771BF3" w:rsidRPr="00BE00C7" w:rsidRDefault="00771BF3" w:rsidP="00BE00C7">
            <w:pPr>
              <w:pStyle w:val="OutcomeDescription"/>
              <w:spacing w:before="120" w:after="120"/>
              <w:rPr>
                <w:rFonts w:cs="Arial"/>
                <w:lang w:eastAsia="en-NZ"/>
              </w:rPr>
            </w:pPr>
          </w:p>
        </w:tc>
      </w:tr>
      <w:tr w:rsidR="00220191" w14:paraId="2B8E4411" w14:textId="77777777">
        <w:tc>
          <w:tcPr>
            <w:tcW w:w="0" w:type="auto"/>
          </w:tcPr>
          <w:p w14:paraId="162846D3"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231BE2F"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959C705" w14:textId="77777777" w:rsidR="00771BF3" w:rsidRPr="00BE00C7" w:rsidRDefault="00771BF3" w:rsidP="00BE00C7">
            <w:pPr>
              <w:pStyle w:val="OutcomeDescription"/>
              <w:spacing w:before="120" w:after="120"/>
              <w:rPr>
                <w:rFonts w:cs="Arial"/>
                <w:lang w:eastAsia="en-NZ"/>
              </w:rPr>
            </w:pPr>
          </w:p>
        </w:tc>
        <w:tc>
          <w:tcPr>
            <w:tcW w:w="0" w:type="auto"/>
          </w:tcPr>
          <w:p w14:paraId="343502A1"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70B29EF8" w14:textId="77777777" w:rsidR="00771BF3" w:rsidRPr="00BE00C7" w:rsidRDefault="00771BF3" w:rsidP="00BE00C7">
            <w:pPr>
              <w:pStyle w:val="OutcomeDescription"/>
              <w:spacing w:before="120" w:after="120"/>
              <w:rPr>
                <w:rFonts w:cs="Arial"/>
                <w:lang w:eastAsia="en-NZ"/>
              </w:rPr>
            </w:pPr>
            <w:r w:rsidRPr="00BE00C7">
              <w:rPr>
                <w:rFonts w:cs="Arial"/>
                <w:lang w:eastAsia="en-NZ"/>
              </w:rPr>
              <w:t>Responsible use of antimicrobials was promoted.  The AMS programme was appropriate for the size and complexity of the service, supported by policies and procedures.  The effectiveness of the AMS programme was evaluated by monitoring antimicrobial use and identifying areas for improvement.  An annual AMS programme audit was completed.</w:t>
            </w:r>
          </w:p>
          <w:p w14:paraId="0F89910C" w14:textId="77777777" w:rsidR="00771BF3" w:rsidRPr="00BE00C7" w:rsidRDefault="00771BF3" w:rsidP="00BE00C7">
            <w:pPr>
              <w:pStyle w:val="OutcomeDescription"/>
              <w:spacing w:before="120" w:after="120"/>
              <w:rPr>
                <w:rFonts w:cs="Arial"/>
                <w:lang w:eastAsia="en-NZ"/>
              </w:rPr>
            </w:pPr>
          </w:p>
        </w:tc>
      </w:tr>
      <w:tr w:rsidR="00220191" w14:paraId="492DCC56" w14:textId="77777777">
        <w:tc>
          <w:tcPr>
            <w:tcW w:w="0" w:type="auto"/>
          </w:tcPr>
          <w:p w14:paraId="0BD5F754"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A7DF901"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DC66AA3" w14:textId="77777777" w:rsidR="00771BF3" w:rsidRPr="00BE00C7" w:rsidRDefault="00771BF3" w:rsidP="00BE00C7">
            <w:pPr>
              <w:pStyle w:val="OutcomeDescription"/>
              <w:spacing w:before="120" w:after="120"/>
              <w:rPr>
                <w:rFonts w:cs="Arial"/>
                <w:lang w:eastAsia="en-NZ"/>
              </w:rPr>
            </w:pPr>
          </w:p>
        </w:tc>
        <w:tc>
          <w:tcPr>
            <w:tcW w:w="0" w:type="auto"/>
          </w:tcPr>
          <w:p w14:paraId="7FF5CFCB"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1431A41F" w14:textId="77777777" w:rsidR="00771BF3" w:rsidRPr="00BE00C7" w:rsidRDefault="00771BF3"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was collated and analysed to identify any trends, possible causative factors, and required actions. Results of the surveillance programme were shared with staff in staff meetings and with the senior management team and governance body through reports. Surveillance information</w:t>
            </w:r>
            <w:r w:rsidRPr="00BE00C7">
              <w:rPr>
                <w:rFonts w:cs="Arial"/>
                <w:lang w:eastAsia="en-NZ"/>
              </w:rPr>
              <w:t xml:space="preserve"> included ethnicity data. An infection outbreak reported since the previous audit was managed effectively.</w:t>
            </w:r>
          </w:p>
          <w:p w14:paraId="4F71F906" w14:textId="77777777" w:rsidR="00771BF3" w:rsidRPr="00BE00C7" w:rsidRDefault="00771BF3"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was culturally safe. This was verified in interviews.</w:t>
            </w:r>
          </w:p>
          <w:p w14:paraId="626B4B1F" w14:textId="77777777" w:rsidR="00771BF3" w:rsidRPr="00BE00C7" w:rsidRDefault="00771BF3" w:rsidP="00BE00C7">
            <w:pPr>
              <w:pStyle w:val="OutcomeDescription"/>
              <w:spacing w:before="120" w:after="120"/>
              <w:rPr>
                <w:rFonts w:cs="Arial"/>
                <w:lang w:eastAsia="en-NZ"/>
              </w:rPr>
            </w:pPr>
          </w:p>
        </w:tc>
      </w:tr>
      <w:tr w:rsidR="00220191" w14:paraId="2B1864D5" w14:textId="77777777">
        <w:tc>
          <w:tcPr>
            <w:tcW w:w="0" w:type="auto"/>
          </w:tcPr>
          <w:p w14:paraId="7D04E48B" w14:textId="77777777" w:rsidR="00771BF3" w:rsidRPr="00BE00C7" w:rsidRDefault="00771BF3" w:rsidP="00BE00C7">
            <w:pPr>
              <w:pStyle w:val="OutcomeDescription"/>
              <w:spacing w:before="120" w:after="120"/>
              <w:rPr>
                <w:rFonts w:cs="Arial"/>
                <w:lang w:eastAsia="en-NZ"/>
              </w:rPr>
            </w:pPr>
            <w:r w:rsidRPr="00BE00C7">
              <w:rPr>
                <w:rFonts w:cs="Arial"/>
                <w:lang w:eastAsia="en-NZ"/>
              </w:rPr>
              <w:t>Subsection 5.5: Environment</w:t>
            </w:r>
          </w:p>
          <w:p w14:paraId="3FC09884"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w:t>
            </w:r>
            <w:r w:rsidRPr="00BE00C7">
              <w:rPr>
                <w:rFonts w:cs="Arial"/>
                <w:lang w:eastAsia="en-NZ"/>
              </w:rPr>
              <w:t>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5AA7C8B5" w14:textId="77777777" w:rsidR="00771BF3" w:rsidRPr="00BE00C7" w:rsidRDefault="00771BF3" w:rsidP="00BE00C7">
            <w:pPr>
              <w:pStyle w:val="OutcomeDescription"/>
              <w:spacing w:before="120" w:after="120"/>
              <w:rPr>
                <w:rFonts w:cs="Arial"/>
                <w:lang w:eastAsia="en-NZ"/>
              </w:rPr>
            </w:pPr>
          </w:p>
        </w:tc>
        <w:tc>
          <w:tcPr>
            <w:tcW w:w="0" w:type="auto"/>
          </w:tcPr>
          <w:p w14:paraId="71CBAFE7"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281D31" w14:textId="77777777" w:rsidR="00771BF3" w:rsidRPr="00BE00C7" w:rsidRDefault="00771BF3" w:rsidP="00BE00C7">
            <w:pPr>
              <w:pStyle w:val="OutcomeDescription"/>
              <w:spacing w:before="120" w:after="120"/>
              <w:rPr>
                <w:rFonts w:cs="Arial"/>
                <w:lang w:eastAsia="en-NZ"/>
              </w:rPr>
            </w:pPr>
            <w:r w:rsidRPr="00BE00C7">
              <w:rPr>
                <w:rFonts w:cs="Arial"/>
                <w:lang w:eastAsia="en-NZ"/>
              </w:rPr>
              <w:t>A clean and hygienic environment supported prevention of infection and mitigation of transmission of antimicrobial-resistant organisms. Cleaning and laundry policies were available to guide staff practice.</w:t>
            </w:r>
          </w:p>
          <w:p w14:paraId="53F4A669"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w:t>
            </w:r>
          </w:p>
          <w:p w14:paraId="6BA0DA2A"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All laundry was completed on site. Laundry and cleaning processes are monitored for effectiveness. Infection prevention personnel have oversight of the environmental testing and monitoring programme.  Staff involved have completed relevant training and </w:t>
            </w:r>
            <w:r w:rsidRPr="00BE00C7">
              <w:rPr>
                <w:rFonts w:cs="Arial"/>
                <w:lang w:eastAsia="en-NZ"/>
              </w:rPr>
              <w:lastRenderedPageBreak/>
              <w:t>were observed to carry out duties safely. Chemicals were stored safely.</w:t>
            </w:r>
          </w:p>
          <w:p w14:paraId="14DE7D2A" w14:textId="77777777" w:rsidR="00771BF3" w:rsidRPr="00BE00C7" w:rsidRDefault="00771BF3"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observations.</w:t>
            </w:r>
          </w:p>
          <w:p w14:paraId="36746A22" w14:textId="77777777" w:rsidR="00771BF3" w:rsidRPr="00BE00C7" w:rsidRDefault="00771BF3" w:rsidP="00BE00C7">
            <w:pPr>
              <w:pStyle w:val="OutcomeDescription"/>
              <w:spacing w:before="120" w:after="120"/>
              <w:rPr>
                <w:rFonts w:cs="Arial"/>
                <w:lang w:eastAsia="en-NZ"/>
              </w:rPr>
            </w:pPr>
          </w:p>
        </w:tc>
      </w:tr>
      <w:tr w:rsidR="00220191" w14:paraId="7607B343" w14:textId="77777777">
        <w:tc>
          <w:tcPr>
            <w:tcW w:w="0" w:type="auto"/>
          </w:tcPr>
          <w:p w14:paraId="61E107FC" w14:textId="77777777" w:rsidR="00771BF3" w:rsidRPr="00BE00C7" w:rsidRDefault="00771BF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0FC28C4" w14:textId="77777777" w:rsidR="00771BF3" w:rsidRPr="00BE00C7" w:rsidRDefault="00771BF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4B48EFE" w14:textId="77777777" w:rsidR="00771BF3" w:rsidRPr="00BE00C7" w:rsidRDefault="00771BF3" w:rsidP="00BE00C7">
            <w:pPr>
              <w:pStyle w:val="OutcomeDescription"/>
              <w:spacing w:before="120" w:after="120"/>
              <w:rPr>
                <w:rFonts w:cs="Arial"/>
                <w:lang w:eastAsia="en-NZ"/>
              </w:rPr>
            </w:pPr>
          </w:p>
        </w:tc>
        <w:tc>
          <w:tcPr>
            <w:tcW w:w="0" w:type="auto"/>
          </w:tcPr>
          <w:p w14:paraId="0DDE6B10" w14:textId="77777777" w:rsidR="00771BF3" w:rsidRPr="00BE00C7" w:rsidRDefault="00771BF3" w:rsidP="00BE00C7">
            <w:pPr>
              <w:pStyle w:val="OutcomeDescription"/>
              <w:spacing w:before="120" w:after="120"/>
              <w:rPr>
                <w:rFonts w:cs="Arial"/>
                <w:lang w:eastAsia="en-NZ"/>
              </w:rPr>
            </w:pPr>
            <w:r w:rsidRPr="00BE00C7">
              <w:rPr>
                <w:rFonts w:cs="Arial"/>
                <w:lang w:eastAsia="en-NZ"/>
              </w:rPr>
              <w:t>FA</w:t>
            </w:r>
          </w:p>
        </w:tc>
        <w:tc>
          <w:tcPr>
            <w:tcW w:w="0" w:type="auto"/>
          </w:tcPr>
          <w:p w14:paraId="28BDEE8D"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demonstrates commitment to this, supported by a member of the executive leadership team at operational level.  At the time of audit, there was no restraint in use. The last restraint was used up until 26 June 2025, when the resident using the restraint deceased. This one resident had been using a restraint for several years due to the family insisting that this be required to ensure safety. The CHM stated that no other </w:t>
            </w:r>
            <w:r w:rsidRPr="00BE00C7">
              <w:rPr>
                <w:rFonts w:cs="Arial"/>
                <w:lang w:eastAsia="en-NZ"/>
              </w:rPr>
              <w:t xml:space="preserve">residents had used a restraint for over four years. </w:t>
            </w:r>
          </w:p>
          <w:p w14:paraId="1975515F" w14:textId="77777777" w:rsidR="00771BF3" w:rsidRPr="00BE00C7" w:rsidRDefault="00771BF3" w:rsidP="00BE00C7">
            <w:pPr>
              <w:pStyle w:val="OutcomeDescription"/>
              <w:spacing w:before="120" w:after="120"/>
              <w:rPr>
                <w:rFonts w:cs="Arial"/>
                <w:lang w:eastAsia="en-NZ"/>
              </w:rPr>
            </w:pPr>
            <w:r w:rsidRPr="00BE00C7">
              <w:rPr>
                <w:rFonts w:cs="Arial"/>
                <w:lang w:eastAsia="en-NZ"/>
              </w:rPr>
              <w:t>Any use of restraint is reported to the governing body.</w:t>
            </w:r>
          </w:p>
          <w:p w14:paraId="44BF5B30" w14:textId="77777777" w:rsidR="00771BF3" w:rsidRPr="00BE00C7" w:rsidRDefault="00771BF3" w:rsidP="00BE00C7">
            <w:pPr>
              <w:pStyle w:val="OutcomeDescription"/>
              <w:spacing w:before="120" w:after="120"/>
              <w:rPr>
                <w:rFonts w:cs="Arial"/>
                <w:lang w:eastAsia="en-NZ"/>
              </w:rPr>
            </w:pPr>
            <w:r w:rsidRPr="00BE00C7">
              <w:rPr>
                <w:rFonts w:cs="Arial"/>
                <w:lang w:eastAsia="en-NZ"/>
              </w:rPr>
              <w:t>The restraint coordinator is a senior registered nurse who has a job description for this role. The coordinator interviewed at audit had a good understanding of restraint elimination and safe restraint management. The restraint register reviewed was an accurate record of restraint use. A kaumatua was available and cultural safety training was provided to staff. The last restraint training was provided on 11 June 2025. The project support manager and group health and safety manager (a member of the executive</w:t>
            </w:r>
            <w:r w:rsidRPr="00BE00C7">
              <w:rPr>
                <w:rFonts w:cs="Arial"/>
                <w:lang w:eastAsia="en-NZ"/>
              </w:rPr>
              <w:t xml:space="preserve"> team) was present at the audit. Staff confirmed they have completed competencies and received training. </w:t>
            </w:r>
          </w:p>
          <w:p w14:paraId="7C1A2AAF" w14:textId="77777777" w:rsidR="00771BF3" w:rsidRPr="00BE00C7" w:rsidRDefault="00771BF3"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w:t>
            </w:r>
          </w:p>
          <w:p w14:paraId="12E46B25" w14:textId="77777777" w:rsidR="00771BF3" w:rsidRPr="00BE00C7" w:rsidRDefault="00771BF3" w:rsidP="00BE00C7">
            <w:pPr>
              <w:pStyle w:val="OutcomeDescription"/>
              <w:spacing w:before="120" w:after="120"/>
              <w:rPr>
                <w:rFonts w:cs="Arial"/>
                <w:lang w:eastAsia="en-NZ"/>
              </w:rPr>
            </w:pPr>
            <w:r w:rsidRPr="00BE00C7">
              <w:rPr>
                <w:rFonts w:cs="Arial"/>
                <w:lang w:eastAsia="en-NZ"/>
              </w:rPr>
              <w:t>Given that no residents were using a restraint on the day of the audit, subsections 6.2 and 6.3 were not completed.</w:t>
            </w:r>
          </w:p>
          <w:p w14:paraId="5FEF2FC0" w14:textId="77777777" w:rsidR="00771BF3" w:rsidRPr="00BE00C7" w:rsidRDefault="00771BF3" w:rsidP="00BE00C7">
            <w:pPr>
              <w:pStyle w:val="OutcomeDescription"/>
              <w:spacing w:before="120" w:after="120"/>
              <w:rPr>
                <w:rFonts w:cs="Arial"/>
                <w:lang w:eastAsia="en-NZ"/>
              </w:rPr>
            </w:pPr>
          </w:p>
        </w:tc>
      </w:tr>
    </w:tbl>
    <w:p w14:paraId="2074FB5E" w14:textId="77777777" w:rsidR="00771BF3" w:rsidRPr="00BE00C7" w:rsidRDefault="00771BF3" w:rsidP="00BE00C7">
      <w:pPr>
        <w:pStyle w:val="OutcomeDescription"/>
        <w:spacing w:before="120" w:after="120"/>
        <w:rPr>
          <w:rFonts w:cs="Arial"/>
          <w:lang w:eastAsia="en-NZ"/>
        </w:rPr>
      </w:pPr>
      <w:bookmarkStart w:id="56" w:name="AuditSummaryAttainment"/>
      <w:bookmarkEnd w:id="56"/>
    </w:p>
    <w:p w14:paraId="42DBF986" w14:textId="77777777" w:rsidR="00771BF3" w:rsidRDefault="00771BF3">
      <w:pPr>
        <w:pStyle w:val="Heading1"/>
        <w:rPr>
          <w:rFonts w:cs="Arial"/>
        </w:rPr>
      </w:pPr>
      <w:r>
        <w:rPr>
          <w:rFonts w:cs="Arial"/>
        </w:rPr>
        <w:lastRenderedPageBreak/>
        <w:t>Specific results for criterion where corrective actions are required</w:t>
      </w:r>
    </w:p>
    <w:p w14:paraId="0C006240" w14:textId="77777777" w:rsidR="00771BF3" w:rsidRDefault="00771BF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5C5D931" w14:textId="77777777" w:rsidR="00771BF3" w:rsidRDefault="00771BF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229D929" w14:textId="77777777" w:rsidR="00771BF3" w:rsidRDefault="00771BF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342"/>
        <w:gridCol w:w="4011"/>
        <w:gridCol w:w="2764"/>
        <w:gridCol w:w="3073"/>
      </w:tblGrid>
      <w:tr w:rsidR="00220191" w14:paraId="64535081" w14:textId="77777777">
        <w:tc>
          <w:tcPr>
            <w:tcW w:w="0" w:type="auto"/>
          </w:tcPr>
          <w:p w14:paraId="6A7CC1C0" w14:textId="77777777" w:rsidR="00771BF3" w:rsidRPr="00BE00C7" w:rsidRDefault="00771BF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F21C402" w14:textId="77777777" w:rsidR="00771BF3" w:rsidRPr="00BE00C7" w:rsidRDefault="00771BF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D6951B9" w14:textId="77777777" w:rsidR="00771BF3" w:rsidRPr="00BE00C7" w:rsidRDefault="00771BF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C710D9C" w14:textId="77777777" w:rsidR="00771BF3" w:rsidRPr="00BE00C7" w:rsidRDefault="00771BF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823E6A1" w14:textId="77777777" w:rsidR="00771BF3" w:rsidRPr="00BE00C7" w:rsidRDefault="00771BF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20191" w14:paraId="4428E108" w14:textId="77777777">
        <w:tc>
          <w:tcPr>
            <w:tcW w:w="0" w:type="auto"/>
          </w:tcPr>
          <w:p w14:paraId="6B445088" w14:textId="77777777" w:rsidR="00771BF3" w:rsidRPr="00BE00C7" w:rsidRDefault="00771BF3" w:rsidP="00BE00C7">
            <w:pPr>
              <w:pStyle w:val="OutcomeDescription"/>
              <w:spacing w:before="120" w:after="120"/>
              <w:rPr>
                <w:rFonts w:cs="Arial"/>
                <w:lang w:eastAsia="en-NZ"/>
              </w:rPr>
            </w:pPr>
            <w:r w:rsidRPr="00BE00C7">
              <w:rPr>
                <w:rFonts w:cs="Arial"/>
                <w:lang w:eastAsia="en-NZ"/>
              </w:rPr>
              <w:t>Criterion 3.1.5</w:t>
            </w:r>
          </w:p>
          <w:p w14:paraId="36D27249" w14:textId="77777777" w:rsidR="00771BF3" w:rsidRPr="00BE00C7" w:rsidRDefault="00771BF3" w:rsidP="00BE00C7">
            <w:pPr>
              <w:pStyle w:val="OutcomeDescription"/>
              <w:spacing w:before="120" w:after="120"/>
              <w:rPr>
                <w:rFonts w:cs="Arial"/>
                <w:lang w:eastAsia="en-NZ"/>
              </w:rPr>
            </w:pPr>
            <w:r w:rsidRPr="00BE00C7">
              <w:rPr>
                <w:rFonts w:cs="Arial"/>
                <w:lang w:eastAsia="en-NZ"/>
              </w:rPr>
              <w:t xml:space="preserve">Service providers demonstrate routine analysis to show entry and decline rates. This must </w:t>
            </w:r>
            <w:r w:rsidRPr="00BE00C7">
              <w:rPr>
                <w:rFonts w:cs="Arial"/>
                <w:lang w:eastAsia="en-NZ"/>
              </w:rPr>
              <w:t>include specific data for entry and decline rates for Māori.</w:t>
            </w:r>
          </w:p>
        </w:tc>
        <w:tc>
          <w:tcPr>
            <w:tcW w:w="0" w:type="auto"/>
          </w:tcPr>
          <w:p w14:paraId="42771E2E" w14:textId="77777777" w:rsidR="00771BF3" w:rsidRPr="00BE00C7" w:rsidRDefault="00771BF3" w:rsidP="00BE00C7">
            <w:pPr>
              <w:pStyle w:val="OutcomeDescription"/>
              <w:spacing w:before="120" w:after="120"/>
              <w:rPr>
                <w:rFonts w:cs="Arial"/>
                <w:lang w:eastAsia="en-NZ"/>
              </w:rPr>
            </w:pPr>
            <w:r w:rsidRPr="00BE00C7">
              <w:rPr>
                <w:rFonts w:cs="Arial"/>
                <w:lang w:eastAsia="en-NZ"/>
              </w:rPr>
              <w:t>PA Low</w:t>
            </w:r>
          </w:p>
        </w:tc>
        <w:tc>
          <w:tcPr>
            <w:tcW w:w="0" w:type="auto"/>
          </w:tcPr>
          <w:p w14:paraId="6ECDA55F" w14:textId="77777777" w:rsidR="00771BF3" w:rsidRPr="00BE00C7" w:rsidRDefault="00771BF3" w:rsidP="00BE00C7">
            <w:pPr>
              <w:pStyle w:val="OutcomeDescription"/>
              <w:spacing w:before="120" w:after="120"/>
              <w:rPr>
                <w:rFonts w:cs="Arial"/>
                <w:lang w:eastAsia="en-NZ"/>
              </w:rPr>
            </w:pPr>
            <w:r w:rsidRPr="00BE00C7">
              <w:rPr>
                <w:rFonts w:cs="Arial"/>
                <w:lang w:eastAsia="en-NZ"/>
              </w:rPr>
              <w:t>Enquiries were recorded on the enquiry form. Data of admissions and discharges was sent to the head office weekly. However, the records did not show routine analysis of the data to show the entry and decline rates, including specific data for entry and decline rates for Māori.</w:t>
            </w:r>
          </w:p>
          <w:p w14:paraId="624E2578" w14:textId="77777777" w:rsidR="00771BF3" w:rsidRPr="00BE00C7" w:rsidRDefault="00771BF3" w:rsidP="00BE00C7">
            <w:pPr>
              <w:pStyle w:val="OutcomeDescription"/>
              <w:spacing w:before="120" w:after="120"/>
              <w:rPr>
                <w:rFonts w:cs="Arial"/>
                <w:lang w:eastAsia="en-NZ"/>
              </w:rPr>
            </w:pPr>
          </w:p>
        </w:tc>
        <w:tc>
          <w:tcPr>
            <w:tcW w:w="0" w:type="auto"/>
          </w:tcPr>
          <w:p w14:paraId="6B006573" w14:textId="77777777" w:rsidR="00771BF3" w:rsidRPr="00BE00C7" w:rsidRDefault="00771BF3" w:rsidP="00BE00C7">
            <w:pPr>
              <w:pStyle w:val="OutcomeDescription"/>
              <w:spacing w:before="120" w:after="120"/>
              <w:rPr>
                <w:rFonts w:cs="Arial"/>
                <w:lang w:eastAsia="en-NZ"/>
              </w:rPr>
            </w:pPr>
            <w:r w:rsidRPr="00BE00C7">
              <w:rPr>
                <w:rFonts w:cs="Arial"/>
                <w:lang w:eastAsia="en-NZ"/>
              </w:rPr>
              <w:t>Routine data analysis to show entry and decline rates, including specific data for entry and decline rates for Māori has not been implemented.</w:t>
            </w:r>
          </w:p>
          <w:p w14:paraId="0940EC75" w14:textId="77777777" w:rsidR="00771BF3" w:rsidRPr="00BE00C7" w:rsidRDefault="00771BF3" w:rsidP="00BE00C7">
            <w:pPr>
              <w:pStyle w:val="OutcomeDescription"/>
              <w:spacing w:before="120" w:after="120"/>
              <w:rPr>
                <w:rFonts w:cs="Arial"/>
                <w:lang w:eastAsia="en-NZ"/>
              </w:rPr>
            </w:pPr>
          </w:p>
        </w:tc>
        <w:tc>
          <w:tcPr>
            <w:tcW w:w="0" w:type="auto"/>
          </w:tcPr>
          <w:p w14:paraId="1ABC0BC3" w14:textId="77777777" w:rsidR="00771BF3" w:rsidRPr="00BE00C7" w:rsidRDefault="00771BF3" w:rsidP="00BE00C7">
            <w:pPr>
              <w:pStyle w:val="OutcomeDescription"/>
              <w:spacing w:before="120" w:after="120"/>
              <w:rPr>
                <w:rFonts w:cs="Arial"/>
                <w:lang w:eastAsia="en-NZ"/>
              </w:rPr>
            </w:pPr>
            <w:r w:rsidRPr="00BE00C7">
              <w:rPr>
                <w:rFonts w:cs="Arial"/>
                <w:lang w:eastAsia="en-NZ"/>
              </w:rPr>
              <w:t>Ensure routine data analysis to show entry and decline rates, including specific data for entry and decline rates for Māori is completed to meet the criterion requirements.</w:t>
            </w:r>
          </w:p>
          <w:p w14:paraId="3B1C07B7" w14:textId="77777777" w:rsidR="00771BF3" w:rsidRPr="00BE00C7" w:rsidRDefault="00771BF3" w:rsidP="00BE00C7">
            <w:pPr>
              <w:pStyle w:val="OutcomeDescription"/>
              <w:spacing w:before="120" w:after="120"/>
              <w:rPr>
                <w:rFonts w:cs="Arial"/>
                <w:lang w:eastAsia="en-NZ"/>
              </w:rPr>
            </w:pPr>
          </w:p>
          <w:p w14:paraId="3D60C315" w14:textId="77777777" w:rsidR="00771BF3" w:rsidRPr="00BE00C7" w:rsidRDefault="00771BF3" w:rsidP="00BE00C7">
            <w:pPr>
              <w:pStyle w:val="OutcomeDescription"/>
              <w:spacing w:before="120" w:after="120"/>
              <w:rPr>
                <w:rFonts w:cs="Arial"/>
                <w:lang w:eastAsia="en-NZ"/>
              </w:rPr>
            </w:pPr>
            <w:r w:rsidRPr="00BE00C7">
              <w:rPr>
                <w:rFonts w:cs="Arial"/>
                <w:lang w:eastAsia="en-NZ"/>
              </w:rPr>
              <w:t>180 days</w:t>
            </w:r>
          </w:p>
        </w:tc>
      </w:tr>
    </w:tbl>
    <w:p w14:paraId="6F4DD907" w14:textId="77777777" w:rsidR="00771BF3" w:rsidRPr="00BE00C7" w:rsidRDefault="00771BF3" w:rsidP="00BE00C7">
      <w:pPr>
        <w:pStyle w:val="OutcomeDescription"/>
        <w:spacing w:before="120" w:after="120"/>
        <w:rPr>
          <w:rFonts w:cs="Arial"/>
          <w:lang w:eastAsia="en-NZ"/>
        </w:rPr>
      </w:pPr>
      <w:bookmarkStart w:id="57" w:name="AuditSummaryCAMCriterion"/>
      <w:bookmarkEnd w:id="57"/>
    </w:p>
    <w:p w14:paraId="188BDBAE" w14:textId="77777777" w:rsidR="00771BF3" w:rsidRDefault="00771BF3">
      <w:pPr>
        <w:pStyle w:val="Heading1"/>
        <w:rPr>
          <w:rFonts w:cs="Arial"/>
        </w:rPr>
      </w:pPr>
      <w:r>
        <w:rPr>
          <w:rFonts w:cs="Arial"/>
        </w:rPr>
        <w:lastRenderedPageBreak/>
        <w:t>Specific results for criterion where a continuous improvement has been recorded</w:t>
      </w:r>
    </w:p>
    <w:p w14:paraId="487758AF" w14:textId="77777777" w:rsidR="00771BF3" w:rsidRDefault="00771BF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920D70" w14:textId="77777777" w:rsidR="00771BF3" w:rsidRDefault="00771BF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1A4FAF" w14:textId="77777777" w:rsidR="00771BF3" w:rsidRDefault="00771BF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20191" w14:paraId="645CBA25" w14:textId="77777777">
        <w:tc>
          <w:tcPr>
            <w:tcW w:w="0" w:type="auto"/>
          </w:tcPr>
          <w:p w14:paraId="5F6FF026" w14:textId="77777777" w:rsidR="00771BF3" w:rsidRPr="00BE00C7" w:rsidRDefault="00771BF3" w:rsidP="00BE00C7">
            <w:pPr>
              <w:pStyle w:val="OutcomeDescription"/>
              <w:spacing w:before="120" w:after="120"/>
              <w:rPr>
                <w:rFonts w:cs="Arial"/>
                <w:lang w:eastAsia="en-NZ"/>
              </w:rPr>
            </w:pPr>
            <w:r w:rsidRPr="00BE00C7">
              <w:rPr>
                <w:rFonts w:cs="Arial"/>
                <w:lang w:eastAsia="en-NZ"/>
              </w:rPr>
              <w:t>No data to display</w:t>
            </w:r>
          </w:p>
        </w:tc>
      </w:tr>
    </w:tbl>
    <w:p w14:paraId="545DFD33" w14:textId="77777777" w:rsidR="00771BF3" w:rsidRPr="00BE00C7" w:rsidRDefault="00771BF3" w:rsidP="00BE00C7">
      <w:pPr>
        <w:pStyle w:val="OutcomeDescription"/>
        <w:spacing w:before="120" w:after="120"/>
        <w:rPr>
          <w:rFonts w:cs="Arial"/>
          <w:lang w:eastAsia="en-NZ"/>
        </w:rPr>
      </w:pPr>
      <w:bookmarkStart w:id="58" w:name="AuditSummaryCAMImprovment"/>
      <w:bookmarkEnd w:id="58"/>
    </w:p>
    <w:p w14:paraId="34C76C9D" w14:textId="77777777" w:rsidR="00771BF3" w:rsidRDefault="00771BF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FA7B" w14:textId="77777777" w:rsidR="00771BF3" w:rsidRDefault="00771BF3">
      <w:r>
        <w:separator/>
      </w:r>
    </w:p>
  </w:endnote>
  <w:endnote w:type="continuationSeparator" w:id="0">
    <w:p w14:paraId="7A7AF2BB" w14:textId="77777777" w:rsidR="00771BF3" w:rsidRDefault="0077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A747" w14:textId="77777777" w:rsidR="00771BF3" w:rsidRDefault="00771BF3">
    <w:pPr>
      <w:pStyle w:val="Footer"/>
    </w:pPr>
  </w:p>
  <w:p w14:paraId="3BD31D8B" w14:textId="77777777" w:rsidR="00771BF3" w:rsidRDefault="00771BF3"/>
  <w:p w14:paraId="2D2133AA" w14:textId="77777777" w:rsidR="00771BF3" w:rsidRDefault="00771BF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38C2" w14:textId="77777777" w:rsidR="00771BF3" w:rsidRPr="000B00BC" w:rsidRDefault="00771BF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Avondale Lifecare Limited - Avondale Lifecare</w:t>
    </w:r>
    <w:bookmarkEnd w:id="59"/>
    <w:r>
      <w:rPr>
        <w:rFonts w:cs="Arial"/>
        <w:sz w:val="16"/>
        <w:szCs w:val="20"/>
      </w:rPr>
      <w:tab/>
      <w:t xml:space="preserve">Date of Audit: </w:t>
    </w:r>
    <w:bookmarkStart w:id="60" w:name="AuditStartDate1"/>
    <w:r>
      <w:rPr>
        <w:rFonts w:cs="Arial"/>
        <w:sz w:val="16"/>
        <w:szCs w:val="20"/>
      </w:rPr>
      <w:t>7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D552659" w14:textId="77777777" w:rsidR="00771BF3" w:rsidRDefault="00771B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283A" w14:textId="77777777" w:rsidR="00771BF3" w:rsidRDefault="0077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89C4" w14:textId="77777777" w:rsidR="00771BF3" w:rsidRDefault="00771BF3">
      <w:r>
        <w:separator/>
      </w:r>
    </w:p>
  </w:footnote>
  <w:footnote w:type="continuationSeparator" w:id="0">
    <w:p w14:paraId="282B9EA2" w14:textId="77777777" w:rsidR="00771BF3" w:rsidRDefault="00771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86EE" w14:textId="77777777" w:rsidR="00771BF3" w:rsidRDefault="00771BF3">
    <w:pPr>
      <w:pStyle w:val="Header"/>
    </w:pPr>
  </w:p>
  <w:p w14:paraId="136820B2" w14:textId="77777777" w:rsidR="00771BF3" w:rsidRDefault="00771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B006" w14:textId="77777777" w:rsidR="00771BF3" w:rsidRDefault="00771BF3">
    <w:pPr>
      <w:pStyle w:val="Header"/>
    </w:pPr>
  </w:p>
  <w:p w14:paraId="28EBBF75" w14:textId="77777777" w:rsidR="00771BF3" w:rsidRDefault="00771B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8935" w14:textId="77777777" w:rsidR="00771BF3" w:rsidRDefault="00771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ED26790">
      <w:start w:val="1"/>
      <w:numFmt w:val="decimal"/>
      <w:lvlText w:val="%1."/>
      <w:lvlJc w:val="left"/>
      <w:pPr>
        <w:ind w:left="360" w:hanging="360"/>
      </w:pPr>
    </w:lvl>
    <w:lvl w:ilvl="1" w:tplc="5C66487A" w:tentative="1">
      <w:start w:val="1"/>
      <w:numFmt w:val="lowerLetter"/>
      <w:lvlText w:val="%2."/>
      <w:lvlJc w:val="left"/>
      <w:pPr>
        <w:ind w:left="1080" w:hanging="360"/>
      </w:pPr>
    </w:lvl>
    <w:lvl w:ilvl="2" w:tplc="0054D278" w:tentative="1">
      <w:start w:val="1"/>
      <w:numFmt w:val="lowerRoman"/>
      <w:lvlText w:val="%3."/>
      <w:lvlJc w:val="right"/>
      <w:pPr>
        <w:ind w:left="1800" w:hanging="180"/>
      </w:pPr>
    </w:lvl>
    <w:lvl w:ilvl="3" w:tplc="BD0E749E" w:tentative="1">
      <w:start w:val="1"/>
      <w:numFmt w:val="decimal"/>
      <w:lvlText w:val="%4."/>
      <w:lvlJc w:val="left"/>
      <w:pPr>
        <w:ind w:left="2520" w:hanging="360"/>
      </w:pPr>
    </w:lvl>
    <w:lvl w:ilvl="4" w:tplc="59709464" w:tentative="1">
      <w:start w:val="1"/>
      <w:numFmt w:val="lowerLetter"/>
      <w:lvlText w:val="%5."/>
      <w:lvlJc w:val="left"/>
      <w:pPr>
        <w:ind w:left="3240" w:hanging="360"/>
      </w:pPr>
    </w:lvl>
    <w:lvl w:ilvl="5" w:tplc="6D023D96" w:tentative="1">
      <w:start w:val="1"/>
      <w:numFmt w:val="lowerRoman"/>
      <w:lvlText w:val="%6."/>
      <w:lvlJc w:val="right"/>
      <w:pPr>
        <w:ind w:left="3960" w:hanging="180"/>
      </w:pPr>
    </w:lvl>
    <w:lvl w:ilvl="6" w:tplc="2BCC7974" w:tentative="1">
      <w:start w:val="1"/>
      <w:numFmt w:val="decimal"/>
      <w:lvlText w:val="%7."/>
      <w:lvlJc w:val="left"/>
      <w:pPr>
        <w:ind w:left="4680" w:hanging="360"/>
      </w:pPr>
    </w:lvl>
    <w:lvl w:ilvl="7" w:tplc="F9000A34" w:tentative="1">
      <w:start w:val="1"/>
      <w:numFmt w:val="lowerLetter"/>
      <w:lvlText w:val="%8."/>
      <w:lvlJc w:val="left"/>
      <w:pPr>
        <w:ind w:left="5400" w:hanging="360"/>
      </w:pPr>
    </w:lvl>
    <w:lvl w:ilvl="8" w:tplc="D850EE1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55208A0">
      <w:start w:val="1"/>
      <w:numFmt w:val="bullet"/>
      <w:lvlText w:val=""/>
      <w:lvlJc w:val="left"/>
      <w:pPr>
        <w:ind w:left="720" w:hanging="360"/>
      </w:pPr>
      <w:rPr>
        <w:rFonts w:ascii="Symbol" w:hAnsi="Symbol" w:hint="default"/>
      </w:rPr>
    </w:lvl>
    <w:lvl w:ilvl="1" w:tplc="3BB87C02" w:tentative="1">
      <w:start w:val="1"/>
      <w:numFmt w:val="bullet"/>
      <w:lvlText w:val="o"/>
      <w:lvlJc w:val="left"/>
      <w:pPr>
        <w:ind w:left="1440" w:hanging="360"/>
      </w:pPr>
      <w:rPr>
        <w:rFonts w:ascii="Courier New" w:hAnsi="Courier New" w:cs="Courier New" w:hint="default"/>
      </w:rPr>
    </w:lvl>
    <w:lvl w:ilvl="2" w:tplc="F912CEEA" w:tentative="1">
      <w:start w:val="1"/>
      <w:numFmt w:val="bullet"/>
      <w:lvlText w:val=""/>
      <w:lvlJc w:val="left"/>
      <w:pPr>
        <w:ind w:left="2160" w:hanging="360"/>
      </w:pPr>
      <w:rPr>
        <w:rFonts w:ascii="Wingdings" w:hAnsi="Wingdings" w:hint="default"/>
      </w:rPr>
    </w:lvl>
    <w:lvl w:ilvl="3" w:tplc="908482A6" w:tentative="1">
      <w:start w:val="1"/>
      <w:numFmt w:val="bullet"/>
      <w:lvlText w:val=""/>
      <w:lvlJc w:val="left"/>
      <w:pPr>
        <w:ind w:left="2880" w:hanging="360"/>
      </w:pPr>
      <w:rPr>
        <w:rFonts w:ascii="Symbol" w:hAnsi="Symbol" w:hint="default"/>
      </w:rPr>
    </w:lvl>
    <w:lvl w:ilvl="4" w:tplc="9F2E2F8A" w:tentative="1">
      <w:start w:val="1"/>
      <w:numFmt w:val="bullet"/>
      <w:lvlText w:val="o"/>
      <w:lvlJc w:val="left"/>
      <w:pPr>
        <w:ind w:left="3600" w:hanging="360"/>
      </w:pPr>
      <w:rPr>
        <w:rFonts w:ascii="Courier New" w:hAnsi="Courier New" w:cs="Courier New" w:hint="default"/>
      </w:rPr>
    </w:lvl>
    <w:lvl w:ilvl="5" w:tplc="0F4AFE18" w:tentative="1">
      <w:start w:val="1"/>
      <w:numFmt w:val="bullet"/>
      <w:lvlText w:val=""/>
      <w:lvlJc w:val="left"/>
      <w:pPr>
        <w:ind w:left="4320" w:hanging="360"/>
      </w:pPr>
      <w:rPr>
        <w:rFonts w:ascii="Wingdings" w:hAnsi="Wingdings" w:hint="default"/>
      </w:rPr>
    </w:lvl>
    <w:lvl w:ilvl="6" w:tplc="7E62E16E" w:tentative="1">
      <w:start w:val="1"/>
      <w:numFmt w:val="bullet"/>
      <w:lvlText w:val=""/>
      <w:lvlJc w:val="left"/>
      <w:pPr>
        <w:ind w:left="5040" w:hanging="360"/>
      </w:pPr>
      <w:rPr>
        <w:rFonts w:ascii="Symbol" w:hAnsi="Symbol" w:hint="default"/>
      </w:rPr>
    </w:lvl>
    <w:lvl w:ilvl="7" w:tplc="BC382FE4" w:tentative="1">
      <w:start w:val="1"/>
      <w:numFmt w:val="bullet"/>
      <w:lvlText w:val="o"/>
      <w:lvlJc w:val="left"/>
      <w:pPr>
        <w:ind w:left="5760" w:hanging="360"/>
      </w:pPr>
      <w:rPr>
        <w:rFonts w:ascii="Courier New" w:hAnsi="Courier New" w:cs="Courier New" w:hint="default"/>
      </w:rPr>
    </w:lvl>
    <w:lvl w:ilvl="8" w:tplc="931068FA" w:tentative="1">
      <w:start w:val="1"/>
      <w:numFmt w:val="bullet"/>
      <w:lvlText w:val=""/>
      <w:lvlJc w:val="left"/>
      <w:pPr>
        <w:ind w:left="6480" w:hanging="360"/>
      </w:pPr>
      <w:rPr>
        <w:rFonts w:ascii="Wingdings" w:hAnsi="Wingdings" w:hint="default"/>
      </w:rPr>
    </w:lvl>
  </w:abstractNum>
  <w:num w:numId="1" w16cid:durableId="2045669441">
    <w:abstractNumId w:val="1"/>
  </w:num>
  <w:num w:numId="2" w16cid:durableId="191773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91"/>
    <w:rsid w:val="00220191"/>
    <w:rsid w:val="00441E18"/>
    <w:rsid w:val="00771B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043C"/>
  <w15:docId w15:val="{D0DEA5F2-690A-49DE-AE61-35AFC3B9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9598</Words>
  <Characters>54711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Joanne Hong</cp:lastModifiedBy>
  <cp:revision>3</cp:revision>
  <dcterms:created xsi:type="dcterms:W3CDTF">2025-08-19T22:27:00Z</dcterms:created>
  <dcterms:modified xsi:type="dcterms:W3CDTF">2025-08-19T22:28:00Z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